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tabs>
          <w:tab w:val="left" w:leader="none" w:pos="8137"/>
        </w:tabs>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Pr>
        <w:drawing>
          <wp:inline distB="0" distT="0" distL="0" distR="0">
            <wp:extent cx="805180" cy="90106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05180" cy="901065"/>
                    </a:xfrm>
                    <a:prstGeom prst="rect"/>
                    <a:ln/>
                  </pic:spPr>
                </pic:pic>
              </a:graphicData>
            </a:graphic>
          </wp:inline>
        </w:drawing>
      </w:r>
      <w:r w:rsidDel="00000000" w:rsidR="00000000" w:rsidRPr="00000000">
        <w:rPr>
          <w:rFonts w:ascii="Arial" w:cs="Arial" w:eastAsia="Arial" w:hAnsi="Arial"/>
          <w:color w:val="000000"/>
          <w:highlight w:val="white"/>
          <w:rtl w:val="0"/>
        </w:rPr>
        <w:br w:type="textWrapping"/>
      </w:r>
      <w:r w:rsidDel="00000000" w:rsidR="00000000" w:rsidRPr="00000000">
        <w:rPr>
          <w:rtl w:val="0"/>
        </w:rPr>
      </w:r>
    </w:p>
    <w:p w:rsidR="00000000" w:rsidDel="00000000" w:rsidP="00000000" w:rsidRDefault="00000000" w:rsidRPr="00000000" w14:paraId="00000003">
      <w:pPr>
        <w:tabs>
          <w:tab w:val="left" w:leader="none" w:pos="8137"/>
        </w:tabs>
        <w:spacing w:after="0" w:line="240" w:lineRule="auto"/>
        <w:ind w:firstLine="851"/>
        <w:jc w:val="center"/>
        <w:rPr>
          <w:rFonts w:ascii="Arial" w:cs="Arial" w:eastAsia="Arial" w:hAnsi="Arial"/>
          <w:b w:val="1"/>
          <w:bCs w:val="1"/>
        </w:rPr>
      </w:pPr>
      <w:r w:rsidDel="00000000" w:rsidR="00000000" w:rsidRPr="00000000">
        <w:rPr>
          <w:rFonts w:ascii="Arial" w:cs="Arial" w:eastAsia="Arial" w:hAnsi="Arial"/>
          <w:b w:val="1"/>
          <w:bCs w:val="1"/>
          <w:rtl w:val="0"/>
        </w:rPr>
        <w:t xml:space="preserve">TECHNINĖ SPECIFIKACIJA</w:t>
      </w:r>
    </w:p>
    <w:p w:rsidR="00000000" w:rsidDel="00000000" w:rsidP="00000000" w:rsidRDefault="00000000" w:rsidRPr="00000000" w14:paraId="00000004">
      <w:pPr>
        <w:tabs>
          <w:tab w:val="left" w:leader="none" w:pos="284"/>
        </w:tabs>
        <w:spacing w:after="0" w:line="240" w:lineRule="auto"/>
        <w:ind w:firstLine="851"/>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numPr>
          <w:ilvl w:val="0"/>
          <w:numId w:val="2"/>
        </w:numPr>
        <w:pBdr>
          <w:top w:color="000000" w:space="1" w:sz="8" w:val="single"/>
          <w:bottom w:color="000000" w:space="1" w:sz="8" w:val="single"/>
        </w:pBdr>
        <w:shd w:fill="d9d9d9" w:val="clear"/>
        <w:tabs>
          <w:tab w:val="left" w:leader="none" w:pos="284"/>
        </w:tabs>
        <w:spacing w:after="0" w:line="240"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SĄVOKOS IR SUTRUMPINIMAI/ BENDRA INFORMACIJA</w:t>
      </w:r>
    </w:p>
    <w:p w:rsidR="00000000" w:rsidDel="00000000" w:rsidP="00000000" w:rsidRDefault="00000000" w:rsidRPr="00000000" w14:paraId="00000006">
      <w:pPr>
        <w:numPr>
          <w:ilvl w:val="1"/>
          <w:numId w:val="1"/>
        </w:numPr>
        <w:tabs>
          <w:tab w:val="left" w:leader="none" w:pos="567"/>
          <w:tab w:val="left" w:leader="none" w:pos="851"/>
        </w:tabs>
        <w:spacing w:after="0" w:line="24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Pirkėjas / Perkančioji organizacija – Vilniaus universitetas.</w:t>
      </w:r>
      <w:r w:rsidDel="00000000" w:rsidR="00000000" w:rsidRPr="00000000">
        <w:rPr>
          <w:rtl w:val="0"/>
        </w:rPr>
      </w:r>
    </w:p>
    <w:p w:rsidR="00000000" w:rsidDel="00000000" w:rsidP="00000000" w:rsidRDefault="00000000" w:rsidRPr="00000000" w14:paraId="00000007">
      <w:pPr>
        <w:numPr>
          <w:ilvl w:val="1"/>
          <w:numId w:val="1"/>
        </w:numPr>
        <w:tabs>
          <w:tab w:val="left" w:leader="none" w:pos="567"/>
          <w:tab w:val="left" w:leader="none" w:pos="851"/>
        </w:tabs>
        <w:spacing w:after="0" w:line="24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Tiekėjas</w:t>
      </w:r>
      <w:r w:rsidDel="00000000" w:rsidR="00000000" w:rsidRPr="00000000">
        <w:rPr>
          <w:rFonts w:ascii="Arial" w:cs="Arial" w:eastAsia="Arial" w:hAnsi="Arial"/>
          <w:rtl w:val="0"/>
        </w:rPr>
        <w:t xml:space="preserve"> – </w:t>
      </w:r>
      <w:r w:rsidDel="00000000" w:rsidR="00000000" w:rsidRPr="00000000">
        <w:rPr>
          <w:rFonts w:ascii="Arial" w:cs="Arial" w:eastAsia="Arial" w:hAnsi="Arial"/>
          <w:color w:val="000000"/>
          <w:rtl w:val="0"/>
        </w:rPr>
        <w:t xml:space="preserve">ūkio subjektas – fizinis asmuo, privatusis ar viešasis juridinis asmuo, kita organizacija ir jų padalinys arba tokių asmenų grupė, įskaitant laikinas ūkio subjektų asociacijas, </w:t>
      </w:r>
      <w:r w:rsidDel="00000000" w:rsidR="00000000" w:rsidRPr="00000000">
        <w:rPr>
          <w:rFonts w:ascii="Arial" w:cs="Arial" w:eastAsia="Arial" w:hAnsi="Arial"/>
          <w:rtl w:val="0"/>
        </w:rPr>
        <w:t xml:space="preserve">su kuriuo Pirkėjas sudarys šio Pirkimo sutartį.</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08">
      <w:pPr>
        <w:numPr>
          <w:ilvl w:val="1"/>
          <w:numId w:val="1"/>
        </w:numPr>
        <w:tabs>
          <w:tab w:val="left" w:leader="none" w:pos="567"/>
          <w:tab w:val="left" w:leader="none" w:pos="851"/>
        </w:tabs>
        <w:spacing w:after="0" w:line="24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Sutartis</w:t>
      </w:r>
      <w:r w:rsidDel="00000000" w:rsidR="00000000" w:rsidRPr="00000000">
        <w:rPr>
          <w:rFonts w:ascii="Arial" w:cs="Arial" w:eastAsia="Arial" w:hAnsi="Arial"/>
          <w:rtl w:val="0"/>
        </w:rPr>
        <w:t xml:space="preserve"> – Pirkimo sutartis, sudaroma tarp Tiekėjo ir Pirkėjo dėl šio Pirkimo objekto.</w:t>
      </w:r>
    </w:p>
    <w:p w:rsidR="00000000" w:rsidDel="00000000" w:rsidP="00000000" w:rsidRDefault="00000000" w:rsidRPr="00000000" w14:paraId="00000009">
      <w:pPr>
        <w:numPr>
          <w:ilvl w:val="1"/>
          <w:numId w:val="1"/>
        </w:numPr>
        <w:tabs>
          <w:tab w:val="left" w:leader="none" w:pos="567"/>
          <w:tab w:val="left" w:leader="none" w:pos="851"/>
        </w:tabs>
        <w:spacing w:after="0" w:line="24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Projektas</w:t>
      </w:r>
      <w:r w:rsidDel="00000000" w:rsidR="00000000" w:rsidRPr="00000000">
        <w:rPr>
          <w:rFonts w:ascii="Arial" w:cs="Arial" w:eastAsia="Arial" w:hAnsi="Arial"/>
          <w:rtl w:val="0"/>
        </w:rPr>
        <w:t xml:space="preserve"> – „Mokslo infrastruktūros atnaujinimas pažangios fluorescencinės mikroskopijos tyrimams, įskaitant pavienių molekulių ir ypač aukštos skiriamosios gebos mikroskopiją (GREENSCOPY)“ – Vilniaus universitetas, siekdamas įgyvendinti projektą, Nr. 10-093-K-0117, numato įsigyti toliau įvardintas prekes.</w:t>
      </w:r>
    </w:p>
    <w:p w:rsidR="00000000" w:rsidDel="00000000" w:rsidP="00000000" w:rsidRDefault="00000000" w:rsidRPr="00000000" w14:paraId="0000000A">
      <w:pPr>
        <w:tabs>
          <w:tab w:val="left" w:leader="none" w:pos="567"/>
          <w:tab w:val="left" w:leader="none" w:pos="851"/>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leader="none" w:pos="567"/>
          <w:tab w:val="left" w:leader="none" w:pos="851"/>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numPr>
          <w:ilvl w:val="0"/>
          <w:numId w:val="2"/>
        </w:numPr>
        <w:pBdr>
          <w:top w:color="000000" w:space="1" w:sz="8" w:val="single"/>
          <w:bottom w:color="000000" w:space="1" w:sz="8" w:val="single"/>
        </w:pBdr>
        <w:shd w:fill="d9d9d9" w:val="clear"/>
        <w:tabs>
          <w:tab w:val="left" w:leader="none" w:pos="284"/>
        </w:tabs>
        <w:spacing w:after="0" w:line="240" w:lineRule="auto"/>
        <w:ind w:left="0" w:firstLine="0"/>
        <w:rPr>
          <w:rFonts w:ascii="Arial" w:cs="Arial" w:eastAsia="Arial" w:hAnsi="Arial"/>
          <w:b w:val="1"/>
          <w:bCs w:val="1"/>
        </w:rPr>
      </w:pPr>
      <w:r w:rsidDel="00000000" w:rsidR="00000000" w:rsidRPr="00000000">
        <w:rPr>
          <w:rFonts w:ascii="Arial" w:cs="Arial" w:eastAsia="Arial" w:hAnsi="Arial"/>
          <w:b w:val="1"/>
          <w:bCs w:val="1"/>
          <w:shd w:fill="d9d9d9" w:val="clear"/>
          <w:rtl w:val="0"/>
        </w:rPr>
        <w:t xml:space="preserve">PIRKIMO OBJEKTAS</w:t>
      </w:r>
      <w:r w:rsidDel="00000000" w:rsidR="00000000" w:rsidRPr="00000000">
        <w:rPr>
          <w:rtl w:val="0"/>
        </w:rPr>
      </w:r>
    </w:p>
    <w:p w:rsidR="00000000" w:rsidDel="00000000" w:rsidP="00000000" w:rsidRDefault="00000000" w:rsidRPr="00000000" w14:paraId="0000000D">
      <w:pPr>
        <w:numPr>
          <w:ilvl w:val="1"/>
          <w:numId w:val="2"/>
        </w:numPr>
        <w:pBdr>
          <w:top w:space="0" w:sz="0" w:val="nil"/>
          <w:left w:space="0" w:sz="0" w:val="nil"/>
          <w:bottom w:space="0" w:sz="0" w:val="nil"/>
          <w:right w:space="0" w:sz="0" w:val="nil"/>
          <w:between w:space="0" w:sz="0" w:val="nil"/>
        </w:pBdr>
        <w:tabs>
          <w:tab w:val="left" w:leader="none" w:pos="567"/>
        </w:tabs>
        <w:spacing w:after="0" w:line="240" w:lineRule="auto"/>
        <w:ind w:lef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Pirkimo objektas – </w:t>
      </w:r>
      <w:r w:rsidDel="00000000" w:rsidR="00000000" w:rsidRPr="00000000">
        <w:rPr>
          <w:rFonts w:ascii="Arial" w:cs="Arial" w:eastAsia="Arial" w:hAnsi="Arial"/>
          <w:rtl w:val="0"/>
        </w:rPr>
        <w:t xml:space="preserve">peristaltinė pompa su nepriklausomu atskirų kanalų valdymu </w:t>
      </w:r>
      <w:r w:rsidDel="00000000" w:rsidR="00000000" w:rsidRPr="00000000">
        <w:rPr>
          <w:rFonts w:ascii="Arial" w:cs="Arial" w:eastAsia="Arial" w:hAnsi="Arial"/>
          <w:color w:val="000000"/>
          <w:rtl w:val="0"/>
        </w:rPr>
        <w:t xml:space="preserve">(toliau – prekė).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7"/>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F">
      <w:pPr>
        <w:numPr>
          <w:ilvl w:val="1"/>
          <w:numId w:val="2"/>
        </w:numPr>
        <w:pBdr>
          <w:top w:space="0" w:sz="0" w:val="nil"/>
          <w:left w:space="0" w:sz="0" w:val="nil"/>
          <w:bottom w:space="0" w:sz="0" w:val="nil"/>
          <w:right w:space="0" w:sz="0" w:val="nil"/>
          <w:between w:space="0" w:sz="0" w:val="nil"/>
        </w:pBdr>
        <w:tabs>
          <w:tab w:val="left" w:leader="none" w:pos="567"/>
        </w:tabs>
        <w:spacing w:after="0" w:line="240" w:lineRule="auto"/>
        <w:ind w:lef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Pirkimo objektas į pirkimo objekto dalis neskaidomas, todėl Tiekėjas privalo teikti pasiūlymą visai žemiau nurodytai pirkimo objekto apimčiai ir (ar) kiekiui.</w:t>
      </w:r>
    </w:p>
    <w:p w:rsidR="00000000" w:rsidDel="00000000" w:rsidP="00000000" w:rsidRDefault="00000000" w:rsidRPr="00000000" w14:paraId="00000010">
      <w:pPr>
        <w:numPr>
          <w:ilvl w:val="1"/>
          <w:numId w:val="2"/>
        </w:numPr>
        <w:pBdr>
          <w:top w:space="0" w:sz="0" w:val="nil"/>
          <w:left w:space="0" w:sz="0" w:val="nil"/>
          <w:bottom w:space="0" w:sz="0" w:val="nil"/>
          <w:right w:space="0" w:sz="0" w:val="nil"/>
          <w:between w:space="0" w:sz="0" w:val="nil"/>
        </w:pBdr>
        <w:tabs>
          <w:tab w:val="left" w:leader="none" w:pos="426"/>
        </w:tabs>
        <w:spacing w:after="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Prekės pristatymo vieta – Vilniaus universitetas, Saulėtekio al. 7, LT-01257, Vilnius.</w:t>
      </w:r>
    </w:p>
    <w:p w:rsidR="00000000" w:rsidDel="00000000" w:rsidP="00000000" w:rsidRDefault="00000000" w:rsidRPr="00000000" w14:paraId="00000011">
      <w:pPr>
        <w:tabs>
          <w:tab w:val="left" w:leader="none" w:pos="426"/>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40" w:lineRule="auto"/>
        <w:jc w:val="right"/>
        <w:rPr>
          <w:rFonts w:ascii="Arial" w:cs="Arial" w:eastAsia="Arial" w:hAnsi="Arial"/>
          <w:b w:val="1"/>
          <w:bCs w:val="1"/>
        </w:rPr>
      </w:pPr>
      <w:r w:rsidDel="00000000" w:rsidR="00000000" w:rsidRPr="00000000">
        <w:rPr>
          <w:rFonts w:ascii="Arial" w:cs="Arial" w:eastAsia="Arial" w:hAnsi="Arial"/>
          <w:b w:val="1"/>
          <w:bCs w:val="1"/>
          <w:rtl w:val="0"/>
        </w:rPr>
        <w:t xml:space="preserve">1 lentelė. </w:t>
      </w:r>
    </w:p>
    <w:p w:rsidR="00000000" w:rsidDel="00000000" w:rsidP="00000000" w:rsidRDefault="00000000" w:rsidRPr="00000000" w14:paraId="00000013">
      <w:pPr>
        <w:tabs>
          <w:tab w:val="left" w:leader="none" w:pos="426"/>
        </w:tabs>
        <w:spacing w:after="0" w:line="240" w:lineRule="auto"/>
        <w:jc w:val="both"/>
        <w:rPr>
          <w:rFonts w:ascii="Arial" w:cs="Arial" w:eastAsia="Arial" w:hAnsi="Arial"/>
        </w:rPr>
      </w:pPr>
      <w:r w:rsidDel="00000000" w:rsidR="00000000" w:rsidRPr="00000000">
        <w:rPr>
          <w:rtl w:val="0"/>
        </w:rPr>
      </w:r>
    </w:p>
    <w:tbl>
      <w:tblPr>
        <w:tblStyle w:val="Table1"/>
        <w:tblpPr w:leftFromText="180" w:rightFromText="180" w:topFromText="0" w:bottomFromText="0" w:vertAnchor="text" w:horzAnchor="text" w:tblpX="0" w:tblpY="70"/>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7"/>
        <w:gridCol w:w="2283"/>
        <w:gridCol w:w="1378"/>
        <w:gridCol w:w="1378"/>
        <w:gridCol w:w="1329"/>
        <w:gridCol w:w="2173"/>
        <w:tblGridChange w:id="0">
          <w:tblGrid>
            <w:gridCol w:w="1087"/>
            <w:gridCol w:w="2283"/>
            <w:gridCol w:w="1378"/>
            <w:gridCol w:w="1378"/>
            <w:gridCol w:w="1329"/>
            <w:gridCol w:w="2173"/>
          </w:tblGrid>
        </w:tblGridChange>
      </w:tblGrid>
      <w:tr>
        <w:trPr>
          <w:cantSplit w:val="0"/>
          <w:trHeight w:val="20" w:hRule="atLeast"/>
          <w:tblHeader w:val="0"/>
        </w:trPr>
        <w:tc>
          <w:tcPr>
            <w:vMerge w:val="restart"/>
            <w:vAlign w:val="center"/>
          </w:tcPr>
          <w:p w:rsidR="00000000" w:rsidDel="00000000" w:rsidP="00000000" w:rsidRDefault="00000000" w:rsidRPr="00000000" w14:paraId="00000014">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Eil. Nr.</w:t>
            </w:r>
          </w:p>
        </w:tc>
        <w:tc>
          <w:tcPr>
            <w:vMerge w:val="restart"/>
            <w:vAlign w:val="center"/>
          </w:tcPr>
          <w:p w:rsidR="00000000" w:rsidDel="00000000" w:rsidP="00000000" w:rsidRDefault="00000000" w:rsidRPr="00000000" w14:paraId="00000015">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Prekės pavadinimas</w:t>
            </w:r>
          </w:p>
        </w:tc>
        <w:tc>
          <w:tcPr>
            <w:vMerge w:val="restart"/>
            <w:vAlign w:val="center"/>
          </w:tcPr>
          <w:p w:rsidR="00000000" w:rsidDel="00000000" w:rsidP="00000000" w:rsidRDefault="00000000" w:rsidRPr="00000000" w14:paraId="00000016">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Prekės kiekis ir mato vnt. </w:t>
            </w:r>
          </w:p>
        </w:tc>
        <w:tc>
          <w:tcPr>
            <w:gridSpan w:val="2"/>
            <w:tcBorders>
              <w:bottom w:color="000000" w:space="0" w:sz="4" w:val="single"/>
            </w:tcBorders>
            <w:vAlign w:val="center"/>
          </w:tcPr>
          <w:p w:rsidR="00000000" w:rsidDel="00000000" w:rsidP="00000000" w:rsidRDefault="00000000" w:rsidRPr="00000000" w14:paraId="00000017">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Užsakymų teikimas</w:t>
            </w:r>
          </w:p>
        </w:tc>
        <w:tc>
          <w:tcPr>
            <w:vMerge w:val="restart"/>
            <w:vAlign w:val="center"/>
          </w:tcPr>
          <w:p w:rsidR="00000000" w:rsidDel="00000000" w:rsidP="00000000" w:rsidRDefault="00000000" w:rsidRPr="00000000" w14:paraId="00000019">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Prekės pristatymo/tiekimo terminas </w:t>
            </w:r>
            <w:r w:rsidDel="00000000" w:rsidR="00000000" w:rsidRPr="00000000">
              <w:rPr>
                <w:rFonts w:ascii="Arial" w:cs="Arial" w:eastAsia="Arial" w:hAnsi="Arial"/>
                <w:b w:val="1"/>
                <w:bCs w:val="1"/>
                <w:color w:val="000000"/>
                <w:sz w:val="22"/>
                <w:szCs w:val="22"/>
                <w:rtl w:val="0"/>
              </w:rPr>
              <w:t xml:space="preserve">nuo Sutarties įsigaliojimo (k.d.)</w:t>
            </w:r>
            <w:r w:rsidDel="00000000" w:rsidR="00000000" w:rsidRPr="00000000">
              <w:rPr>
                <w:rtl w:val="0"/>
              </w:rPr>
            </w:r>
          </w:p>
        </w:tc>
      </w:tr>
      <w:tr>
        <w:trPr>
          <w:cantSplit w:val="0"/>
          <w:trHeight w:val="2044" w:hRule="atLeast"/>
          <w:tblHeader w:val="0"/>
        </w:trPr>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vMerge w:val="continue"/>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vMerge w:val="continue"/>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01D">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Taip (žymėti, jei prekių užsakymai bus teikiami pagal poreikį, periodiškai ar kt.)</w:t>
            </w:r>
          </w:p>
        </w:tc>
        <w:tc>
          <w:tcPr>
            <w:tcBorders>
              <w:top w:color="000000" w:space="0" w:sz="4" w:val="single"/>
              <w:left w:color="000000" w:space="0" w:sz="4" w:val="single"/>
            </w:tcBorders>
            <w:vAlign w:val="center"/>
          </w:tcPr>
          <w:p w:rsidR="00000000" w:rsidDel="00000000" w:rsidP="00000000" w:rsidRDefault="00000000" w:rsidRPr="00000000" w14:paraId="0000001E">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Ne (žymėti, jei nurodytu laiku bus pristatytas visas perkamas prekių kiekis)</w:t>
            </w:r>
          </w:p>
        </w:tc>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0">
            <w:pPr>
              <w:ind w:firstLine="313"/>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vAlign w:val="center"/>
          </w:tcPr>
          <w:p w:rsidR="00000000" w:rsidDel="00000000" w:rsidP="00000000" w:rsidRDefault="00000000" w:rsidRPr="00000000" w14:paraId="00000021">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Peristaltinė pompa su nepriklausomu atskirų kanalų valdymu</w:t>
            </w:r>
          </w:p>
          <w:p w:rsidR="00000000" w:rsidDel="00000000" w:rsidP="00000000" w:rsidRDefault="00000000" w:rsidRPr="00000000" w14:paraId="00000022">
            <w:pPr>
              <w:ind w:hanging="38"/>
              <w:jc w:val="center"/>
              <w:rPr>
                <w:rFonts w:ascii="Arial" w:cs="Arial" w:eastAsia="Arial" w:hAnsi="Arial"/>
                <w:color w:val="000000"/>
                <w:sz w:val="22"/>
                <w:szCs w:val="22"/>
              </w:rPr>
            </w:pPr>
            <w:r w:rsidDel="00000000" w:rsidR="00000000" w:rsidRPr="00000000">
              <w:rPr>
                <w:rtl w:val="0"/>
              </w:rPr>
            </w:r>
          </w:p>
        </w:tc>
        <w:tc>
          <w:tcPr>
            <w:vAlign w:val="center"/>
          </w:tcPr>
          <w:p w:rsidR="00000000" w:rsidDel="00000000" w:rsidP="00000000" w:rsidRDefault="00000000" w:rsidRPr="00000000" w14:paraId="00000023">
            <w:pPr>
              <w:ind w:hanging="16"/>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 vnt. </w:t>
            </w:r>
          </w:p>
        </w:tc>
        <w:tc>
          <w:tcPr>
            <w:tcBorders>
              <w:right w:color="000000" w:space="0" w:sz="4" w:val="single"/>
            </w:tcBorders>
            <w:vAlign w:val="center"/>
          </w:tcPr>
          <w:p w:rsidR="00000000" w:rsidDel="00000000" w:rsidP="00000000" w:rsidRDefault="00000000" w:rsidRPr="00000000" w14:paraId="00000024">
            <w:pPr>
              <w:jc w:val="center"/>
              <w:rPr>
                <w:rFonts w:ascii="Arial" w:cs="Arial" w:eastAsia="Arial" w:hAnsi="Arial"/>
                <w:color w:val="000000"/>
                <w:sz w:val="22"/>
                <w:szCs w:val="22"/>
              </w:rPr>
            </w:pPr>
            <w:sdt>
              <w:sdtPr>
                <w:id w:val="-885459999"/>
                <w:tag w:val="goog_rdk_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25">
            <w:pPr>
              <w:jc w:val="center"/>
              <w:rPr>
                <w:rFonts w:ascii="Arial" w:cs="Arial" w:eastAsia="Arial" w:hAnsi="Arial"/>
                <w:color w:val="000000"/>
                <w:sz w:val="22"/>
                <w:szCs w:val="22"/>
              </w:rPr>
            </w:pPr>
            <w:sdt>
              <w:sdtPr>
                <w:id w:val="1849084886"/>
                <w:tag w:val="goog_rdk_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60" w:line="259" w:lineRule="auto"/>
              <w:ind w:left="344"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90 k.d. </w:t>
            </w:r>
          </w:p>
        </w:tc>
      </w:tr>
    </w:tbl>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Aukščiau esančioje lentelėje nurodytas prekių kiekis ir (ar) apimtis yra tikslus (-i) ir vykdant Sutartį nesikeis.</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67"/>
        </w:tabs>
        <w:spacing w:after="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2.6. Užsakymų teikimo tvarka:</w:t>
      </w:r>
    </w:p>
    <w:p w:rsidR="00000000" w:rsidDel="00000000" w:rsidP="00000000" w:rsidRDefault="00000000" w:rsidRPr="00000000" w14:paraId="00000029">
      <w:pPr>
        <w:tabs>
          <w:tab w:val="left" w:leader="none" w:pos="567"/>
        </w:tabs>
        <w:spacing w:after="0" w:line="240" w:lineRule="auto"/>
        <w:jc w:val="both"/>
        <w:rPr>
          <w:rFonts w:ascii="Arial" w:cs="Arial" w:eastAsia="Arial" w:hAnsi="Arial"/>
        </w:rPr>
      </w:pPr>
      <w:r w:rsidDel="00000000" w:rsidR="00000000" w:rsidRPr="00000000">
        <w:rPr>
          <w:rFonts w:ascii="Arial" w:cs="Arial" w:eastAsia="Arial" w:hAnsi="Arial"/>
          <w:rtl w:val="0"/>
        </w:rPr>
        <w:t xml:space="preserve">2.6.1. užsakymai Sutarties galiojimo laikotarpiu </w:t>
      </w:r>
      <w:r w:rsidDel="00000000" w:rsidR="00000000" w:rsidRPr="00000000">
        <w:rPr>
          <w:rFonts w:ascii="Arial" w:cs="Arial" w:eastAsia="Arial" w:hAnsi="Arial"/>
          <w:u w:val="single"/>
          <w:rtl w:val="0"/>
        </w:rPr>
        <w:t xml:space="preserve">neteikiami</w:t>
      </w:r>
      <w:r w:rsidDel="00000000" w:rsidR="00000000" w:rsidRPr="00000000">
        <w:rPr>
          <w:rFonts w:ascii="Arial" w:cs="Arial" w:eastAsia="Arial" w:hAnsi="Arial"/>
          <w:rtl w:val="0"/>
        </w:rPr>
        <w:t xml:space="preserve">. Tiekėjas nuo Sutarties įsigaliojimo ne vėliau kaip per </w:t>
      </w:r>
      <w:r w:rsidDel="00000000" w:rsidR="00000000" w:rsidRPr="00000000">
        <w:rPr>
          <w:rFonts w:ascii="Arial" w:cs="Arial" w:eastAsia="Arial" w:hAnsi="Arial"/>
          <w:color w:val="000000"/>
          <w:rtl w:val="0"/>
        </w:rPr>
        <w:t xml:space="preserve">90 (devyniasdešimt) kalendorinių dienų </w:t>
      </w:r>
      <w:r w:rsidDel="00000000" w:rsidR="00000000" w:rsidRPr="00000000">
        <w:rPr>
          <w:rFonts w:ascii="Arial" w:cs="Arial" w:eastAsia="Arial" w:hAnsi="Arial"/>
          <w:rtl w:val="0"/>
        </w:rPr>
        <w:t xml:space="preserve">įsipareigoja pristatyti prekę. </w:t>
      </w:r>
    </w:p>
    <w:p w:rsidR="00000000" w:rsidDel="00000000" w:rsidP="00000000" w:rsidRDefault="00000000" w:rsidRPr="00000000" w14:paraId="0000002A">
      <w:pPr>
        <w:tabs>
          <w:tab w:val="left" w:leader="none" w:pos="709"/>
        </w:tabs>
        <w:spacing w:after="0" w:line="240" w:lineRule="auto"/>
        <w:ind w:firstLine="851"/>
        <w:rPr>
          <w:rFonts w:ascii="Arial" w:cs="Arial" w:eastAsia="Arial" w:hAnsi="Arial"/>
          <w:b w:val="1"/>
          <w:bCs w:val="1"/>
        </w:rPr>
      </w:pPr>
      <w:r w:rsidDel="00000000" w:rsidR="00000000" w:rsidRPr="00000000">
        <w:rPr>
          <w:rtl w:val="0"/>
        </w:rPr>
      </w:r>
    </w:p>
    <w:p w:rsidR="00000000" w:rsidDel="00000000" w:rsidP="00000000" w:rsidRDefault="00000000" w:rsidRPr="00000000" w14:paraId="0000002B">
      <w:pPr>
        <w:numPr>
          <w:ilvl w:val="0"/>
          <w:numId w:val="4"/>
        </w:numPr>
        <w:pBdr>
          <w:top w:color="000000" w:space="1" w:sz="8" w:val="single"/>
          <w:bottom w:color="000000" w:space="1" w:sz="8" w:val="single"/>
        </w:pBdr>
        <w:shd w:fill="d9d9d9" w:val="clear"/>
        <w:tabs>
          <w:tab w:val="left" w:leader="none" w:pos="284"/>
          <w:tab w:val="left" w:leader="none" w:pos="851"/>
        </w:tabs>
        <w:spacing w:after="0" w:line="240"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REIKALAVIMAI PREKĖMS</w:t>
      </w:r>
    </w:p>
    <w:p w:rsidR="00000000" w:rsidDel="00000000" w:rsidP="00000000" w:rsidRDefault="00000000" w:rsidRPr="00000000" w14:paraId="0000002C">
      <w:pPr>
        <w:spacing w:after="0" w:line="240" w:lineRule="auto"/>
        <w:jc w:val="both"/>
        <w:rPr>
          <w:rFonts w:ascii="Arial" w:cs="Arial" w:eastAsia="Arial" w:hAnsi="Arial"/>
        </w:rPr>
      </w:pPr>
      <w:r w:rsidDel="00000000" w:rsidR="00000000" w:rsidRPr="00000000">
        <w:rPr>
          <w:rFonts w:ascii="Arial" w:cs="Arial" w:eastAsia="Arial" w:hAnsi="Arial"/>
          <w:rtl w:val="0"/>
        </w:rPr>
        <w:t xml:space="preserve">3.1. Jei pirkimo dokumentuose naudojami konkretūs modeliai ar šaltiniai, konkretūs procesai ar prekės ženklai, patentai, tipai, konkreti kilmė ar gamyba ir pan., jie gali būti pakeisti lygiaverčiais.</w:t>
      </w:r>
      <w:r w:rsidDel="00000000" w:rsidR="00000000" w:rsidRPr="00000000">
        <w:rPr>
          <w:rFonts w:ascii="Arial" w:cs="Arial" w:eastAsia="Arial" w:hAnsi="Arial"/>
          <w:vertAlign w:val="superscript"/>
        </w:rPr>
        <w:footnoteReference w:customMarkFollows="0" w:id="0"/>
      </w:r>
      <w:r w:rsidDel="00000000" w:rsidR="00000000" w:rsidRPr="00000000">
        <w:rPr>
          <w:rtl w:val="0"/>
        </w:rPr>
      </w:r>
    </w:p>
    <w:p w:rsidR="00000000" w:rsidDel="00000000" w:rsidP="00000000" w:rsidRDefault="00000000" w:rsidRPr="00000000" w14:paraId="0000002D">
      <w:pPr>
        <w:spacing w:after="0" w:line="240" w:lineRule="auto"/>
        <w:ind w:firstLine="851"/>
        <w:jc w:val="right"/>
        <w:rPr>
          <w:rFonts w:ascii="Arial" w:cs="Arial" w:eastAsia="Arial" w:hAnsi="Arial"/>
          <w:b w:val="1"/>
          <w:bCs w:val="1"/>
        </w:rPr>
      </w:pPr>
      <w:r w:rsidDel="00000000" w:rsidR="00000000" w:rsidRPr="00000000">
        <w:rPr>
          <w:rFonts w:ascii="Arial" w:cs="Arial" w:eastAsia="Arial" w:hAnsi="Arial"/>
          <w:b w:val="1"/>
          <w:bCs w:val="1"/>
          <w:rtl w:val="0"/>
        </w:rPr>
        <w:t xml:space="preserve">2 lentelė.</w:t>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
        <w:gridCol w:w="2981"/>
        <w:gridCol w:w="2983"/>
        <w:gridCol w:w="2985"/>
        <w:tblGridChange w:id="0">
          <w:tblGrid>
            <w:gridCol w:w="679"/>
            <w:gridCol w:w="2981"/>
            <w:gridCol w:w="2983"/>
            <w:gridCol w:w="2985"/>
          </w:tblGrid>
        </w:tblGridChange>
      </w:tblGrid>
      <w:tr>
        <w:trPr>
          <w:cantSplit w:val="0"/>
          <w:trHeight w:val="68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E">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Eil.</w:t>
            </w:r>
          </w:p>
          <w:p w:rsidR="00000000" w:rsidDel="00000000" w:rsidP="00000000" w:rsidRDefault="00000000" w:rsidRPr="00000000" w14:paraId="0000002F">
            <w:pPr>
              <w:tabs>
                <w:tab w:val="left" w:leader="none" w:pos="567"/>
              </w:tabs>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0">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Parametras**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1">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Reikalaujama reikšmė</w:t>
            </w:r>
            <w:r w:rsidDel="00000000" w:rsidR="00000000" w:rsidRPr="00000000">
              <w:rPr>
                <w:rFonts w:ascii="Arial" w:cs="Arial" w:eastAsia="Arial" w:hAnsi="Arial"/>
                <w:i w:val="1"/>
                <w:iCs w:val="1"/>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2">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Reikalaujamos reikšmės atitikimas</w:t>
            </w:r>
          </w:p>
          <w:p w:rsidR="00000000" w:rsidDel="00000000" w:rsidP="00000000" w:rsidRDefault="00000000" w:rsidRPr="00000000" w14:paraId="00000033">
            <w:pPr>
              <w:spacing w:after="0" w:line="240" w:lineRule="auto"/>
              <w:jc w:val="center"/>
              <w:rPr>
                <w:rFonts w:ascii="Arial" w:cs="Arial" w:eastAsia="Arial" w:hAnsi="Arial"/>
                <w:i w:val="1"/>
                <w:iCs w:val="1"/>
                <w:color w:val="000000"/>
              </w:rPr>
            </w:pPr>
            <w:r w:rsidDel="00000000" w:rsidR="00000000" w:rsidRPr="00000000">
              <w:rPr>
                <w:rFonts w:ascii="Arial" w:cs="Arial" w:eastAsia="Arial" w:hAnsi="Arial"/>
                <w:i w:val="1"/>
                <w:iCs w:val="1"/>
                <w:color w:val="4472c4"/>
                <w:rtl w:val="0"/>
              </w:rPr>
              <w:t xml:space="preserve">(pildo tiekėjas)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Gamintojo modelis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Nurodyti gamintoją ir modelį</w:t>
            </w:r>
          </w:p>
          <w:p w:rsidR="00000000" w:rsidDel="00000000" w:rsidP="00000000" w:rsidRDefault="00000000" w:rsidRPr="00000000" w14:paraId="00000037">
            <w:pPr>
              <w:spacing w:after="0" w:line="240" w:lineRule="auto"/>
              <w:jc w:val="both"/>
              <w:rPr>
                <w:rFonts w:ascii="Arial" w:cs="Arial" w:eastAsia="Arial" w:hAnsi="Arial"/>
                <w:color w:val="000000"/>
              </w:rPr>
            </w:pPr>
            <w:r w:rsidDel="00000000" w:rsidR="00000000" w:rsidRPr="00000000">
              <w:rPr>
                <w:rFonts w:ascii="Arial" w:cs="Arial" w:eastAsia="Arial" w:hAnsi="Arial"/>
                <w:rtl w:val="0"/>
              </w:rPr>
              <w:br w:type="textWrapping"/>
              <w:t xml:space="preserve">Būtina pateikti nuorodą į gamintojo interneto puslapį arba techninės dokumentacijos kopiją, kurioje pateikiama informacija apie siūlomos prekės charakteristikas. Jeigu Tiekėjas yra įrangos gamintojas, jo deklaracija yra priimtina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40"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03A">
            <w:pPr>
              <w:spacing w:after="0" w:line="240" w:lineRule="auto"/>
              <w:rPr>
                <w:rFonts w:ascii="Arial" w:cs="Arial" w:eastAsia="Arial" w:hAnsi="Arial"/>
              </w:rPr>
            </w:pPr>
            <w:r w:rsidDel="00000000" w:rsidR="00000000" w:rsidRPr="00000000">
              <w:rPr>
                <w:rFonts w:ascii="Arial" w:cs="Arial" w:eastAsia="Arial" w:hAnsi="Arial"/>
                <w:rtl w:val="0"/>
              </w:rPr>
              <w:t xml:space="preserve">Kanalų skaičius</w:t>
            </w:r>
          </w:p>
        </w:tc>
        <w:tc>
          <w:tcPr/>
          <w:p w:rsidR="00000000" w:rsidDel="00000000" w:rsidP="00000000" w:rsidRDefault="00000000" w:rsidRPr="00000000" w14:paraId="0000003B">
            <w:pPr>
              <w:spacing w:after="0" w:line="240" w:lineRule="auto"/>
              <w:jc w:val="both"/>
              <w:rPr>
                <w:rFonts w:ascii="Arial" w:cs="Arial" w:eastAsia="Arial" w:hAnsi="Arial"/>
              </w:rPr>
            </w:pPr>
            <w:sdt>
              <w:sdtPr>
                <w:id w:val="-539535851"/>
                <w:tag w:val="goog_rdk_2"/>
              </w:sdtPr>
              <w:sdtContent>
                <w:r w:rsidDel="00000000" w:rsidR="00000000" w:rsidRPr="00000000">
                  <w:rPr>
                    <w:rFonts w:ascii="Arial Unicode MS" w:cs="Arial Unicode MS" w:eastAsia="Arial Unicode MS" w:hAnsi="Arial Unicode MS"/>
                    <w:color w:val="474747"/>
                    <w:highlight w:val="white"/>
                    <w:rtl w:val="0"/>
                  </w:rPr>
                  <w:t xml:space="preserve">≥ </w:t>
                </w:r>
              </w:sdtContent>
            </w:sdt>
            <w:r w:rsidDel="00000000" w:rsidR="00000000" w:rsidRPr="00000000">
              <w:rPr>
                <w:rFonts w:ascii="Arial" w:cs="Arial" w:eastAsia="Arial" w:hAnsi="Arial"/>
                <w:rtl w:val="0"/>
              </w:rPr>
              <w:t xml:space="preserve">4 nepriklausomi kanalai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40"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03E">
            <w:pPr>
              <w:spacing w:after="0" w:line="240" w:lineRule="auto"/>
              <w:rPr>
                <w:rFonts w:ascii="Arial" w:cs="Arial" w:eastAsia="Arial" w:hAnsi="Arial"/>
              </w:rPr>
            </w:pPr>
            <w:r w:rsidDel="00000000" w:rsidR="00000000" w:rsidRPr="00000000">
              <w:rPr>
                <w:rFonts w:ascii="Arial" w:cs="Arial" w:eastAsia="Arial" w:hAnsi="Arial"/>
                <w:rtl w:val="0"/>
              </w:rPr>
              <w:t xml:space="preserve">Kanalų valdymas</w:t>
            </w:r>
          </w:p>
        </w:tc>
        <w:tc>
          <w:tcPr/>
          <w:p w:rsidR="00000000" w:rsidDel="00000000" w:rsidP="00000000" w:rsidRDefault="00000000" w:rsidRPr="00000000" w14:paraId="0000003F">
            <w:pPr>
              <w:spacing w:after="0" w:line="240" w:lineRule="auto"/>
              <w:jc w:val="both"/>
              <w:rPr>
                <w:rFonts w:ascii="Arial" w:cs="Arial" w:eastAsia="Arial" w:hAnsi="Arial"/>
              </w:rPr>
            </w:pPr>
            <w:r w:rsidDel="00000000" w:rsidR="00000000" w:rsidRPr="00000000">
              <w:rPr>
                <w:rFonts w:ascii="Arial" w:cs="Arial" w:eastAsia="Arial" w:hAnsi="Arial"/>
                <w:rtl w:val="0"/>
              </w:rPr>
              <w:t xml:space="preserve">Kiekvienas kanalas privalo turėti atskirą pavarą (nepriklausomas greičio, krypties, paleidimo/stabdymo valdymas) arba lygiavertę technologiją.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40"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042">
            <w:pPr>
              <w:spacing w:after="0" w:line="240" w:lineRule="auto"/>
              <w:rPr>
                <w:rFonts w:ascii="Arial" w:cs="Arial" w:eastAsia="Arial" w:hAnsi="Arial"/>
              </w:rPr>
            </w:pPr>
            <w:r w:rsidDel="00000000" w:rsidR="00000000" w:rsidRPr="00000000">
              <w:rPr>
                <w:rFonts w:ascii="Arial" w:cs="Arial" w:eastAsia="Arial" w:hAnsi="Arial"/>
                <w:rtl w:val="0"/>
              </w:rPr>
              <w:t xml:space="preserve">Rolių (velenėlių) skaičius</w:t>
            </w:r>
          </w:p>
        </w:tc>
        <w:tc>
          <w:tcPr/>
          <w:p w:rsidR="00000000" w:rsidDel="00000000" w:rsidP="00000000" w:rsidRDefault="00000000" w:rsidRPr="00000000" w14:paraId="00000043">
            <w:pPr>
              <w:spacing w:after="0" w:line="240" w:lineRule="auto"/>
              <w:jc w:val="both"/>
              <w:rPr>
                <w:rFonts w:ascii="Arial" w:cs="Arial" w:eastAsia="Arial" w:hAnsi="Arial"/>
              </w:rPr>
            </w:pPr>
            <w:sdt>
              <w:sdtPr>
                <w:id w:val="-116295619"/>
                <w:tag w:val="goog_rdk_3"/>
              </w:sdtPr>
              <w:sdtContent>
                <w:r w:rsidDel="00000000" w:rsidR="00000000" w:rsidRPr="00000000">
                  <w:rPr>
                    <w:rFonts w:ascii="Arial Unicode MS" w:cs="Arial Unicode MS" w:eastAsia="Arial Unicode MS" w:hAnsi="Arial Unicode MS"/>
                    <w:color w:val="474747"/>
                    <w:highlight w:val="white"/>
                    <w:rtl w:val="0"/>
                  </w:rPr>
                  <w:t xml:space="preserve">≥ </w:t>
                </w:r>
              </w:sdtContent>
            </w:sdt>
            <w:r w:rsidDel="00000000" w:rsidR="00000000" w:rsidRPr="00000000">
              <w:rPr>
                <w:rFonts w:ascii="Arial" w:cs="Arial" w:eastAsia="Arial" w:hAnsi="Arial"/>
                <w:rtl w:val="0"/>
              </w:rPr>
              <w:t xml:space="preserve">12 (reikalinga mažam pulsavimui užtikrinti)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240"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p w:rsidR="00000000" w:rsidDel="00000000" w:rsidP="00000000" w:rsidRDefault="00000000" w:rsidRPr="00000000" w14:paraId="00000046">
            <w:pPr>
              <w:spacing w:after="0" w:line="240" w:lineRule="auto"/>
              <w:rPr>
                <w:rFonts w:ascii="Arial" w:cs="Arial" w:eastAsia="Arial" w:hAnsi="Arial"/>
              </w:rPr>
            </w:pPr>
            <w:r w:rsidDel="00000000" w:rsidR="00000000" w:rsidRPr="00000000">
              <w:rPr>
                <w:rFonts w:ascii="Arial" w:cs="Arial" w:eastAsia="Arial" w:hAnsi="Arial"/>
                <w:rtl w:val="0"/>
              </w:rPr>
              <w:t xml:space="preserve">Sūkių diapazonas</w:t>
            </w:r>
          </w:p>
        </w:tc>
        <w:tc>
          <w:tcPr/>
          <w:p w:rsidR="00000000" w:rsidDel="00000000" w:rsidP="00000000" w:rsidRDefault="00000000" w:rsidRPr="00000000" w14:paraId="00000047">
            <w:pPr>
              <w:spacing w:after="0" w:line="240" w:lineRule="auto"/>
              <w:jc w:val="both"/>
              <w:rPr>
                <w:rFonts w:ascii="Arial" w:cs="Arial" w:eastAsia="Arial" w:hAnsi="Arial"/>
              </w:rPr>
            </w:pPr>
            <w:r w:rsidDel="00000000" w:rsidR="00000000" w:rsidRPr="00000000">
              <w:rPr>
                <w:rFonts w:ascii="Arial" w:cs="Arial" w:eastAsia="Arial" w:hAnsi="Arial"/>
                <w:rtl w:val="0"/>
              </w:rPr>
              <w:t xml:space="preserve">Turi apimti ruožą nuo </w:t>
            </w:r>
            <w:sdt>
              <w:sdtPr>
                <w:id w:val="-1846891972"/>
                <w:tag w:val="goog_rdk_4"/>
              </w:sdtPr>
              <w:sdtContent>
                <w:r w:rsidDel="00000000" w:rsidR="00000000" w:rsidRPr="00000000">
                  <w:rPr>
                    <w:rFonts w:ascii="Arial Unicode MS" w:cs="Arial Unicode MS" w:eastAsia="Arial Unicode MS" w:hAnsi="Arial Unicode MS"/>
                    <w:color w:val="474747"/>
                    <w:sz w:val="21"/>
                    <w:szCs w:val="21"/>
                    <w:highlight w:val="white"/>
                    <w:rtl w:val="0"/>
                  </w:rPr>
                  <w:t xml:space="preserve"> ≤ </w:t>
                </w:r>
              </w:sdtContent>
            </w:sdt>
            <w:r w:rsidDel="00000000" w:rsidR="00000000" w:rsidRPr="00000000">
              <w:rPr>
                <w:rFonts w:ascii="Arial" w:cs="Arial" w:eastAsia="Arial" w:hAnsi="Arial"/>
                <w:rtl w:val="0"/>
              </w:rPr>
              <w:t xml:space="preserve">0,1 iki </w:t>
            </w:r>
            <w:sdt>
              <w:sdtPr>
                <w:id w:val="1373873272"/>
                <w:tag w:val="goog_rdk_5"/>
              </w:sdtPr>
              <w:sdtContent>
                <w:r w:rsidDel="00000000" w:rsidR="00000000" w:rsidRPr="00000000">
                  <w:rPr>
                    <w:rFonts w:ascii="Arial Unicode MS" w:cs="Arial Unicode MS" w:eastAsia="Arial Unicode MS" w:hAnsi="Arial Unicode MS"/>
                    <w:color w:val="474747"/>
                    <w:highlight w:val="white"/>
                    <w:rtl w:val="0"/>
                  </w:rPr>
                  <w:t xml:space="preserve">≥ </w:t>
                </w:r>
              </w:sdtContent>
            </w:sdt>
            <w:r w:rsidDel="00000000" w:rsidR="00000000" w:rsidRPr="00000000">
              <w:rPr>
                <w:rFonts w:ascii="Arial" w:cs="Arial" w:eastAsia="Arial" w:hAnsi="Arial"/>
                <w:rtl w:val="0"/>
              </w:rPr>
              <w:t xml:space="preserve">100 aps./min. (rpm).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40"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p w:rsidR="00000000" w:rsidDel="00000000" w:rsidP="00000000" w:rsidRDefault="00000000" w:rsidRPr="00000000" w14:paraId="0000004A">
            <w:pPr>
              <w:spacing w:after="0" w:line="240" w:lineRule="auto"/>
              <w:rPr>
                <w:rFonts w:ascii="Arial" w:cs="Arial" w:eastAsia="Arial" w:hAnsi="Arial"/>
              </w:rPr>
            </w:pPr>
            <w:r w:rsidDel="00000000" w:rsidR="00000000" w:rsidRPr="00000000">
              <w:rPr>
                <w:rFonts w:ascii="Arial" w:cs="Arial" w:eastAsia="Arial" w:hAnsi="Arial"/>
                <w:rtl w:val="0"/>
              </w:rPr>
              <w:t xml:space="preserve">Srauto greitis (vienam kanalui)</w:t>
            </w:r>
          </w:p>
        </w:tc>
        <w:tc>
          <w:tcPr/>
          <w:p w:rsidR="00000000" w:rsidDel="00000000" w:rsidP="00000000" w:rsidRDefault="00000000" w:rsidRPr="00000000" w14:paraId="0000004B">
            <w:pPr>
              <w:spacing w:after="0" w:line="240" w:lineRule="auto"/>
              <w:jc w:val="both"/>
              <w:rPr>
                <w:rFonts w:ascii="Arial" w:cs="Arial" w:eastAsia="Arial" w:hAnsi="Arial"/>
              </w:rPr>
            </w:pPr>
            <w:r w:rsidDel="00000000" w:rsidR="00000000" w:rsidRPr="00000000">
              <w:rPr>
                <w:rFonts w:ascii="Arial" w:cs="Arial" w:eastAsia="Arial" w:hAnsi="Arial"/>
                <w:rtl w:val="0"/>
              </w:rPr>
              <w:t xml:space="preserve">Turi apimti ruožą nuo </w:t>
            </w:r>
            <w:sdt>
              <w:sdtPr>
                <w:id w:val="-1325018648"/>
                <w:tag w:val="goog_rdk_6"/>
              </w:sdtPr>
              <w:sdtContent>
                <w:r w:rsidDel="00000000" w:rsidR="00000000" w:rsidRPr="00000000">
                  <w:rPr>
                    <w:rFonts w:ascii="Arial Unicode MS" w:cs="Arial Unicode MS" w:eastAsia="Arial Unicode MS" w:hAnsi="Arial Unicode MS"/>
                    <w:color w:val="474747"/>
                    <w:sz w:val="21"/>
                    <w:szCs w:val="21"/>
                    <w:highlight w:val="white"/>
                    <w:rtl w:val="0"/>
                  </w:rPr>
                  <w:t xml:space="preserve">≤ </w:t>
                </w:r>
              </w:sdtContent>
            </w:sdt>
            <w:r w:rsidDel="00000000" w:rsidR="00000000" w:rsidRPr="00000000">
              <w:rPr>
                <w:rFonts w:ascii="Arial" w:cs="Arial" w:eastAsia="Arial" w:hAnsi="Arial"/>
                <w:rtl w:val="0"/>
              </w:rPr>
              <w:t xml:space="preserve">0,0001 iki </w:t>
            </w:r>
            <w:sdt>
              <w:sdtPr>
                <w:id w:val="946428539"/>
                <w:tag w:val="goog_rdk_7"/>
              </w:sdtPr>
              <w:sdtContent>
                <w:r w:rsidDel="00000000" w:rsidR="00000000" w:rsidRPr="00000000">
                  <w:rPr>
                    <w:rFonts w:ascii="Arial Unicode MS" w:cs="Arial Unicode MS" w:eastAsia="Arial Unicode MS" w:hAnsi="Arial Unicode MS"/>
                    <w:color w:val="474747"/>
                    <w:highlight w:val="white"/>
                    <w:rtl w:val="0"/>
                  </w:rPr>
                  <w:t xml:space="preserve">≥ </w:t>
                </w:r>
              </w:sdtContent>
            </w:sdt>
            <w:r w:rsidDel="00000000" w:rsidR="00000000" w:rsidRPr="00000000">
              <w:rPr>
                <w:rFonts w:ascii="Arial" w:cs="Arial" w:eastAsia="Arial" w:hAnsi="Arial"/>
                <w:rtl w:val="0"/>
              </w:rPr>
              <w:t xml:space="preserve">43 ml/min (priklausomai nuo naudojamų žarnelių).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240"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p w:rsidR="00000000" w:rsidDel="00000000" w:rsidP="00000000" w:rsidRDefault="00000000" w:rsidRPr="00000000" w14:paraId="0000004E">
            <w:pPr>
              <w:spacing w:after="0" w:line="240" w:lineRule="auto"/>
              <w:rPr>
                <w:rFonts w:ascii="Arial" w:cs="Arial" w:eastAsia="Arial" w:hAnsi="Arial"/>
              </w:rPr>
            </w:pPr>
            <w:r w:rsidDel="00000000" w:rsidR="00000000" w:rsidRPr="00000000">
              <w:rPr>
                <w:rFonts w:ascii="Arial" w:cs="Arial" w:eastAsia="Arial" w:hAnsi="Arial"/>
                <w:rtl w:val="0"/>
              </w:rPr>
              <w:t xml:space="preserve">Valdymo sąsaja</w:t>
            </w:r>
          </w:p>
        </w:tc>
        <w:tc>
          <w:tcPr/>
          <w:p w:rsidR="00000000" w:rsidDel="00000000" w:rsidP="00000000" w:rsidRDefault="00000000" w:rsidRPr="00000000" w14:paraId="0000004F">
            <w:pPr>
              <w:spacing w:after="0" w:line="240" w:lineRule="auto"/>
              <w:jc w:val="both"/>
              <w:rPr>
                <w:rFonts w:ascii="Arial" w:cs="Arial" w:eastAsia="Arial" w:hAnsi="Arial"/>
              </w:rPr>
            </w:pPr>
            <w:r w:rsidDel="00000000" w:rsidR="00000000" w:rsidRPr="00000000">
              <w:rPr>
                <w:rFonts w:ascii="Arial" w:cs="Arial" w:eastAsia="Arial" w:hAnsi="Arial"/>
                <w:rtl w:val="0"/>
              </w:rPr>
              <w:t xml:space="preserve">Integruotas skystųjų kristalų (LCD) ekranas ir klaviatūra rankiniam valdymui; USB 2.0 sąsaja nuotoliniam valdymui per kompiuterį arba lygiaverčiai.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40"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Fonts w:ascii="Arial" w:cs="Arial" w:eastAsia="Arial" w:hAnsi="Arial"/>
                <w:rtl w:val="0"/>
              </w:rPr>
              <w:t xml:space="preserve">Darbo režimai</w:t>
            </w:r>
          </w:p>
        </w:tc>
        <w:tc>
          <w:tcPr/>
          <w:p w:rsidR="00000000" w:rsidDel="00000000" w:rsidP="00000000" w:rsidRDefault="00000000" w:rsidRPr="00000000" w14:paraId="00000053">
            <w:pPr>
              <w:spacing w:after="0" w:line="240" w:lineRule="auto"/>
              <w:jc w:val="both"/>
              <w:rPr>
                <w:rFonts w:ascii="Arial" w:cs="Arial" w:eastAsia="Arial" w:hAnsi="Arial"/>
              </w:rPr>
            </w:pPr>
            <w:r w:rsidDel="00000000" w:rsidR="00000000" w:rsidRPr="00000000">
              <w:rPr>
                <w:rFonts w:ascii="Arial" w:cs="Arial" w:eastAsia="Arial" w:hAnsi="Arial"/>
                <w:rtl w:val="0"/>
              </w:rPr>
              <w:t xml:space="preserve">Nuolatinis pumpavimas (Continuous flow), dozavimas pagal tūrį (Volume dispense), dozavimas pagal laiką (Time dispense) arba lygiaverčiai.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0" w:line="240"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Fonts w:ascii="Arial" w:cs="Arial" w:eastAsia="Arial" w:hAnsi="Arial"/>
                <w:rtl w:val="0"/>
              </w:rPr>
              <w:t xml:space="preserve">Žarnelių tipas</w:t>
            </w:r>
          </w:p>
        </w:tc>
        <w:tc>
          <w:tcPr/>
          <w:p w:rsidR="00000000" w:rsidDel="00000000" w:rsidP="00000000" w:rsidRDefault="00000000" w:rsidRPr="00000000" w14:paraId="00000057">
            <w:pPr>
              <w:spacing w:after="0" w:line="240" w:lineRule="auto"/>
              <w:jc w:val="both"/>
              <w:rPr>
                <w:rFonts w:ascii="Arial" w:cs="Arial" w:eastAsia="Arial" w:hAnsi="Arial"/>
              </w:rPr>
            </w:pPr>
            <w:r w:rsidDel="00000000" w:rsidR="00000000" w:rsidRPr="00000000">
              <w:rPr>
                <w:rFonts w:ascii="Arial" w:cs="Arial" w:eastAsia="Arial" w:hAnsi="Arial"/>
                <w:rtl w:val="0"/>
              </w:rPr>
              <w:t xml:space="preserve">Suderinamas su standartinėmis 3-jų fiksavimo taškų (3-stop) peristaltinėmis žarnelėmis arba lygiavertėmis.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240"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Fonts w:ascii="Arial" w:cs="Arial" w:eastAsia="Arial" w:hAnsi="Arial"/>
                <w:rtl w:val="0"/>
              </w:rPr>
              <w:t xml:space="preserve">Maitinimas</w:t>
            </w:r>
          </w:p>
        </w:tc>
        <w:tc>
          <w:tcPr/>
          <w:p w:rsidR="00000000" w:rsidDel="00000000" w:rsidP="00000000" w:rsidRDefault="00000000" w:rsidRPr="00000000" w14:paraId="0000005B">
            <w:pPr>
              <w:spacing w:after="0" w:line="240" w:lineRule="auto"/>
              <w:jc w:val="both"/>
              <w:rPr>
                <w:rFonts w:ascii="Arial" w:cs="Arial" w:eastAsia="Arial" w:hAnsi="Arial"/>
              </w:rPr>
            </w:pPr>
            <w:r w:rsidDel="00000000" w:rsidR="00000000" w:rsidRPr="00000000">
              <w:rPr>
                <w:rFonts w:ascii="Arial" w:cs="Arial" w:eastAsia="Arial" w:hAnsi="Arial"/>
                <w:rtl w:val="0"/>
              </w:rPr>
              <w:t xml:space="preserve">ES standartas.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after="0" w:line="240"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p w:rsidR="00000000" w:rsidDel="00000000" w:rsidP="00000000" w:rsidRDefault="00000000" w:rsidRPr="00000000" w14:paraId="0000005E">
            <w:pPr>
              <w:spacing w:after="0" w:line="240" w:lineRule="auto"/>
              <w:rPr>
                <w:rFonts w:ascii="Arial" w:cs="Arial" w:eastAsia="Arial" w:hAnsi="Arial"/>
              </w:rPr>
            </w:pPr>
            <w:r w:rsidDel="00000000" w:rsidR="00000000" w:rsidRPr="00000000">
              <w:rPr>
                <w:rFonts w:ascii="Arial" w:cs="Arial" w:eastAsia="Arial" w:hAnsi="Arial"/>
                <w:rtl w:val="0"/>
              </w:rPr>
              <w:t xml:space="preserve">Apsaugos klasė</w:t>
            </w:r>
          </w:p>
        </w:tc>
        <w:tc>
          <w:tcPr/>
          <w:p w:rsidR="00000000" w:rsidDel="00000000" w:rsidP="00000000" w:rsidRDefault="00000000" w:rsidRPr="00000000" w14:paraId="0000005F">
            <w:pPr>
              <w:spacing w:after="0" w:line="240" w:lineRule="auto"/>
              <w:jc w:val="both"/>
              <w:rPr>
                <w:rFonts w:ascii="Arial" w:cs="Arial" w:eastAsia="Arial" w:hAnsi="Arial"/>
              </w:rPr>
            </w:pPr>
            <w:r w:rsidDel="00000000" w:rsidR="00000000" w:rsidRPr="00000000">
              <w:rPr>
                <w:rFonts w:ascii="Arial" w:cs="Arial" w:eastAsia="Arial" w:hAnsi="Arial"/>
                <w:rtl w:val="0"/>
              </w:rPr>
              <w:t xml:space="preserve">Ne žemesnė kaip IP30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after="0" w:line="240"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Garantija*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jc w:val="both"/>
              <w:rPr>
                <w:rFonts w:ascii="Arial" w:cs="Arial" w:eastAsia="Arial" w:hAnsi="Arial"/>
              </w:rPr>
            </w:pPr>
            <w:r w:rsidDel="00000000" w:rsidR="00000000" w:rsidRPr="00000000">
              <w:rPr>
                <w:rFonts w:ascii="Arial" w:cs="Arial" w:eastAsia="Arial" w:hAnsi="Arial"/>
                <w:rtl w:val="0"/>
              </w:rPr>
              <w:t xml:space="preserve">Garantinis terminas įrangai: Ne trumpesnė kaip </w:t>
            </w:r>
            <w:r w:rsidDel="00000000" w:rsidR="00000000" w:rsidRPr="00000000">
              <w:rPr>
                <w:rFonts w:ascii="Arial" w:cs="Arial" w:eastAsia="Arial" w:hAnsi="Arial"/>
                <w:color w:val="444746"/>
                <w:rtl w:val="0"/>
              </w:rPr>
              <w:t xml:space="preserve">12 mėn. </w:t>
            </w:r>
            <w:r w:rsidDel="00000000" w:rsidR="00000000" w:rsidRPr="00000000">
              <w:rPr>
                <w:rFonts w:ascii="Arial" w:cs="Arial" w:eastAsia="Arial" w:hAnsi="Arial"/>
                <w:rtl w:val="0"/>
              </w:rPr>
              <w:t xml:space="preserve">visiems komponentams. Garantija taikoma nuo priėmimo perdavimo akto pasirašymo dienos.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after="0" w:line="24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65">
      <w:pPr>
        <w:spacing w:after="0" w:lineRule="auto"/>
        <w:jc w:val="both"/>
        <w:rPr>
          <w:rFonts w:ascii="Arial" w:cs="Arial" w:eastAsia="Arial" w:hAnsi="Arial"/>
          <w:b w:val="1"/>
          <w:bCs w:val="1"/>
        </w:rPr>
      </w:pP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b w:val="1"/>
          <w:bCs w:val="1"/>
          <w:rtl w:val="0"/>
        </w:rPr>
        <w:t xml:space="preserve">Pateikti kartu su pasiūlymu siūlomos įrangos techninius parametrus, </w:t>
      </w:r>
      <w:r w:rsidDel="00000000" w:rsidR="00000000" w:rsidRPr="00000000">
        <w:rPr>
          <w:rFonts w:ascii="Arial" w:cs="Arial" w:eastAsia="Arial" w:hAnsi="Arial"/>
          <w:b w:val="1"/>
          <w:bCs w:val="1"/>
          <w:u w:val="single"/>
          <w:rtl w:val="0"/>
        </w:rPr>
        <w:t xml:space="preserve">išskyrus pažymėtus *</w:t>
      </w:r>
      <w:r w:rsidDel="00000000" w:rsidR="00000000" w:rsidRPr="00000000">
        <w:rPr>
          <w:rFonts w:ascii="Arial" w:cs="Arial" w:eastAsia="Arial" w:hAnsi="Arial"/>
          <w:b w:val="1"/>
          <w:bCs w:val="1"/>
          <w:rtl w:val="0"/>
        </w:rPr>
        <w:t xml:space="preserve">, patikimai patvirtinančius dokumentus (pvz. gamintojo prekės aprašymas arba internetinė nuoroda į gamintojo psl., arba lygiaverčiai dokumentai).</w:t>
      </w:r>
    </w:p>
    <w:p w:rsidR="00000000" w:rsidDel="00000000" w:rsidP="00000000" w:rsidRDefault="00000000" w:rsidRPr="00000000" w14:paraId="00000066">
      <w:pPr>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7">
      <w:pPr>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8">
      <w:pPr>
        <w:numPr>
          <w:ilvl w:val="0"/>
          <w:numId w:val="4"/>
        </w:numPr>
        <w:pBdr>
          <w:top w:color="000000" w:space="1" w:sz="8" w:val="single"/>
          <w:bottom w:color="000000" w:space="1" w:sz="8" w:val="single"/>
        </w:pBdr>
        <w:shd w:fill="d9d9d9" w:val="clear"/>
        <w:tabs>
          <w:tab w:val="left" w:leader="none" w:pos="284"/>
          <w:tab w:val="left" w:leader="none" w:pos="851"/>
        </w:tabs>
        <w:spacing w:after="0" w:line="240"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APLINKOSAUGINIAI REIKALAVIMAI</w:t>
      </w:r>
    </w:p>
    <w:p w:rsidR="00000000" w:rsidDel="00000000" w:rsidP="00000000" w:rsidRDefault="00000000" w:rsidRPr="00000000" w14:paraId="00000069">
      <w:pPr>
        <w:spacing w:after="0" w:line="240" w:lineRule="auto"/>
        <w:jc w:val="both"/>
        <w:rPr>
          <w:rFonts w:ascii="Arial" w:cs="Arial" w:eastAsia="Arial" w:hAnsi="Arial"/>
        </w:rPr>
      </w:pPr>
      <w:r w:rsidDel="00000000" w:rsidR="00000000" w:rsidRPr="00000000">
        <w:rPr>
          <w:rFonts w:ascii="Arial" w:cs="Arial" w:eastAsia="Arial" w:hAnsi="Arial"/>
          <w:rtl w:val="0"/>
        </w:rPr>
        <w:t xml:space="preserve">4.1. Pirkimui yra taikomi Aplinkos apsaugos kriterijai, </w:t>
      </w:r>
      <w:r w:rsidDel="00000000" w:rsidR="00000000" w:rsidRPr="00000000">
        <w:rPr>
          <w:rFonts w:ascii="Arial" w:cs="Arial" w:eastAsia="Arial" w:hAnsi="Arial"/>
          <w:highlight w:val="white"/>
          <w:rtl w:val="0"/>
        </w:rPr>
        <w:t xml:space="preserve">vadovaujantis </w:t>
      </w:r>
      <w:hyperlink r:id="rId9">
        <w:r w:rsidDel="00000000" w:rsidR="00000000" w:rsidRPr="00000000">
          <w:rPr>
            <w:rFonts w:ascii="Arial" w:cs="Arial" w:eastAsia="Arial" w:hAnsi="Arial"/>
            <w:highlight w:val="white"/>
            <w:rtl w:val="0"/>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Del="00000000" w:rsidR="00000000" w:rsidRPr="00000000">
        <w:rPr>
          <w:rFonts w:ascii="Arial" w:cs="Arial" w:eastAsia="Arial" w:hAnsi="Arial"/>
          <w:highlight w:val="white"/>
          <w:rtl w:val="0"/>
        </w:rPr>
        <w:t xml:space="preserve">“ patvirtinto </w:t>
      </w:r>
      <w:hyperlink r:id="rId10">
        <w:r w:rsidDel="00000000" w:rsidR="00000000" w:rsidRPr="00000000">
          <w:rPr>
            <w:rFonts w:ascii="Arial" w:cs="Arial" w:eastAsia="Arial" w:hAnsi="Arial"/>
            <w:highlight w:val="white"/>
            <w:u w:val="single"/>
            <w:rtl w:val="0"/>
          </w:rPr>
          <w:t xml:space="preserve">Aplinkos apsaugos kriterijų taikymo, vykdant žaliuosius pirkimus, tvarkos aprašo</w:t>
        </w:r>
      </w:hyperlink>
      <w:r w:rsidDel="00000000" w:rsidR="00000000" w:rsidRPr="00000000">
        <w:rPr>
          <w:rFonts w:ascii="Arial" w:cs="Arial" w:eastAsia="Arial" w:hAnsi="Arial"/>
          <w:rtl w:val="0"/>
        </w:rPr>
        <w:t xml:space="preserve"> II skyriaus 4.4.4.1 papunkčiu. </w:t>
      </w:r>
    </w:p>
    <w:p w:rsidR="00000000" w:rsidDel="00000000" w:rsidP="00000000" w:rsidRDefault="00000000" w:rsidRPr="00000000" w14:paraId="0000006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B">
      <w:pPr>
        <w:spacing w:after="0" w:line="240" w:lineRule="auto"/>
        <w:ind w:left="7200" w:firstLine="720"/>
        <w:jc w:val="both"/>
        <w:rPr>
          <w:rFonts w:ascii="Arial" w:cs="Arial" w:eastAsia="Arial" w:hAnsi="Arial"/>
        </w:rPr>
      </w:pPr>
      <w:r w:rsidDel="00000000" w:rsidR="00000000" w:rsidRPr="00000000">
        <w:rPr>
          <w:rFonts w:ascii="Arial" w:cs="Arial" w:eastAsia="Arial" w:hAnsi="Arial"/>
          <w:b w:val="1"/>
          <w:bCs w:val="1"/>
          <w:rtl w:val="0"/>
        </w:rPr>
        <w:t xml:space="preserve">       3 lentelė.</w:t>
      </w:r>
      <w:r w:rsidDel="00000000" w:rsidR="00000000" w:rsidRPr="00000000">
        <w:rPr>
          <w:rFonts w:ascii="Arial" w:cs="Arial" w:eastAsia="Arial" w:hAnsi="Arial"/>
          <w:rtl w:val="0"/>
        </w:rPr>
        <w:t xml:space="preserve"> </w:t>
      </w:r>
    </w:p>
    <w:tbl>
      <w:tblPr>
        <w:tblStyle w:val="Table3"/>
        <w:tblW w:w="9622.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565"/>
        <w:gridCol w:w="5823"/>
        <w:gridCol w:w="3234"/>
        <w:tblGridChange w:id="0">
          <w:tblGrid>
            <w:gridCol w:w="565"/>
            <w:gridCol w:w="5823"/>
            <w:gridCol w:w="3234"/>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C">
            <w:pPr>
              <w:spacing w:after="0" w:line="240" w:lineRule="auto"/>
              <w:jc w:val="both"/>
              <w:rPr>
                <w:rFonts w:ascii="Arial" w:cs="Arial" w:eastAsia="Arial" w:hAnsi="Arial"/>
              </w:rPr>
            </w:pPr>
            <w:r w:rsidDel="00000000" w:rsidR="00000000" w:rsidRPr="00000000">
              <w:rPr>
                <w:rFonts w:ascii="Arial" w:cs="Arial" w:eastAsia="Arial" w:hAnsi="Arial"/>
                <w:b w:val="1"/>
                <w:bCs w:val="1"/>
                <w:rtl w:val="0"/>
              </w:rPr>
              <w:t xml:space="preserve">Eil. Nr.</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D">
            <w:pPr>
              <w:spacing w:after="0" w:line="240" w:lineRule="auto"/>
              <w:jc w:val="both"/>
              <w:rPr>
                <w:rFonts w:ascii="Arial" w:cs="Arial" w:eastAsia="Arial" w:hAnsi="Arial"/>
              </w:rPr>
            </w:pPr>
            <w:r w:rsidDel="00000000" w:rsidR="00000000" w:rsidRPr="00000000">
              <w:rPr>
                <w:rFonts w:ascii="Arial" w:cs="Arial" w:eastAsia="Arial" w:hAnsi="Arial"/>
                <w:b w:val="1"/>
                <w:bCs w:val="1"/>
                <w:rtl w:val="0"/>
              </w:rPr>
              <w:t xml:space="preserve">Reikalavimas</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E">
            <w:pPr>
              <w:spacing w:after="0" w:line="240" w:lineRule="auto"/>
              <w:jc w:val="both"/>
              <w:rPr>
                <w:rFonts w:ascii="Arial" w:cs="Arial" w:eastAsia="Arial" w:hAnsi="Arial"/>
              </w:rPr>
            </w:pPr>
            <w:r w:rsidDel="00000000" w:rsidR="00000000" w:rsidRPr="00000000">
              <w:rPr>
                <w:rFonts w:ascii="Arial" w:cs="Arial" w:eastAsia="Arial" w:hAnsi="Arial"/>
                <w:b w:val="1"/>
                <w:bCs w:val="1"/>
                <w:rtl w:val="0"/>
              </w:rPr>
              <w:t xml:space="preserve">Atitiktį įrodantys dokumentai</w:t>
            </w: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F">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0">
            <w:pPr>
              <w:spacing w:after="0" w:line="240" w:lineRule="auto"/>
              <w:ind w:left="140" w:right="49" w:firstLine="0"/>
              <w:jc w:val="both"/>
              <w:rPr>
                <w:rFonts w:ascii="Arial" w:cs="Arial" w:eastAsia="Arial" w:hAnsi="Arial"/>
              </w:rPr>
            </w:pPr>
            <w:r w:rsidDel="00000000" w:rsidR="00000000" w:rsidRPr="00000000">
              <w:rPr>
                <w:rFonts w:ascii="Arial" w:cs="Arial" w:eastAsia="Arial" w:hAnsi="Arial"/>
                <w:rtl w:val="0"/>
              </w:rPr>
              <w:t xml:space="preserve">Konkretus reikalavimas nustatytas Konkretaus pirkimo sąlygų 3 priedo „Sutarties projektas“ Specialiųjų sąlygų 13 skyriuje.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1">
            <w:pPr>
              <w:spacing w:after="0" w:line="240" w:lineRule="auto"/>
              <w:ind w:left="59" w:right="130" w:firstLine="0"/>
              <w:jc w:val="both"/>
              <w:rPr>
                <w:rFonts w:ascii="Arial" w:cs="Arial" w:eastAsia="Arial" w:hAnsi="Arial"/>
              </w:rPr>
            </w:pPr>
            <w:r w:rsidDel="00000000" w:rsidR="00000000" w:rsidRPr="00000000">
              <w:rPr>
                <w:rFonts w:ascii="Arial" w:cs="Arial" w:eastAsia="Arial" w:hAnsi="Arial"/>
                <w:rtl w:val="0"/>
              </w:rPr>
              <w:t xml:space="preserve">Kartu su pasiūlymu Tiekėjas </w:t>
            </w:r>
            <w:r w:rsidDel="00000000" w:rsidR="00000000" w:rsidRPr="00000000">
              <w:rPr>
                <w:rFonts w:ascii="Arial" w:cs="Arial" w:eastAsia="Arial" w:hAnsi="Arial"/>
                <w:b w:val="1"/>
                <w:bCs w:val="1"/>
                <w:rtl w:val="0"/>
              </w:rPr>
              <w:t xml:space="preserve">neturi </w:t>
            </w:r>
            <w:r w:rsidDel="00000000" w:rsidR="00000000" w:rsidRPr="00000000">
              <w:rPr>
                <w:rFonts w:ascii="Arial" w:cs="Arial" w:eastAsia="Arial" w:hAnsi="Arial"/>
                <w:rtl w:val="0"/>
              </w:rPr>
              <w:t xml:space="preserve">pateikti atitiktį įrodančių dokumentų.    </w:t>
            </w:r>
          </w:p>
          <w:p w:rsidR="00000000" w:rsidDel="00000000" w:rsidP="00000000" w:rsidRDefault="00000000" w:rsidRPr="00000000" w14:paraId="00000072">
            <w:pPr>
              <w:spacing w:after="0" w:line="240" w:lineRule="auto"/>
              <w:ind w:left="59" w:right="130" w:firstLine="0"/>
              <w:jc w:val="both"/>
              <w:rPr>
                <w:rFonts w:ascii="Arial" w:cs="Arial" w:eastAsia="Arial" w:hAnsi="Arial"/>
              </w:rPr>
            </w:pPr>
            <w:r w:rsidDel="00000000" w:rsidR="00000000" w:rsidRPr="00000000">
              <w:rPr>
                <w:rFonts w:ascii="Arial" w:cs="Arial" w:eastAsia="Arial" w:hAnsi="Arial"/>
                <w:rtl w:val="0"/>
              </w:rPr>
              <w:t xml:space="preserve">Perkančioji organizacija šio reikalavimo atitiktį tikrina Sutarties vykdymo metu.  </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 </w:t>
            </w:r>
          </w:p>
        </w:tc>
      </w:tr>
    </w:tbl>
    <w:p w:rsidR="00000000" w:rsidDel="00000000" w:rsidP="00000000" w:rsidRDefault="00000000" w:rsidRPr="00000000" w14:paraId="00000073">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4">
      <w:pPr>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5">
      <w:pPr>
        <w:pBdr>
          <w:top w:color="000000" w:space="1" w:sz="8" w:val="single"/>
          <w:bottom w:color="000000" w:space="1" w:sz="8" w:val="single"/>
        </w:pBdr>
        <w:shd w:fill="d9d9d9" w:val="clear"/>
        <w:tabs>
          <w:tab w:val="left" w:leader="none" w:pos="284"/>
          <w:tab w:val="left" w:leader="none" w:pos="851"/>
        </w:tabs>
        <w:spacing w:after="0" w:line="240" w:lineRule="auto"/>
        <w:rPr>
          <w:rFonts w:ascii="Arial" w:cs="Arial" w:eastAsia="Arial" w:hAnsi="Arial"/>
          <w:b w:val="1"/>
          <w:bCs w:val="1"/>
        </w:rPr>
      </w:pPr>
      <w:bookmarkStart w:colFirst="0" w:colLast="0" w:name="_heading=h.gh86ceufum05" w:id="0"/>
      <w:bookmarkEnd w:id="0"/>
      <w:r w:rsidDel="00000000" w:rsidR="00000000" w:rsidRPr="00000000">
        <w:rPr>
          <w:rFonts w:ascii="Arial" w:cs="Arial" w:eastAsia="Arial" w:hAnsi="Arial"/>
          <w:b w:val="1"/>
          <w:bCs w:val="1"/>
          <w:rtl w:val="0"/>
        </w:rPr>
        <w:t xml:space="preserve">5. KITA INFORMACIJA</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5.1</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highlight w:val="white"/>
          <w:u w:val="single"/>
          <w:rtl w:val="0"/>
        </w:rPr>
        <w:t xml:space="preserve">Tiekėjas Sutarties vykdymo metu kartu su pristatomomis prekėmis privalo pateikti </w:t>
      </w:r>
      <w:r w:rsidDel="00000000" w:rsidR="00000000" w:rsidRPr="00000000">
        <w:rPr>
          <w:rFonts w:ascii="Arial" w:cs="Arial" w:eastAsia="Arial" w:hAnsi="Arial"/>
          <w:color w:val="000000"/>
          <w:u w:val="single"/>
          <w:rtl w:val="0"/>
        </w:rPr>
        <w:t xml:space="preserve">CE</w:t>
      </w:r>
      <w:r w:rsidDel="00000000" w:rsidR="00000000" w:rsidRPr="00000000">
        <w:rPr>
          <w:rFonts w:ascii="Arial" w:cs="Arial" w:eastAsia="Arial" w:hAnsi="Arial"/>
          <w:color w:val="000000"/>
          <w:highlight w:val="white"/>
          <w:u w:val="single"/>
          <w:rtl w:val="0"/>
        </w:rPr>
        <w:t xml:space="preserve"> sertifikato, </w:t>
      </w:r>
      <w:r w:rsidDel="00000000" w:rsidR="00000000" w:rsidRPr="00000000">
        <w:rPr>
          <w:rFonts w:ascii="Arial" w:cs="Arial" w:eastAsia="Arial" w:hAnsi="Arial"/>
          <w:color w:val="000000"/>
          <w:u w:val="single"/>
          <w:rtl w:val="0"/>
        </w:rPr>
        <w:t xml:space="preserve">išduoto paskelbtosios (notifikuotos) įstaigos,</w:t>
      </w:r>
      <w:r w:rsidDel="00000000" w:rsidR="00000000" w:rsidRPr="00000000">
        <w:rPr>
          <w:rFonts w:ascii="Arial" w:cs="Arial" w:eastAsia="Arial" w:hAnsi="Arial"/>
          <w:color w:val="000000"/>
          <w:highlight w:val="white"/>
          <w:u w:val="single"/>
          <w:rtl w:val="0"/>
        </w:rPr>
        <w:t xml:space="preserve"> arba EB deklaracijos, </w:t>
      </w:r>
      <w:r w:rsidDel="00000000" w:rsidR="00000000" w:rsidRPr="00000000">
        <w:rPr>
          <w:rFonts w:ascii="Arial" w:cs="Arial" w:eastAsia="Arial" w:hAnsi="Arial"/>
          <w:color w:val="000000"/>
          <w:u w:val="single"/>
          <w:rtl w:val="0"/>
        </w:rPr>
        <w:t xml:space="preserve">arba gamintojo parengtos deklaracijos</w:t>
      </w:r>
      <w:r w:rsidDel="00000000" w:rsidR="00000000" w:rsidRPr="00000000">
        <w:rPr>
          <w:rFonts w:ascii="Arial" w:cs="Arial" w:eastAsia="Arial" w:hAnsi="Arial"/>
          <w:color w:val="000000"/>
          <w:highlight w:val="white"/>
          <w:u w:val="single"/>
          <w:rtl w:val="0"/>
        </w:rPr>
        <w:t xml:space="preserve"> kopiją (pateikiama tai, kas taikoma pirkimo objektui pagal teisės aktų reikalavimus)</w:t>
      </w:r>
      <w:r w:rsidDel="00000000" w:rsidR="00000000" w:rsidRPr="00000000">
        <w:rPr>
          <w:rFonts w:ascii="Arial" w:cs="Arial" w:eastAsia="Arial" w:hAnsi="Arial"/>
          <w:color w:val="000000"/>
          <w:highlight w:val="white"/>
          <w:rtl w:val="0"/>
        </w:rPr>
        <w:t xml:space="preserve">. Pateikiant EB deklaracijos </w:t>
      </w:r>
      <w:r w:rsidDel="00000000" w:rsidR="00000000" w:rsidRPr="00000000">
        <w:rPr>
          <w:rFonts w:ascii="Arial" w:cs="Arial" w:eastAsia="Arial" w:hAnsi="Arial"/>
          <w:color w:val="000000"/>
          <w:rtl w:val="0"/>
        </w:rPr>
        <w:t xml:space="preserve">arba gamintojo parengtos deklaracijos</w:t>
      </w:r>
      <w:r w:rsidDel="00000000" w:rsidR="00000000" w:rsidRPr="00000000">
        <w:rPr>
          <w:rFonts w:ascii="Arial" w:cs="Arial" w:eastAsia="Arial" w:hAnsi="Arial"/>
          <w:color w:val="000000"/>
          <w:highlight w:val="white"/>
          <w:rtl w:val="0"/>
        </w:rPr>
        <w:t xml:space="preserve"> kopiją, kad pasiūlytos prekės atitinka reikiamus standartus, bei prekių klasei būtinus reglamentus, kartu pateikiami ir techniniai dokumentai, pagrindžiantys prekės atitiktį reikiamiems standartams bei reglamentams.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Jei prekėms pagal Europos Sąjungos teisės aktų reikalavimus nėra privalomas CE ženklinimas – Tiekėjas laisva rašytine forma turi pagrįsti, kad prekių neprivaloma ženklinti CE ženklu pagal teisės aktų reikalavimus. </w:t>
      </w:r>
    </w:p>
    <w:p w:rsidR="00000000" w:rsidDel="00000000" w:rsidP="00000000" w:rsidRDefault="00000000" w:rsidRPr="00000000" w14:paraId="00000079">
      <w:pPr>
        <w:spacing w:after="0" w:lineRule="auto"/>
        <w:jc w:val="both"/>
        <w:rPr>
          <w:rFonts w:ascii="Arial" w:cs="Arial" w:eastAsia="Arial" w:hAnsi="Arial"/>
          <w:b w:val="1"/>
          <w:bCs w:val="1"/>
        </w:rPr>
      </w:pPr>
      <w:r w:rsidDel="00000000" w:rsidR="00000000" w:rsidRPr="00000000">
        <w:rPr>
          <w:rtl w:val="0"/>
        </w:rPr>
      </w:r>
    </w:p>
    <w:sectPr>
      <w:headerReference r:id="rId11" w:type="first"/>
      <w:footerReference r:id="rId12" w:type="default"/>
      <w:pgSz w:h="16838" w:w="11906" w:orient="portrait"/>
      <w:pgMar w:bottom="709" w:top="709" w:left="1701"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neatliekant papildomų sąveikaujančių elementų pakeitimų;</w:t>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panaudojimas neturės įtakos sąveikaujančių elementų greitesniam susidėvėjimui, gedimams ir (ar) garantijos praradimui;</w:t>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numatytas tarnavimo laikotarpis nėra  trumpesnis;</w:t>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nėra prastesnio techninio pažangumo lygio.</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16"/>
          <w:szCs w:val="16"/>
          <w:rtl w:val="0"/>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Del="00000000" w:rsidR="00000000" w:rsidRPr="00000000">
        <w:rPr>
          <w:rFonts w:ascii="Arial" w:cs="Arial" w:eastAsia="Arial" w:hAnsi="Arial"/>
          <w:color w:val="000000"/>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rFonts w:ascii="Times New Roman" w:cs="Times New Roman" w:eastAsia="Times New Roman" w:hAnsi="Times New Roman"/>
        <w:color w:val="000000"/>
      </w:rPr>
    </w:pPr>
    <w:bookmarkStart w:colFirst="0" w:colLast="0" w:name="_heading=h.djijnfi5j9y1" w:id="1"/>
    <w:bookmarkEnd w:id="1"/>
    <w:r w:rsidDel="00000000" w:rsidR="00000000" w:rsidRPr="00000000">
      <w:rPr>
        <w:rFonts w:ascii="Times New Roman" w:cs="Times New Roman" w:eastAsia="Times New Roman" w:hAnsi="Times New Roman"/>
        <w:color w:val="000000"/>
        <w:rtl w:val="0"/>
      </w:rPr>
      <w:t xml:space="preserve">Specialiųjų sąlygų 1 priedas/ Kvietimo 1 priedas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color w:val="000000"/>
      </w:rPr>
    </w:lvl>
    <w:lvl w:ilvl="1">
      <w:start w:val="1"/>
      <w:numFmt w:val="decimal"/>
      <w:lvlText w:val="%1.%2."/>
      <w:lvlJc w:val="left"/>
      <w:pPr>
        <w:ind w:left="1070" w:hanging="360"/>
      </w:pPr>
      <w:rPr>
        <w:b w:val="0"/>
        <w:bCs w:val="0"/>
        <w:i w:val="0"/>
        <w:iCs w:val="0"/>
        <w:sz w:val="22"/>
        <w:szCs w:val="22"/>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lvl>
    <w:lvl w:ilvl="1">
      <w:start w:val="1"/>
      <w:numFmt w:val="decimal"/>
      <w:lvlText w:val="%1.%2."/>
      <w:lvlJc w:val="left"/>
      <w:pPr>
        <w:ind w:left="360" w:hanging="360"/>
      </w:pPr>
      <w:rPr>
        <w:color w:val="000000"/>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3"/>
      <w:numFmt w:val="decimal"/>
      <w:lvlText w:val="%1."/>
      <w:lvlJc w:val="left"/>
      <w:pPr>
        <w:ind w:left="720" w:hanging="360"/>
      </w:pPr>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www.e-tar.lt/portal/lt/legalAct/TAR.4B60A8C9678B/asr" TargetMode="External"/><Relationship Id="rId12" Type="http://schemas.openxmlformats.org/officeDocument/2006/relationships/footer" Target="footer1.xml"/><Relationship Id="rId9"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ycOzYzaq8gT6XA5VmGs5MX61zQ==">CgMxLjAaMAoBMBIrCikIB0IlChFRdWF0dHJvY2VudG8gU2FucxIQQXJpYWwgVW5pY29kZSBNUxowCgExEisKKQgHQiUKEVF1YXR0cm9jZW50byBTYW5z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Mg5oLmdoODZjZXVmdW0wNTIOaC5kamlqbmZpNWo5eTE4AHIhMS1WRWtIaEMzdjJULUxRbFRzLVBLZkk3VFBISFJaQ1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MediaServiceImageTags</vt:lpwstr>
  </property>
  <property fmtid="{D5CDD505-2E9C-101B-9397-08002B2CF9AE}" pid="4" name="docLang">
    <vt:lpwstr>lt</vt:lpwstr>
  </property>
  <property fmtid="{D5CDD505-2E9C-101B-9397-08002B2CF9AE}" pid="5" name="GrammarlyDocumentId">
    <vt:lpwstr>aa60703d-bd1e-467e-ae3b-aa3deab2075d</vt:lpwstr>
  </property>
</Properties>
</file>