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8" w:type="dxa"/>
        <w:tblInd w:w="-34" w:type="dxa"/>
        <w:tblLayout w:type="fixed"/>
        <w:tblLook w:val="0000" w:firstRow="0" w:lastRow="0" w:firstColumn="0" w:lastColumn="0" w:noHBand="0" w:noVBand="0"/>
      </w:tblPr>
      <w:tblGrid>
        <w:gridCol w:w="4293"/>
        <w:gridCol w:w="341"/>
        <w:gridCol w:w="1105"/>
        <w:gridCol w:w="1105"/>
        <w:gridCol w:w="448"/>
        <w:gridCol w:w="2816"/>
      </w:tblGrid>
      <w:tr w:rsidR="00340931" w:rsidRPr="003D506E" w14:paraId="7A5D944E" w14:textId="77777777" w:rsidTr="4465F0F6">
        <w:trPr>
          <w:trHeight w:val="300"/>
        </w:trPr>
        <w:tc>
          <w:tcPr>
            <w:tcW w:w="4293" w:type="dxa"/>
          </w:tcPr>
          <w:p w14:paraId="5B2E8AB7" w14:textId="77777777" w:rsidR="00340931" w:rsidRPr="003D506E" w:rsidRDefault="00340931" w:rsidP="003E7858">
            <w:pPr>
              <w:pStyle w:val="BodyTextIndent2"/>
              <w:spacing w:after="0" w:line="240" w:lineRule="auto"/>
              <w:ind w:left="34"/>
              <w:rPr>
                <w:sz w:val="24"/>
                <w:szCs w:val="24"/>
                <w:lang w:val="lt-LT"/>
              </w:rPr>
            </w:pPr>
            <w:r w:rsidRPr="003D506E">
              <w:rPr>
                <w:sz w:val="24"/>
                <w:szCs w:val="24"/>
                <w:lang w:val="lt-LT"/>
              </w:rPr>
              <w:t>Suinteresuotiems asmenims</w:t>
            </w:r>
          </w:p>
        </w:tc>
        <w:tc>
          <w:tcPr>
            <w:tcW w:w="341" w:type="dxa"/>
          </w:tcPr>
          <w:p w14:paraId="238C6C84" w14:textId="77777777" w:rsidR="00340931" w:rsidRPr="003D506E" w:rsidRDefault="00340931" w:rsidP="003E7858">
            <w:pPr>
              <w:ind w:left="33" w:hanging="33"/>
              <w:rPr>
                <w:sz w:val="24"/>
                <w:szCs w:val="24"/>
                <w:lang w:val="lt-LT"/>
              </w:rPr>
            </w:pPr>
          </w:p>
        </w:tc>
        <w:tc>
          <w:tcPr>
            <w:tcW w:w="1105" w:type="dxa"/>
          </w:tcPr>
          <w:p w14:paraId="5D2BDC38" w14:textId="19B119B7" w:rsidR="00340931" w:rsidRPr="0003414B" w:rsidRDefault="00D26273" w:rsidP="00D26273">
            <w:pPr>
              <w:ind w:right="-504" w:hanging="108"/>
              <w:rPr>
                <w:sz w:val="24"/>
                <w:szCs w:val="24"/>
              </w:rPr>
            </w:pPr>
            <w:r>
              <w:rPr>
                <w:sz w:val="24"/>
                <w:szCs w:val="24"/>
              </w:rPr>
              <w:t>2026-04-22</w:t>
            </w:r>
          </w:p>
        </w:tc>
        <w:tc>
          <w:tcPr>
            <w:tcW w:w="1105" w:type="dxa"/>
          </w:tcPr>
          <w:p w14:paraId="37E2E200" w14:textId="75BE0A12" w:rsidR="4548A270" w:rsidRDefault="4548A270" w:rsidP="4465F0F6"/>
        </w:tc>
        <w:tc>
          <w:tcPr>
            <w:tcW w:w="448" w:type="dxa"/>
          </w:tcPr>
          <w:p w14:paraId="76AC2921" w14:textId="77777777" w:rsidR="00340931" w:rsidRPr="0003414B" w:rsidRDefault="00340931" w:rsidP="003E7858">
            <w:pPr>
              <w:ind w:right="-250"/>
              <w:rPr>
                <w:sz w:val="24"/>
                <w:szCs w:val="24"/>
                <w:lang w:val="lt-LT"/>
              </w:rPr>
            </w:pPr>
          </w:p>
        </w:tc>
        <w:tc>
          <w:tcPr>
            <w:tcW w:w="2816" w:type="dxa"/>
          </w:tcPr>
          <w:p w14:paraId="45B2E08E" w14:textId="77777777" w:rsidR="00340931" w:rsidRPr="0003414B" w:rsidRDefault="00340931" w:rsidP="003E7858">
            <w:pPr>
              <w:rPr>
                <w:sz w:val="24"/>
                <w:szCs w:val="24"/>
                <w:lang w:val="lt-LT"/>
              </w:rPr>
            </w:pPr>
          </w:p>
        </w:tc>
      </w:tr>
      <w:tr w:rsidR="00340931" w:rsidRPr="003D506E" w14:paraId="6AB961C0" w14:textId="77777777" w:rsidTr="4465F0F6">
        <w:trPr>
          <w:trHeight w:val="300"/>
        </w:trPr>
        <w:tc>
          <w:tcPr>
            <w:tcW w:w="4293" w:type="dxa"/>
          </w:tcPr>
          <w:p w14:paraId="730F63AD" w14:textId="77777777" w:rsidR="00340931" w:rsidRPr="003D506E" w:rsidRDefault="00340931" w:rsidP="003E7858">
            <w:pPr>
              <w:pStyle w:val="BodyTextIndent2"/>
              <w:spacing w:after="0" w:line="240" w:lineRule="auto"/>
              <w:ind w:left="34"/>
              <w:rPr>
                <w:sz w:val="24"/>
                <w:szCs w:val="24"/>
                <w:lang w:val="lt-LT"/>
              </w:rPr>
            </w:pPr>
          </w:p>
        </w:tc>
        <w:tc>
          <w:tcPr>
            <w:tcW w:w="341" w:type="dxa"/>
          </w:tcPr>
          <w:p w14:paraId="306FE10E" w14:textId="77777777" w:rsidR="00340931" w:rsidRPr="003D506E" w:rsidRDefault="00340931" w:rsidP="003E7858">
            <w:pPr>
              <w:rPr>
                <w:sz w:val="24"/>
                <w:szCs w:val="24"/>
                <w:lang w:val="lt-LT"/>
              </w:rPr>
            </w:pPr>
          </w:p>
        </w:tc>
        <w:tc>
          <w:tcPr>
            <w:tcW w:w="1105" w:type="dxa"/>
          </w:tcPr>
          <w:p w14:paraId="4F199DA4" w14:textId="77777777" w:rsidR="00340931" w:rsidRPr="003D506E" w:rsidRDefault="00340931" w:rsidP="003E7858">
            <w:pPr>
              <w:ind w:right="-108" w:hanging="108"/>
              <w:rPr>
                <w:sz w:val="24"/>
                <w:szCs w:val="24"/>
                <w:lang w:val="lt-LT"/>
              </w:rPr>
            </w:pPr>
          </w:p>
        </w:tc>
        <w:tc>
          <w:tcPr>
            <w:tcW w:w="1105" w:type="dxa"/>
          </w:tcPr>
          <w:p w14:paraId="684CCEA9" w14:textId="47D5D412" w:rsidR="4465F0F6" w:rsidRDefault="4465F0F6" w:rsidP="4465F0F6">
            <w:pPr>
              <w:rPr>
                <w:sz w:val="24"/>
                <w:szCs w:val="24"/>
                <w:lang w:val="lt-LT"/>
              </w:rPr>
            </w:pPr>
          </w:p>
        </w:tc>
        <w:tc>
          <w:tcPr>
            <w:tcW w:w="448" w:type="dxa"/>
          </w:tcPr>
          <w:p w14:paraId="24C18854" w14:textId="77777777" w:rsidR="00340931" w:rsidRPr="003D506E" w:rsidRDefault="00340931" w:rsidP="003E7858">
            <w:pPr>
              <w:ind w:right="-250"/>
              <w:rPr>
                <w:sz w:val="24"/>
                <w:szCs w:val="24"/>
                <w:lang w:val="lt-LT"/>
              </w:rPr>
            </w:pPr>
          </w:p>
        </w:tc>
        <w:tc>
          <w:tcPr>
            <w:tcW w:w="2816" w:type="dxa"/>
          </w:tcPr>
          <w:p w14:paraId="2F97B9A3" w14:textId="77777777" w:rsidR="00340931" w:rsidRPr="003D506E" w:rsidRDefault="00340931" w:rsidP="003E7858">
            <w:pPr>
              <w:tabs>
                <w:tab w:val="left" w:pos="1060"/>
              </w:tabs>
              <w:ind w:right="-109"/>
              <w:jc w:val="both"/>
              <w:rPr>
                <w:sz w:val="24"/>
                <w:szCs w:val="24"/>
                <w:lang w:val="lt-LT"/>
              </w:rPr>
            </w:pPr>
          </w:p>
        </w:tc>
      </w:tr>
      <w:tr w:rsidR="00340931" w:rsidRPr="003D506E" w14:paraId="268E0F66" w14:textId="77777777" w:rsidTr="4465F0F6">
        <w:trPr>
          <w:trHeight w:val="300"/>
        </w:trPr>
        <w:tc>
          <w:tcPr>
            <w:tcW w:w="4293" w:type="dxa"/>
          </w:tcPr>
          <w:p w14:paraId="64E80426" w14:textId="77777777" w:rsidR="00340931" w:rsidRPr="003D506E" w:rsidRDefault="00340931" w:rsidP="003E7858">
            <w:pPr>
              <w:pStyle w:val="BodyTextIndent2"/>
              <w:spacing w:after="0" w:line="240" w:lineRule="auto"/>
              <w:ind w:left="34"/>
              <w:rPr>
                <w:sz w:val="24"/>
                <w:szCs w:val="24"/>
                <w:lang w:val="lt-LT"/>
              </w:rPr>
            </w:pPr>
          </w:p>
        </w:tc>
        <w:tc>
          <w:tcPr>
            <w:tcW w:w="341" w:type="dxa"/>
          </w:tcPr>
          <w:p w14:paraId="33F41A3F" w14:textId="77777777" w:rsidR="00340931" w:rsidRPr="003D506E" w:rsidRDefault="00340931" w:rsidP="003E7858">
            <w:pPr>
              <w:ind w:left="33" w:hanging="33"/>
              <w:rPr>
                <w:sz w:val="24"/>
                <w:szCs w:val="24"/>
                <w:lang w:val="lt-LT"/>
              </w:rPr>
            </w:pPr>
          </w:p>
        </w:tc>
        <w:tc>
          <w:tcPr>
            <w:tcW w:w="1105" w:type="dxa"/>
          </w:tcPr>
          <w:p w14:paraId="369FA0B4" w14:textId="77777777" w:rsidR="00340931" w:rsidRPr="003D506E" w:rsidRDefault="00340931" w:rsidP="003E7858">
            <w:pPr>
              <w:ind w:right="-108" w:hanging="108"/>
              <w:rPr>
                <w:sz w:val="24"/>
                <w:szCs w:val="24"/>
                <w:lang w:val="lt-LT"/>
              </w:rPr>
            </w:pPr>
          </w:p>
        </w:tc>
        <w:tc>
          <w:tcPr>
            <w:tcW w:w="1105" w:type="dxa"/>
          </w:tcPr>
          <w:p w14:paraId="65DA838A" w14:textId="75AA4A27" w:rsidR="4465F0F6" w:rsidRDefault="4465F0F6" w:rsidP="4465F0F6">
            <w:pPr>
              <w:rPr>
                <w:sz w:val="24"/>
                <w:szCs w:val="24"/>
                <w:lang w:val="lt-LT"/>
              </w:rPr>
            </w:pPr>
          </w:p>
        </w:tc>
        <w:tc>
          <w:tcPr>
            <w:tcW w:w="448" w:type="dxa"/>
          </w:tcPr>
          <w:p w14:paraId="24E4ED9D" w14:textId="77777777" w:rsidR="00340931" w:rsidRPr="003D506E" w:rsidRDefault="00340931" w:rsidP="003E7858">
            <w:pPr>
              <w:ind w:right="-250"/>
              <w:rPr>
                <w:sz w:val="24"/>
                <w:szCs w:val="24"/>
                <w:lang w:val="lt-LT"/>
              </w:rPr>
            </w:pPr>
          </w:p>
        </w:tc>
        <w:tc>
          <w:tcPr>
            <w:tcW w:w="2816" w:type="dxa"/>
          </w:tcPr>
          <w:p w14:paraId="7D7C59CD" w14:textId="77777777" w:rsidR="00340931" w:rsidRPr="003D506E" w:rsidRDefault="00340931" w:rsidP="003E7858">
            <w:pPr>
              <w:tabs>
                <w:tab w:val="left" w:pos="1060"/>
              </w:tabs>
              <w:ind w:right="-109"/>
              <w:jc w:val="both"/>
              <w:rPr>
                <w:sz w:val="24"/>
                <w:szCs w:val="24"/>
                <w:lang w:val="lt-LT"/>
              </w:rPr>
            </w:pPr>
          </w:p>
        </w:tc>
      </w:tr>
    </w:tbl>
    <w:p w14:paraId="32F194B2" w14:textId="77777777" w:rsidR="00340931" w:rsidRPr="003D506E" w:rsidRDefault="00340931" w:rsidP="00340931">
      <w:pPr>
        <w:jc w:val="both"/>
        <w:rPr>
          <w:sz w:val="24"/>
          <w:szCs w:val="24"/>
          <w:lang w:val="lt-LT"/>
        </w:rPr>
      </w:pPr>
    </w:p>
    <w:p w14:paraId="78E245EE" w14:textId="77777777" w:rsidR="00340931" w:rsidRPr="008D367B" w:rsidRDefault="00340931" w:rsidP="00340931">
      <w:pPr>
        <w:jc w:val="both"/>
        <w:rPr>
          <w:b/>
          <w:sz w:val="24"/>
          <w:szCs w:val="24"/>
          <w:lang w:val="lt-LT"/>
        </w:rPr>
      </w:pPr>
      <w:r w:rsidRPr="008D367B">
        <w:rPr>
          <w:b/>
          <w:sz w:val="24"/>
          <w:szCs w:val="24"/>
          <w:lang w:val="lt-LT"/>
        </w:rPr>
        <w:t>DĖL RINKOS KONSULTACIJOS</w:t>
      </w:r>
    </w:p>
    <w:p w14:paraId="1BA1B06D" w14:textId="77777777" w:rsidR="00340931" w:rsidRPr="008D367B" w:rsidRDefault="00340931" w:rsidP="00340931">
      <w:pPr>
        <w:jc w:val="both"/>
        <w:rPr>
          <w:b/>
          <w:sz w:val="24"/>
          <w:szCs w:val="24"/>
          <w:lang w:val="lt-LT"/>
        </w:rPr>
      </w:pPr>
    </w:p>
    <w:p w14:paraId="24FA0DE8" w14:textId="4C2DA5C4" w:rsidR="00340931" w:rsidRPr="008D367B" w:rsidRDefault="00340931" w:rsidP="00340931">
      <w:pPr>
        <w:ind w:firstLine="567"/>
        <w:jc w:val="both"/>
        <w:rPr>
          <w:sz w:val="24"/>
          <w:szCs w:val="24"/>
          <w:lang w:val="lt-LT"/>
        </w:rPr>
      </w:pPr>
      <w:r w:rsidRPr="0C53E4E6">
        <w:rPr>
          <w:sz w:val="24"/>
          <w:szCs w:val="24"/>
          <w:lang w:val="lt-LT"/>
        </w:rPr>
        <w:t>V</w:t>
      </w:r>
      <w:r w:rsidR="3693611C" w:rsidRPr="0C53E4E6">
        <w:rPr>
          <w:sz w:val="24"/>
          <w:szCs w:val="24"/>
          <w:lang w:val="lt-LT"/>
        </w:rPr>
        <w:t xml:space="preserve">iešoji įstaiga </w:t>
      </w:r>
      <w:r w:rsidR="5335D369" w:rsidRPr="0C53E4E6">
        <w:rPr>
          <w:sz w:val="24"/>
          <w:szCs w:val="24"/>
          <w:lang w:val="lt-LT"/>
        </w:rPr>
        <w:t>Vilniaus pirkimų agentūra</w:t>
      </w:r>
      <w:r w:rsidRPr="0C53E4E6">
        <w:rPr>
          <w:sz w:val="24"/>
          <w:szCs w:val="24"/>
          <w:lang w:val="lt-LT"/>
        </w:rPr>
        <w:t xml:space="preserve"> (toliau – </w:t>
      </w:r>
      <w:r w:rsidR="589625D3" w:rsidRPr="0C53E4E6">
        <w:rPr>
          <w:sz w:val="24"/>
          <w:szCs w:val="24"/>
          <w:lang w:val="lt-LT"/>
        </w:rPr>
        <w:t>VšĮ Vilniaus pirkimų agentūra</w:t>
      </w:r>
      <w:r w:rsidRPr="0C53E4E6">
        <w:rPr>
          <w:sz w:val="24"/>
          <w:szCs w:val="24"/>
          <w:lang w:val="lt-LT"/>
        </w:rPr>
        <w:t>) siekdama tinkamai pasiruošti numatomam pirkimui „</w:t>
      </w:r>
      <w:r w:rsidR="00A14EAF">
        <w:rPr>
          <w:sz w:val="24"/>
          <w:szCs w:val="24"/>
          <w:lang w:val="lt-LT"/>
        </w:rPr>
        <w:t>Tarptautinio gastronomijos vertinimo ir reitingavimo paslaugos</w:t>
      </w:r>
      <w:r w:rsidR="6BA9FDAE" w:rsidRPr="0C53E4E6">
        <w:rPr>
          <w:sz w:val="24"/>
          <w:szCs w:val="24"/>
          <w:lang w:val="lt-LT"/>
        </w:rPr>
        <w:t>”</w:t>
      </w:r>
      <w:r w:rsidRPr="0C53E4E6">
        <w:rPr>
          <w:sz w:val="24"/>
          <w:szCs w:val="24"/>
          <w:lang w:val="lt-LT"/>
        </w:rPr>
        <w:t xml:space="preserve"> (toliau – numatomas pirkimas) ir vadovaudamasi Lietuvos Respublikos viešųjų pirkimų įstatymo 27 straipsnio nuostatomis, organizuoja konsultaciją su rinkos dalyviais.</w:t>
      </w:r>
    </w:p>
    <w:p w14:paraId="27F43BA0" w14:textId="77777777" w:rsidR="00340931" w:rsidRPr="003E456E" w:rsidRDefault="00340931" w:rsidP="00340931">
      <w:pPr>
        <w:ind w:firstLine="567"/>
        <w:jc w:val="both"/>
        <w:rPr>
          <w:sz w:val="24"/>
          <w:szCs w:val="24"/>
          <w:lang w:val="lt-LT"/>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83"/>
        <w:gridCol w:w="6756"/>
      </w:tblGrid>
      <w:tr w:rsidR="00340931" w:rsidRPr="00451337" w14:paraId="1603760B" w14:textId="77777777" w:rsidTr="0C53E4E6">
        <w:trPr>
          <w:trHeight w:val="1487"/>
        </w:trPr>
        <w:tc>
          <w:tcPr>
            <w:tcW w:w="817" w:type="dxa"/>
          </w:tcPr>
          <w:p w14:paraId="5FA02165" w14:textId="77777777" w:rsidR="00340931" w:rsidRPr="003E456E" w:rsidRDefault="00340931" w:rsidP="003E7858">
            <w:pPr>
              <w:jc w:val="center"/>
              <w:rPr>
                <w:b/>
                <w:sz w:val="24"/>
                <w:szCs w:val="24"/>
                <w:lang w:val="lt-LT"/>
              </w:rPr>
            </w:pPr>
            <w:r w:rsidRPr="003E456E">
              <w:rPr>
                <w:b/>
                <w:sz w:val="24"/>
                <w:szCs w:val="24"/>
                <w:lang w:val="lt-LT"/>
              </w:rPr>
              <w:t>1.</w:t>
            </w:r>
          </w:p>
        </w:tc>
        <w:tc>
          <w:tcPr>
            <w:tcW w:w="2083" w:type="dxa"/>
          </w:tcPr>
          <w:p w14:paraId="1D2E0958" w14:textId="77777777" w:rsidR="00340931" w:rsidRPr="003E456E" w:rsidRDefault="00340931" w:rsidP="003E7858">
            <w:pPr>
              <w:rPr>
                <w:b/>
                <w:sz w:val="24"/>
                <w:szCs w:val="24"/>
                <w:highlight w:val="lightGray"/>
                <w:lang w:val="lt-LT"/>
              </w:rPr>
            </w:pPr>
            <w:r w:rsidRPr="003E456E">
              <w:rPr>
                <w:b/>
                <w:sz w:val="24"/>
                <w:szCs w:val="24"/>
                <w:lang w:val="lt-LT"/>
              </w:rPr>
              <w:t>Rinkos konsultacijos objektas:</w:t>
            </w:r>
          </w:p>
        </w:tc>
        <w:tc>
          <w:tcPr>
            <w:tcW w:w="6756" w:type="dxa"/>
          </w:tcPr>
          <w:p w14:paraId="0A292CCB" w14:textId="3C502E97" w:rsidR="00340931" w:rsidRDefault="00A573D5" w:rsidP="0C53E4E6">
            <w:pPr>
              <w:jc w:val="both"/>
              <w:rPr>
                <w:sz w:val="24"/>
                <w:szCs w:val="24"/>
                <w:lang w:val="lt-LT"/>
              </w:rPr>
            </w:pPr>
            <w:r w:rsidRPr="00A573D5">
              <w:rPr>
                <w:sz w:val="24"/>
                <w:szCs w:val="24"/>
                <w:lang w:val="lt-LT"/>
              </w:rPr>
              <w:t>Tarptautinio gastronomijos vertinimo ir reitingavimo paslaugos, skirtos Vilniaus miesto maitinimo sektoriaus įstaigų vertinimui, reitingavimui ir rezultatų viešinimui, siekiant didinti miesto matomumą tarptautiniame gastronomijos kontekste, stiprinti gastronominio turizmo patrauklumą ir sektoriaus konkurencingumą</w:t>
            </w:r>
            <w:r>
              <w:rPr>
                <w:sz w:val="24"/>
                <w:szCs w:val="24"/>
                <w:lang w:val="lt-LT"/>
              </w:rPr>
              <w:t xml:space="preserve"> </w:t>
            </w:r>
          </w:p>
          <w:p w14:paraId="68A82795" w14:textId="0DF0A3D0" w:rsidR="00340931" w:rsidRPr="003E456E" w:rsidRDefault="00340931" w:rsidP="003E7858">
            <w:pPr>
              <w:jc w:val="both"/>
              <w:rPr>
                <w:iCs/>
                <w:sz w:val="24"/>
                <w:szCs w:val="24"/>
                <w:lang w:val="lt-LT"/>
              </w:rPr>
            </w:pPr>
            <w:r w:rsidRPr="002D6895">
              <w:rPr>
                <w:sz w:val="24"/>
                <w:szCs w:val="24"/>
                <w:lang w:val="lt-LT"/>
              </w:rPr>
              <w:t>Perkančiosios organizacijos parengtas techninės specifikacijos</w:t>
            </w:r>
            <w:r w:rsidR="00B1029C" w:rsidRPr="002D6895">
              <w:rPr>
                <w:sz w:val="24"/>
                <w:szCs w:val="24"/>
                <w:lang w:val="lt-LT"/>
              </w:rPr>
              <w:t xml:space="preserve"> projektas, jo</w:t>
            </w:r>
            <w:r w:rsidR="007F59AF" w:rsidRPr="002D6895">
              <w:rPr>
                <w:sz w:val="24"/>
                <w:szCs w:val="24"/>
                <w:lang w:val="lt-LT"/>
              </w:rPr>
              <w:t>s</w:t>
            </w:r>
            <w:r w:rsidR="00B1029C" w:rsidRPr="002D6895">
              <w:rPr>
                <w:sz w:val="24"/>
                <w:szCs w:val="24"/>
                <w:lang w:val="lt-LT"/>
              </w:rPr>
              <w:t xml:space="preserve"> priedai</w:t>
            </w:r>
            <w:r w:rsidR="002D6EE7" w:rsidRPr="002D6895">
              <w:rPr>
                <w:sz w:val="24"/>
                <w:szCs w:val="24"/>
                <w:lang w:val="lt-LT"/>
              </w:rPr>
              <w:t xml:space="preserve">, pirkimo sąlygų ir sutarties projektai </w:t>
            </w:r>
            <w:r w:rsidR="00B1029C" w:rsidRPr="002D6895">
              <w:rPr>
                <w:sz w:val="24"/>
                <w:szCs w:val="24"/>
                <w:lang w:val="lt-LT"/>
              </w:rPr>
              <w:t xml:space="preserve">(toliau – </w:t>
            </w:r>
            <w:r w:rsidR="002D6EE7" w:rsidRPr="002D6895">
              <w:rPr>
                <w:sz w:val="24"/>
                <w:szCs w:val="24"/>
                <w:lang w:val="lt-LT"/>
              </w:rPr>
              <w:t>dokumentų</w:t>
            </w:r>
            <w:r w:rsidR="00B1029C" w:rsidRPr="002D6895">
              <w:rPr>
                <w:sz w:val="24"/>
                <w:szCs w:val="24"/>
                <w:lang w:val="lt-LT"/>
              </w:rPr>
              <w:t xml:space="preserve"> projektas) </w:t>
            </w:r>
            <w:r w:rsidR="00BE778A">
              <w:rPr>
                <w:sz w:val="24"/>
                <w:szCs w:val="24"/>
                <w:lang w:val="lt-LT"/>
              </w:rPr>
              <w:t>pateikiami kartu su šiuo kvietimu teikti rinkos konsultaciją</w:t>
            </w:r>
            <w:r w:rsidR="00B1029C" w:rsidRPr="002D6895">
              <w:rPr>
                <w:sz w:val="24"/>
                <w:szCs w:val="24"/>
                <w:lang w:val="lt-LT"/>
              </w:rPr>
              <w:t>.</w:t>
            </w:r>
          </w:p>
        </w:tc>
      </w:tr>
      <w:tr w:rsidR="00340931" w:rsidRPr="00451337" w14:paraId="2447960A" w14:textId="77777777" w:rsidTr="0C53E4E6">
        <w:trPr>
          <w:trHeight w:val="2453"/>
        </w:trPr>
        <w:tc>
          <w:tcPr>
            <w:tcW w:w="817" w:type="dxa"/>
          </w:tcPr>
          <w:p w14:paraId="1DD44197" w14:textId="77777777" w:rsidR="00340931" w:rsidRPr="008D367B" w:rsidRDefault="00340931" w:rsidP="003E7858">
            <w:pPr>
              <w:jc w:val="center"/>
              <w:rPr>
                <w:b/>
                <w:sz w:val="24"/>
                <w:szCs w:val="24"/>
                <w:lang w:val="lt-LT"/>
              </w:rPr>
            </w:pPr>
            <w:r w:rsidRPr="008D367B">
              <w:rPr>
                <w:b/>
                <w:sz w:val="24"/>
                <w:szCs w:val="24"/>
                <w:lang w:val="lt-LT"/>
              </w:rPr>
              <w:t>2.</w:t>
            </w:r>
          </w:p>
        </w:tc>
        <w:tc>
          <w:tcPr>
            <w:tcW w:w="2083" w:type="dxa"/>
          </w:tcPr>
          <w:p w14:paraId="72E4FD2B" w14:textId="77777777" w:rsidR="00340931" w:rsidRPr="008D367B" w:rsidRDefault="00340931" w:rsidP="003E7858">
            <w:pPr>
              <w:rPr>
                <w:b/>
                <w:sz w:val="24"/>
                <w:szCs w:val="24"/>
                <w:lang w:val="lt-LT"/>
              </w:rPr>
            </w:pPr>
            <w:r w:rsidRPr="008D367B">
              <w:rPr>
                <w:b/>
                <w:sz w:val="24"/>
                <w:szCs w:val="24"/>
                <w:lang w:val="lt-LT"/>
              </w:rPr>
              <w:t>Rinkos konsultacijos paskirtis</w:t>
            </w:r>
            <w:r>
              <w:rPr>
                <w:b/>
                <w:sz w:val="24"/>
                <w:szCs w:val="24"/>
                <w:lang w:val="lt-LT"/>
              </w:rPr>
              <w:t xml:space="preserve"> (tikslas)</w:t>
            </w:r>
          </w:p>
        </w:tc>
        <w:tc>
          <w:tcPr>
            <w:tcW w:w="6756" w:type="dxa"/>
          </w:tcPr>
          <w:p w14:paraId="55D1471E" w14:textId="55ADF72F" w:rsidR="00340931" w:rsidRPr="0044459A" w:rsidRDefault="00340931" w:rsidP="005706B6">
            <w:pPr>
              <w:jc w:val="both"/>
              <w:rPr>
                <w:iCs/>
                <w:sz w:val="24"/>
                <w:szCs w:val="24"/>
                <w:lang w:val="lt-LT"/>
              </w:rPr>
            </w:pPr>
            <w:r>
              <w:rPr>
                <w:iCs/>
                <w:sz w:val="24"/>
                <w:szCs w:val="24"/>
                <w:lang w:val="lt-LT"/>
              </w:rPr>
              <w:t xml:space="preserve">Perkančioji organizacija informuoja tiekėjus apie numatomą pirkimą ir prašo tiekėjų, kurie yra suinteresuoti dalyvauti pirkime, </w:t>
            </w:r>
            <w:r w:rsidR="00B1029C">
              <w:rPr>
                <w:iCs/>
                <w:sz w:val="24"/>
                <w:szCs w:val="24"/>
                <w:lang w:val="lt-LT"/>
              </w:rPr>
              <w:t>susipažinti</w:t>
            </w:r>
            <w:r w:rsidR="00EB682E">
              <w:rPr>
                <w:iCs/>
                <w:sz w:val="24"/>
                <w:szCs w:val="24"/>
                <w:lang w:val="lt-LT"/>
              </w:rPr>
              <w:t xml:space="preserve"> su pateiktu dokumentų projektu</w:t>
            </w:r>
            <w:r w:rsidR="00B1029C">
              <w:rPr>
                <w:iCs/>
                <w:sz w:val="24"/>
                <w:szCs w:val="24"/>
                <w:lang w:val="lt-LT"/>
              </w:rPr>
              <w:t xml:space="preserve"> ir </w:t>
            </w:r>
            <w:r>
              <w:rPr>
                <w:iCs/>
                <w:sz w:val="24"/>
                <w:szCs w:val="24"/>
                <w:lang w:val="lt-LT"/>
              </w:rPr>
              <w:t>pateikti savo įžvalgas</w:t>
            </w:r>
            <w:r w:rsidR="00B1029C">
              <w:rPr>
                <w:iCs/>
                <w:sz w:val="24"/>
                <w:szCs w:val="24"/>
                <w:lang w:val="lt-LT"/>
              </w:rPr>
              <w:t xml:space="preserve"> ir galim</w:t>
            </w:r>
            <w:r w:rsidR="00226FA7">
              <w:rPr>
                <w:iCs/>
                <w:sz w:val="24"/>
                <w:szCs w:val="24"/>
                <w:lang w:val="lt-LT"/>
              </w:rPr>
              <w:t>ą</w:t>
            </w:r>
            <w:r w:rsidR="00B1029C">
              <w:rPr>
                <w:iCs/>
                <w:sz w:val="24"/>
                <w:szCs w:val="24"/>
                <w:lang w:val="lt-LT"/>
              </w:rPr>
              <w:t xml:space="preserve"> paslaugų suteikimo kain</w:t>
            </w:r>
            <w:r w:rsidR="00226FA7">
              <w:rPr>
                <w:iCs/>
                <w:sz w:val="24"/>
                <w:szCs w:val="24"/>
                <w:lang w:val="lt-LT"/>
              </w:rPr>
              <w:t>ą</w:t>
            </w:r>
            <w:r w:rsidR="005706B6">
              <w:rPr>
                <w:iCs/>
                <w:sz w:val="24"/>
                <w:szCs w:val="24"/>
                <w:lang w:val="lt-LT"/>
              </w:rPr>
              <w:t>.</w:t>
            </w:r>
          </w:p>
          <w:p w14:paraId="58A22456" w14:textId="6689947D" w:rsidR="00340931" w:rsidRDefault="00340931" w:rsidP="003E7858">
            <w:pPr>
              <w:jc w:val="both"/>
              <w:rPr>
                <w:sz w:val="24"/>
                <w:szCs w:val="24"/>
                <w:lang w:val="lt-LT"/>
              </w:rPr>
            </w:pPr>
            <w:r w:rsidRPr="003E456E">
              <w:rPr>
                <w:sz w:val="24"/>
                <w:szCs w:val="24"/>
                <w:lang w:val="lt-LT"/>
              </w:rPr>
              <w:t xml:space="preserve">Teikiant pastabas, pasiūlymus, klausimus, įžvalgas, rekomendacijas, prašome nurodyti tikslią </w:t>
            </w:r>
            <w:r w:rsidR="002D6EE7">
              <w:rPr>
                <w:sz w:val="24"/>
                <w:szCs w:val="24"/>
                <w:lang w:val="lt-LT"/>
              </w:rPr>
              <w:t>dokumentų</w:t>
            </w:r>
            <w:r w:rsidR="00E33E67">
              <w:rPr>
                <w:sz w:val="24"/>
                <w:szCs w:val="24"/>
                <w:lang w:val="lt-LT"/>
              </w:rPr>
              <w:t xml:space="preserve"> </w:t>
            </w:r>
            <w:r w:rsidRPr="003E456E">
              <w:rPr>
                <w:sz w:val="24"/>
                <w:szCs w:val="24"/>
                <w:lang w:val="lt-LT"/>
              </w:rPr>
              <w:t>projekto vietą, pvz., skyrių ir punktą ar papunktį, o teikiamą informaciją paaiškinti, įrodyti, pagrįsti.</w:t>
            </w:r>
            <w:r>
              <w:rPr>
                <w:sz w:val="24"/>
                <w:szCs w:val="24"/>
                <w:lang w:val="lt-LT"/>
              </w:rPr>
              <w:t xml:space="preserve"> </w:t>
            </w:r>
          </w:p>
          <w:p w14:paraId="5F58DA4C" w14:textId="77777777" w:rsidR="00340931" w:rsidRPr="007D7812" w:rsidRDefault="00340931" w:rsidP="0C53E4E6">
            <w:pPr>
              <w:jc w:val="both"/>
              <w:rPr>
                <w:b/>
                <w:bCs/>
                <w:sz w:val="24"/>
                <w:szCs w:val="24"/>
                <w:u w:val="single"/>
                <w:lang w:val="lt-LT"/>
              </w:rPr>
            </w:pPr>
            <w:r w:rsidRPr="0C53E4E6">
              <w:rPr>
                <w:b/>
                <w:bCs/>
                <w:sz w:val="24"/>
                <w:szCs w:val="24"/>
                <w:u w:val="single"/>
                <w:lang w:val="lt-LT"/>
              </w:rPr>
              <w:t>Perkančioji organizacija rinkos konsultacijos metu siekia:</w:t>
            </w:r>
          </w:p>
          <w:p w14:paraId="6EBB7464" w14:textId="77777777" w:rsidR="00340931" w:rsidRPr="003116ED" w:rsidRDefault="00340931" w:rsidP="0C53E4E6">
            <w:pPr>
              <w:jc w:val="both"/>
              <w:rPr>
                <w:sz w:val="24"/>
                <w:szCs w:val="24"/>
                <w:lang w:val="lt-LT"/>
              </w:rPr>
            </w:pPr>
            <w:r w:rsidRPr="0C53E4E6">
              <w:rPr>
                <w:sz w:val="24"/>
                <w:szCs w:val="24"/>
                <w:lang w:val="lt-LT"/>
              </w:rPr>
              <w:t>1. tinkamai pasirengti pirkimui;</w:t>
            </w:r>
          </w:p>
          <w:p w14:paraId="286D17EA" w14:textId="142698E7" w:rsidR="00340931" w:rsidRPr="003116ED" w:rsidRDefault="00340931" w:rsidP="0C53E4E6">
            <w:pPr>
              <w:jc w:val="both"/>
              <w:rPr>
                <w:sz w:val="24"/>
                <w:szCs w:val="24"/>
                <w:lang w:val="lt-LT"/>
              </w:rPr>
            </w:pPr>
            <w:r w:rsidRPr="0C53E4E6">
              <w:rPr>
                <w:sz w:val="24"/>
                <w:szCs w:val="24"/>
                <w:lang w:val="lt-LT"/>
              </w:rPr>
              <w:t>2. parengti pirkimo sąlygas, užtikrinančias sąžiningą tiekėjų konkurenciją;</w:t>
            </w:r>
          </w:p>
          <w:p w14:paraId="7C3B41F2" w14:textId="77777777" w:rsidR="00340931" w:rsidRPr="003116ED" w:rsidRDefault="00340931" w:rsidP="0C53E4E6">
            <w:pPr>
              <w:jc w:val="both"/>
              <w:rPr>
                <w:sz w:val="24"/>
                <w:szCs w:val="24"/>
                <w:lang w:val="lt-LT"/>
              </w:rPr>
            </w:pPr>
            <w:r w:rsidRPr="0C53E4E6">
              <w:rPr>
                <w:sz w:val="24"/>
                <w:szCs w:val="24"/>
                <w:lang w:val="lt-LT"/>
              </w:rPr>
              <w:t>3. supažindinti rinkos dalyvius su planuojamu pirkimu;</w:t>
            </w:r>
          </w:p>
          <w:p w14:paraId="62DD3C95" w14:textId="3EF094B2" w:rsidR="00B81C59" w:rsidRPr="003116ED" w:rsidRDefault="00340931" w:rsidP="0C53E4E6">
            <w:pPr>
              <w:jc w:val="both"/>
              <w:rPr>
                <w:sz w:val="24"/>
                <w:szCs w:val="24"/>
                <w:lang w:val="lt-LT"/>
              </w:rPr>
            </w:pPr>
            <w:r w:rsidRPr="0C53E4E6">
              <w:rPr>
                <w:sz w:val="24"/>
                <w:szCs w:val="24"/>
                <w:lang w:val="lt-LT"/>
              </w:rPr>
              <w:t>4. sudaryti sąlygas rinkos dalyviams ir kitiems suinteresuotiems asmenims pateikti pastabas, pasiūlymus, klausimus, įžvalgas, rekomendacijas</w:t>
            </w:r>
            <w:r w:rsidR="4D4F27C5" w:rsidRPr="0C53E4E6">
              <w:rPr>
                <w:sz w:val="24"/>
                <w:szCs w:val="24"/>
                <w:lang w:val="lt-LT"/>
              </w:rPr>
              <w:t>;</w:t>
            </w:r>
          </w:p>
          <w:p w14:paraId="478F1FF8" w14:textId="3F0F52E0" w:rsidR="0243FCC7" w:rsidRDefault="0243FCC7" w:rsidP="0C53E4E6">
            <w:pPr>
              <w:jc w:val="both"/>
              <w:rPr>
                <w:sz w:val="24"/>
                <w:szCs w:val="24"/>
                <w:lang w:val="lt-LT"/>
              </w:rPr>
            </w:pPr>
          </w:p>
          <w:p w14:paraId="16891717" w14:textId="77777777" w:rsidR="00340931" w:rsidRPr="008D367B" w:rsidRDefault="00340931" w:rsidP="003E7858">
            <w:pPr>
              <w:jc w:val="both"/>
              <w:rPr>
                <w:iCs/>
                <w:sz w:val="24"/>
                <w:szCs w:val="24"/>
                <w:lang w:val="lt-LT"/>
              </w:rPr>
            </w:pPr>
            <w:r w:rsidRPr="008D367B">
              <w:rPr>
                <w:sz w:val="24"/>
                <w:szCs w:val="24"/>
                <w:lang w:val="lt-LT"/>
              </w:rPr>
              <w:t>Rinkos konsultacija nėra (išankstinis) skelbimas apie pirkimą. Rinkos konsultacijos metu tiekėjai nėra kviečiami teikti pasiūlymus pirkimui, t. y. varžytis dėl pirkimo sutarties sudarymo.</w:t>
            </w:r>
          </w:p>
        </w:tc>
      </w:tr>
      <w:tr w:rsidR="00340931" w:rsidRPr="0003414B" w14:paraId="54784504" w14:textId="77777777" w:rsidTr="0C53E4E6">
        <w:trPr>
          <w:trHeight w:val="819"/>
        </w:trPr>
        <w:tc>
          <w:tcPr>
            <w:tcW w:w="817" w:type="dxa"/>
          </w:tcPr>
          <w:p w14:paraId="6953B873" w14:textId="77777777" w:rsidR="00340931" w:rsidRPr="008D367B" w:rsidRDefault="00340931" w:rsidP="003E7858">
            <w:pPr>
              <w:jc w:val="center"/>
              <w:rPr>
                <w:b/>
                <w:sz w:val="24"/>
                <w:szCs w:val="24"/>
                <w:lang w:val="lt-LT"/>
              </w:rPr>
            </w:pPr>
            <w:r w:rsidRPr="008D367B">
              <w:rPr>
                <w:b/>
                <w:sz w:val="24"/>
                <w:szCs w:val="24"/>
                <w:lang w:val="lt-LT"/>
              </w:rPr>
              <w:t>3.</w:t>
            </w:r>
          </w:p>
        </w:tc>
        <w:tc>
          <w:tcPr>
            <w:tcW w:w="2083" w:type="dxa"/>
          </w:tcPr>
          <w:p w14:paraId="4BD8042B" w14:textId="77777777" w:rsidR="00340931" w:rsidRPr="008D367B" w:rsidRDefault="00340931" w:rsidP="003E7858">
            <w:pPr>
              <w:rPr>
                <w:b/>
                <w:sz w:val="24"/>
                <w:szCs w:val="24"/>
                <w:lang w:val="lt-LT"/>
              </w:rPr>
            </w:pPr>
            <w:r w:rsidRPr="008D367B">
              <w:rPr>
                <w:b/>
                <w:sz w:val="24"/>
                <w:szCs w:val="24"/>
                <w:lang w:val="lt-LT"/>
              </w:rPr>
              <w:t>Rinkos konsultacijos terminas</w:t>
            </w:r>
          </w:p>
        </w:tc>
        <w:tc>
          <w:tcPr>
            <w:tcW w:w="6756" w:type="dxa"/>
          </w:tcPr>
          <w:p w14:paraId="3924D125" w14:textId="5FA9ED27" w:rsidR="00340931" w:rsidRPr="00B81C59" w:rsidRDefault="00340931" w:rsidP="0C53E4E6">
            <w:pPr>
              <w:jc w:val="both"/>
              <w:rPr>
                <w:sz w:val="24"/>
                <w:szCs w:val="24"/>
                <w:highlight w:val="yellow"/>
                <w:lang w:val="lt-LT"/>
              </w:rPr>
            </w:pPr>
            <w:r w:rsidRPr="0C53E4E6">
              <w:rPr>
                <w:b/>
                <w:bCs/>
                <w:sz w:val="24"/>
                <w:szCs w:val="24"/>
                <w:lang w:val="lt-LT"/>
              </w:rPr>
              <w:t>Iki 202</w:t>
            </w:r>
            <w:r w:rsidR="22FFAED0" w:rsidRPr="0C53E4E6">
              <w:rPr>
                <w:b/>
                <w:bCs/>
                <w:sz w:val="24"/>
                <w:szCs w:val="24"/>
                <w:lang w:val="lt-LT"/>
              </w:rPr>
              <w:t>6</w:t>
            </w:r>
            <w:r w:rsidRPr="0C53E4E6">
              <w:rPr>
                <w:b/>
                <w:bCs/>
                <w:sz w:val="24"/>
                <w:szCs w:val="24"/>
                <w:lang w:val="lt-LT"/>
              </w:rPr>
              <w:t xml:space="preserve"> m. </w:t>
            </w:r>
            <w:r w:rsidR="2B5E2EDC" w:rsidRPr="0C53E4E6">
              <w:rPr>
                <w:b/>
                <w:bCs/>
                <w:sz w:val="24"/>
                <w:szCs w:val="24"/>
                <w:lang w:val="lt-LT"/>
              </w:rPr>
              <w:t>b</w:t>
            </w:r>
            <w:r w:rsidR="257CE482" w:rsidRPr="0C53E4E6">
              <w:rPr>
                <w:b/>
                <w:bCs/>
                <w:sz w:val="24"/>
                <w:szCs w:val="24"/>
                <w:lang w:val="lt-LT"/>
              </w:rPr>
              <w:t xml:space="preserve">alandžio </w:t>
            </w:r>
            <w:r w:rsidRPr="0C53E4E6">
              <w:rPr>
                <w:b/>
                <w:bCs/>
                <w:sz w:val="24"/>
                <w:szCs w:val="24"/>
                <w:lang w:val="lt-LT"/>
              </w:rPr>
              <w:t>mėn.</w:t>
            </w:r>
            <w:r w:rsidR="256EEC38" w:rsidRPr="0C53E4E6">
              <w:rPr>
                <w:b/>
                <w:bCs/>
                <w:sz w:val="24"/>
                <w:szCs w:val="24"/>
                <w:lang w:val="lt-LT"/>
              </w:rPr>
              <w:t xml:space="preserve"> </w:t>
            </w:r>
            <w:r w:rsidR="00892E99">
              <w:rPr>
                <w:b/>
                <w:bCs/>
                <w:sz w:val="24"/>
                <w:szCs w:val="24"/>
                <w:lang w:val="lt-LT"/>
              </w:rPr>
              <w:t>30</w:t>
            </w:r>
            <w:r w:rsidRPr="0C53E4E6">
              <w:rPr>
                <w:b/>
                <w:bCs/>
                <w:sz w:val="24"/>
                <w:szCs w:val="24"/>
                <w:lang w:val="lt-LT"/>
              </w:rPr>
              <w:t xml:space="preserve"> d. </w:t>
            </w:r>
            <w:r w:rsidR="6B427DE0" w:rsidRPr="0C53E4E6">
              <w:rPr>
                <w:b/>
                <w:bCs/>
                <w:sz w:val="24"/>
                <w:szCs w:val="24"/>
                <w:lang w:val="lt-LT"/>
              </w:rPr>
              <w:t>9</w:t>
            </w:r>
            <w:r w:rsidRPr="0C53E4E6">
              <w:rPr>
                <w:b/>
                <w:bCs/>
                <w:sz w:val="24"/>
                <w:szCs w:val="24"/>
                <w:lang w:val="lt-LT"/>
              </w:rPr>
              <w:t>:</w:t>
            </w:r>
            <w:r w:rsidR="00B81C59" w:rsidRPr="0C53E4E6">
              <w:rPr>
                <w:b/>
                <w:bCs/>
                <w:sz w:val="24"/>
                <w:szCs w:val="24"/>
                <w:lang w:val="lt-LT"/>
              </w:rPr>
              <w:t>00</w:t>
            </w:r>
            <w:r w:rsidRPr="0C53E4E6">
              <w:rPr>
                <w:b/>
                <w:bCs/>
                <w:sz w:val="24"/>
                <w:szCs w:val="24"/>
                <w:lang w:val="lt-LT"/>
              </w:rPr>
              <w:t xml:space="preserve"> val. Lietuvos laiku.</w:t>
            </w:r>
          </w:p>
        </w:tc>
      </w:tr>
      <w:tr w:rsidR="00340931" w:rsidRPr="00391D78" w14:paraId="17758B2B" w14:textId="77777777" w:rsidTr="0C53E4E6">
        <w:trPr>
          <w:trHeight w:val="819"/>
        </w:trPr>
        <w:tc>
          <w:tcPr>
            <w:tcW w:w="817" w:type="dxa"/>
          </w:tcPr>
          <w:p w14:paraId="24FC9CB9" w14:textId="77777777" w:rsidR="00340931" w:rsidRPr="008D367B" w:rsidRDefault="00340931" w:rsidP="003E7858">
            <w:pPr>
              <w:jc w:val="center"/>
              <w:rPr>
                <w:b/>
                <w:sz w:val="24"/>
                <w:szCs w:val="24"/>
                <w:lang w:val="lt-LT"/>
              </w:rPr>
            </w:pPr>
            <w:r w:rsidRPr="008D367B">
              <w:rPr>
                <w:b/>
                <w:sz w:val="24"/>
                <w:szCs w:val="24"/>
                <w:lang w:val="lt-LT"/>
              </w:rPr>
              <w:t>4.</w:t>
            </w:r>
          </w:p>
        </w:tc>
        <w:tc>
          <w:tcPr>
            <w:tcW w:w="2083" w:type="dxa"/>
          </w:tcPr>
          <w:p w14:paraId="0A1518C3" w14:textId="77777777" w:rsidR="00340931" w:rsidRPr="008D367B" w:rsidRDefault="00340931" w:rsidP="003E7858">
            <w:pPr>
              <w:rPr>
                <w:b/>
                <w:sz w:val="24"/>
                <w:szCs w:val="24"/>
                <w:lang w:val="lt-LT"/>
              </w:rPr>
            </w:pPr>
            <w:r w:rsidRPr="008D367B">
              <w:rPr>
                <w:b/>
                <w:sz w:val="24"/>
                <w:szCs w:val="24"/>
                <w:lang w:val="lt-LT"/>
              </w:rPr>
              <w:t>Rinkos konsultacijos būdas</w:t>
            </w:r>
          </w:p>
        </w:tc>
        <w:tc>
          <w:tcPr>
            <w:tcW w:w="6756" w:type="dxa"/>
          </w:tcPr>
          <w:p w14:paraId="6663A31D" w14:textId="77777777" w:rsidR="00340931" w:rsidRPr="008D367B" w:rsidRDefault="00340931" w:rsidP="003E7858">
            <w:pPr>
              <w:jc w:val="both"/>
              <w:rPr>
                <w:sz w:val="24"/>
                <w:szCs w:val="24"/>
                <w:lang w:val="lt-LT"/>
              </w:rPr>
            </w:pPr>
            <w:r w:rsidRPr="000C5310">
              <w:rPr>
                <w:sz w:val="24"/>
                <w:szCs w:val="24"/>
                <w:lang w:val="lt-LT"/>
              </w:rPr>
              <w:t>Rinkos konsultacija vykdoma elektroninėmis priemonėmis</w:t>
            </w:r>
            <w:r>
              <w:rPr>
                <w:sz w:val="24"/>
                <w:szCs w:val="24"/>
                <w:lang w:val="lt-LT"/>
              </w:rPr>
              <w:t>.</w:t>
            </w:r>
          </w:p>
        </w:tc>
      </w:tr>
      <w:tr w:rsidR="00340931" w:rsidRPr="00391D78" w14:paraId="7056D847" w14:textId="77777777" w:rsidTr="0C53E4E6">
        <w:trPr>
          <w:trHeight w:val="469"/>
        </w:trPr>
        <w:tc>
          <w:tcPr>
            <w:tcW w:w="817" w:type="dxa"/>
          </w:tcPr>
          <w:p w14:paraId="1368BF39" w14:textId="77777777" w:rsidR="00340931" w:rsidRPr="008D367B" w:rsidRDefault="00340931" w:rsidP="003E7858">
            <w:pPr>
              <w:jc w:val="center"/>
              <w:rPr>
                <w:b/>
                <w:sz w:val="24"/>
                <w:szCs w:val="24"/>
                <w:lang w:val="lt-LT"/>
              </w:rPr>
            </w:pPr>
            <w:r w:rsidRPr="008D367B">
              <w:rPr>
                <w:b/>
                <w:sz w:val="24"/>
                <w:szCs w:val="24"/>
                <w:lang w:val="lt-LT"/>
              </w:rPr>
              <w:t>5.</w:t>
            </w:r>
          </w:p>
        </w:tc>
        <w:tc>
          <w:tcPr>
            <w:tcW w:w="2083" w:type="dxa"/>
          </w:tcPr>
          <w:p w14:paraId="347CB5F0" w14:textId="77777777" w:rsidR="00340931" w:rsidRPr="008D367B" w:rsidRDefault="00340931" w:rsidP="003E7858">
            <w:pPr>
              <w:rPr>
                <w:b/>
                <w:sz w:val="24"/>
                <w:szCs w:val="24"/>
                <w:lang w:val="lt-LT"/>
              </w:rPr>
            </w:pPr>
            <w:r w:rsidRPr="008D367B">
              <w:rPr>
                <w:b/>
                <w:sz w:val="24"/>
                <w:szCs w:val="24"/>
                <w:lang w:val="lt-LT"/>
              </w:rPr>
              <w:t>Rinkos konsultacijos vykdymo tvarka</w:t>
            </w:r>
          </w:p>
        </w:tc>
        <w:tc>
          <w:tcPr>
            <w:tcW w:w="6756" w:type="dxa"/>
          </w:tcPr>
          <w:p w14:paraId="2F5C95ED" w14:textId="77777777" w:rsidR="00340931" w:rsidRPr="000C5310" w:rsidRDefault="00340931" w:rsidP="003E7858">
            <w:pPr>
              <w:jc w:val="both"/>
              <w:rPr>
                <w:sz w:val="24"/>
                <w:szCs w:val="24"/>
                <w:lang w:val="lt-LT"/>
              </w:rPr>
            </w:pPr>
            <w:r w:rsidRPr="000C5310">
              <w:rPr>
                <w:sz w:val="24"/>
                <w:szCs w:val="24"/>
                <w:lang w:val="lt-LT"/>
              </w:rPr>
              <w:t xml:space="preserve">Rinkos dalyviai ir kiti suinteresuoti asmenys kviečiami iki 3 punkte nurodyto termino pabaigos pateikti pastabas, pasiūlymus, klausimus, įžvalgas, rekomendacijas (toliau – pastebėjimai) dėl 1 punkte nurodyto rinkos konsultacijos objekto. </w:t>
            </w:r>
          </w:p>
          <w:p w14:paraId="0DF0617E" w14:textId="4F72D0FA" w:rsidR="00340931" w:rsidRDefault="00340931" w:rsidP="003E7858">
            <w:pPr>
              <w:spacing w:line="259" w:lineRule="auto"/>
              <w:jc w:val="both"/>
              <w:rPr>
                <w:sz w:val="24"/>
                <w:szCs w:val="24"/>
                <w:lang w:val="lt-LT"/>
              </w:rPr>
            </w:pPr>
            <w:r w:rsidRPr="000C5310">
              <w:rPr>
                <w:sz w:val="24"/>
                <w:szCs w:val="24"/>
                <w:lang w:val="lt-LT"/>
              </w:rPr>
              <w:lastRenderedPageBreak/>
              <w:t xml:space="preserve">Pastebėjimai </w:t>
            </w:r>
            <w:r w:rsidRPr="00A72DCE">
              <w:rPr>
                <w:sz w:val="24"/>
                <w:szCs w:val="24"/>
                <w:lang w:val="lt-LT"/>
              </w:rPr>
              <w:t>turi būti pateikti raštu – CVP IS priemonėmis.</w:t>
            </w:r>
          </w:p>
          <w:p w14:paraId="59D8E1AF" w14:textId="77777777" w:rsidR="00340931" w:rsidRPr="008D367B" w:rsidRDefault="00340931" w:rsidP="003E7858">
            <w:pPr>
              <w:spacing w:line="259" w:lineRule="auto"/>
              <w:jc w:val="both"/>
              <w:rPr>
                <w:sz w:val="24"/>
                <w:szCs w:val="24"/>
                <w:lang w:val="lt-LT"/>
              </w:rPr>
            </w:pPr>
            <w:r w:rsidRPr="005D37B5">
              <w:rPr>
                <w:sz w:val="24"/>
                <w:szCs w:val="24"/>
                <w:lang w:val="lt-LT"/>
              </w:rPr>
              <w:t xml:space="preserve">Teikiant </w:t>
            </w:r>
            <w:r>
              <w:rPr>
                <w:sz w:val="24"/>
                <w:szCs w:val="24"/>
                <w:lang w:val="lt-LT"/>
              </w:rPr>
              <w:t>pastebėjimus</w:t>
            </w:r>
            <w:r w:rsidRPr="005D37B5">
              <w:rPr>
                <w:sz w:val="24"/>
                <w:szCs w:val="24"/>
                <w:lang w:val="lt-LT"/>
              </w:rPr>
              <w:t xml:space="preserve"> būtina aiškiai nurodyti, kuri informacija yra konfidenciali.</w:t>
            </w:r>
          </w:p>
        </w:tc>
      </w:tr>
      <w:tr w:rsidR="00340931" w:rsidRPr="00451337" w14:paraId="66184055" w14:textId="77777777" w:rsidTr="0C53E4E6">
        <w:trPr>
          <w:trHeight w:val="513"/>
        </w:trPr>
        <w:tc>
          <w:tcPr>
            <w:tcW w:w="817" w:type="dxa"/>
          </w:tcPr>
          <w:p w14:paraId="4EB4169A" w14:textId="77777777" w:rsidR="00340931" w:rsidRPr="008D367B" w:rsidRDefault="00340931" w:rsidP="003E7858">
            <w:pPr>
              <w:jc w:val="center"/>
              <w:rPr>
                <w:b/>
                <w:sz w:val="24"/>
                <w:szCs w:val="24"/>
                <w:lang w:val="lt-LT"/>
              </w:rPr>
            </w:pPr>
            <w:r w:rsidRPr="008D367B">
              <w:rPr>
                <w:b/>
                <w:sz w:val="24"/>
                <w:szCs w:val="24"/>
                <w:lang w:val="lt-LT"/>
              </w:rPr>
              <w:lastRenderedPageBreak/>
              <w:t>6.</w:t>
            </w:r>
          </w:p>
        </w:tc>
        <w:tc>
          <w:tcPr>
            <w:tcW w:w="2083" w:type="dxa"/>
          </w:tcPr>
          <w:p w14:paraId="6DD3E0B1" w14:textId="77777777" w:rsidR="00340931" w:rsidRPr="008D367B" w:rsidRDefault="00340931" w:rsidP="003E7858">
            <w:pPr>
              <w:rPr>
                <w:b/>
                <w:sz w:val="24"/>
                <w:szCs w:val="24"/>
                <w:lang w:val="lt-LT"/>
              </w:rPr>
            </w:pPr>
            <w:r w:rsidRPr="008D367B">
              <w:rPr>
                <w:b/>
                <w:sz w:val="24"/>
                <w:szCs w:val="24"/>
                <w:lang w:val="lt-LT"/>
              </w:rPr>
              <w:t>Atsakymų į gautas pastabas, pasiūlymus, klausimus, įžvalgas, rekomendacijas pateikimas</w:t>
            </w:r>
          </w:p>
        </w:tc>
        <w:tc>
          <w:tcPr>
            <w:tcW w:w="6756" w:type="dxa"/>
          </w:tcPr>
          <w:p w14:paraId="745FE2D4" w14:textId="77777777" w:rsidR="00340931" w:rsidRPr="00FF3E9D" w:rsidRDefault="00340931" w:rsidP="003E7858">
            <w:pPr>
              <w:jc w:val="both"/>
              <w:rPr>
                <w:rFonts w:eastAsia="Calibri"/>
                <w:sz w:val="24"/>
                <w:szCs w:val="24"/>
                <w:lang w:val="lt-LT"/>
              </w:rPr>
            </w:pPr>
            <w:r w:rsidRPr="00FF3E9D">
              <w:rPr>
                <w:rFonts w:eastAsia="Calibri"/>
                <w:sz w:val="24"/>
                <w:szCs w:val="24"/>
                <w:lang w:val="lt-LT"/>
              </w:rPr>
              <w:t>Apibendrinta informacija apie šios rinkos konsultacijos rezultatus, tuo atveju, jei bus gauta pastebėjimų, bus skelbiama CVP IS priemonėmis, prie skelbimo apie šią rinkos konsultaciją</w:t>
            </w:r>
            <w:r>
              <w:rPr>
                <w:rFonts w:eastAsia="Calibri"/>
                <w:sz w:val="24"/>
                <w:szCs w:val="24"/>
                <w:lang w:val="lt-LT"/>
              </w:rPr>
              <w:t>,</w:t>
            </w:r>
            <w:r w:rsidRPr="00FF3E9D">
              <w:rPr>
                <w:rFonts w:eastAsia="Calibri"/>
                <w:sz w:val="24"/>
                <w:szCs w:val="24"/>
                <w:lang w:val="lt-LT"/>
              </w:rPr>
              <w:t xml:space="preserve"> </w:t>
            </w:r>
            <w:r w:rsidRPr="00FF3E9D">
              <w:rPr>
                <w:bCs/>
                <w:kern w:val="24"/>
                <w:sz w:val="24"/>
                <w:szCs w:val="24"/>
                <w:lang w:val="lt-LT" w:eastAsia="lt-LT"/>
              </w:rPr>
              <w:t xml:space="preserve">ne vėliau nei iki pirkimo pradžios. </w:t>
            </w:r>
          </w:p>
          <w:p w14:paraId="1D8DDB06" w14:textId="77777777" w:rsidR="00340931" w:rsidRPr="008D367B" w:rsidRDefault="00340931" w:rsidP="003E7858">
            <w:pPr>
              <w:tabs>
                <w:tab w:val="left" w:pos="720"/>
              </w:tabs>
              <w:jc w:val="both"/>
              <w:rPr>
                <w:bCs/>
                <w:kern w:val="24"/>
                <w:sz w:val="24"/>
                <w:szCs w:val="24"/>
                <w:lang w:val="lt-LT" w:eastAsia="lt-LT"/>
              </w:rPr>
            </w:pPr>
            <w:r w:rsidRPr="00FF3E9D">
              <w:rPr>
                <w:bCs/>
                <w:kern w:val="24"/>
                <w:sz w:val="24"/>
                <w:szCs w:val="24"/>
                <w:lang w:val="lt-LT" w:eastAsia="lt-LT"/>
              </w:rPr>
              <w:t>Perkančioji organizacija neįsipareigoja atsižvelgti į rinkos dalyvių pateiktus pastebėjimus.</w:t>
            </w:r>
          </w:p>
        </w:tc>
      </w:tr>
      <w:tr w:rsidR="00340931" w:rsidRPr="008273F5" w14:paraId="09F2F076" w14:textId="77777777" w:rsidTr="0C53E4E6">
        <w:trPr>
          <w:trHeight w:val="1087"/>
        </w:trPr>
        <w:tc>
          <w:tcPr>
            <w:tcW w:w="817" w:type="dxa"/>
          </w:tcPr>
          <w:p w14:paraId="4B68DDD6" w14:textId="77777777" w:rsidR="00340931" w:rsidRPr="008D367B" w:rsidRDefault="00340931" w:rsidP="003E7858">
            <w:pPr>
              <w:jc w:val="center"/>
              <w:rPr>
                <w:b/>
                <w:sz w:val="24"/>
                <w:szCs w:val="24"/>
                <w:lang w:val="lt-LT"/>
              </w:rPr>
            </w:pPr>
            <w:r w:rsidRPr="008D367B">
              <w:rPr>
                <w:b/>
                <w:sz w:val="24"/>
                <w:szCs w:val="24"/>
                <w:lang w:val="lt-LT"/>
              </w:rPr>
              <w:t>7.</w:t>
            </w:r>
          </w:p>
        </w:tc>
        <w:tc>
          <w:tcPr>
            <w:tcW w:w="2083" w:type="dxa"/>
          </w:tcPr>
          <w:p w14:paraId="1113363C" w14:textId="77777777" w:rsidR="00340931" w:rsidRPr="008D367B" w:rsidRDefault="00340931" w:rsidP="003E7858">
            <w:pPr>
              <w:rPr>
                <w:b/>
                <w:sz w:val="24"/>
                <w:szCs w:val="24"/>
                <w:lang w:val="lt-LT"/>
              </w:rPr>
            </w:pPr>
            <w:r w:rsidRPr="008D367B">
              <w:rPr>
                <w:b/>
                <w:sz w:val="24"/>
                <w:szCs w:val="24"/>
                <w:lang w:val="lt-LT"/>
              </w:rPr>
              <w:t xml:space="preserve">Kontaktiniai asmenys: </w:t>
            </w:r>
          </w:p>
        </w:tc>
        <w:tc>
          <w:tcPr>
            <w:tcW w:w="6756" w:type="dxa"/>
          </w:tcPr>
          <w:p w14:paraId="32CDCCEF" w14:textId="66835D4A" w:rsidR="00340931" w:rsidRPr="009A5947" w:rsidRDefault="00340931" w:rsidP="003E7858">
            <w:pPr>
              <w:jc w:val="both"/>
              <w:rPr>
                <w:sz w:val="24"/>
                <w:szCs w:val="24"/>
              </w:rPr>
            </w:pPr>
            <w:r w:rsidRPr="0C53E4E6">
              <w:rPr>
                <w:sz w:val="24"/>
                <w:szCs w:val="24"/>
                <w:lang w:val="lt-LT"/>
              </w:rPr>
              <w:t xml:space="preserve">Asmuo, atsakingas už procedūrų CVP IS vykdymą – </w:t>
            </w:r>
            <w:r w:rsidR="7A0AC9EB" w:rsidRPr="0C53E4E6">
              <w:rPr>
                <w:sz w:val="24"/>
                <w:szCs w:val="24"/>
                <w:lang w:val="lt-LT"/>
              </w:rPr>
              <w:t>VšĮ Vilniaus pirkimų agentūra Prekių ir paslaugų skyriaus pirkimų specialistė Živilė Gricytė-Rukuižienė,</w:t>
            </w:r>
            <w:r w:rsidR="654A1759" w:rsidRPr="0C53E4E6">
              <w:rPr>
                <w:sz w:val="24"/>
                <w:szCs w:val="24"/>
                <w:lang w:val="lt-LT"/>
              </w:rPr>
              <w:t xml:space="preserve"> el. </w:t>
            </w:r>
            <w:r w:rsidR="4C35A51B" w:rsidRPr="0C53E4E6">
              <w:rPr>
                <w:sz w:val="24"/>
                <w:szCs w:val="24"/>
                <w:lang w:val="lt-LT"/>
              </w:rPr>
              <w:t>p</w:t>
            </w:r>
            <w:r w:rsidR="654A1759" w:rsidRPr="0C53E4E6">
              <w:rPr>
                <w:sz w:val="24"/>
                <w:szCs w:val="24"/>
                <w:lang w:val="lt-LT"/>
              </w:rPr>
              <w:t xml:space="preserve">. </w:t>
            </w:r>
            <w:hyperlink r:id="rId7">
              <w:r w:rsidR="4C35A51B" w:rsidRPr="0C53E4E6">
                <w:rPr>
                  <w:rStyle w:val="Hyperlink"/>
                  <w:sz w:val="24"/>
                  <w:szCs w:val="24"/>
                  <w:lang w:val="lt-LT"/>
                </w:rPr>
                <w:t>zivile.rukuiziene@vilnius.lt</w:t>
              </w:r>
            </w:hyperlink>
            <w:r w:rsidR="00CC342A">
              <w:t xml:space="preserve">, </w:t>
            </w:r>
            <w:r w:rsidR="00CC342A" w:rsidRPr="009A5947">
              <w:rPr>
                <w:sz w:val="24"/>
                <w:szCs w:val="24"/>
              </w:rPr>
              <w:t>tel. +370 601 38998</w:t>
            </w:r>
          </w:p>
          <w:p w14:paraId="291446F5" w14:textId="546C0A42" w:rsidR="00340931" w:rsidRPr="008D367B" w:rsidRDefault="00340931" w:rsidP="003E7858">
            <w:pPr>
              <w:jc w:val="both"/>
              <w:rPr>
                <w:sz w:val="24"/>
                <w:szCs w:val="24"/>
                <w:lang w:val="lt-LT"/>
              </w:rPr>
            </w:pPr>
          </w:p>
        </w:tc>
      </w:tr>
    </w:tbl>
    <w:p w14:paraId="47FF8EF9" w14:textId="77777777" w:rsidR="00340931" w:rsidRPr="008D367B" w:rsidRDefault="00340931" w:rsidP="00340931">
      <w:pPr>
        <w:widowControl w:val="0"/>
        <w:ind w:firstLine="284"/>
        <w:jc w:val="both"/>
        <w:rPr>
          <w:b/>
          <w:sz w:val="24"/>
          <w:szCs w:val="24"/>
          <w:lang w:val="lt-LT"/>
        </w:rPr>
      </w:pPr>
    </w:p>
    <w:p w14:paraId="1357DD8F" w14:textId="7B9B3707" w:rsidR="00586566" w:rsidRPr="00586566" w:rsidRDefault="00340931" w:rsidP="0C53E4E6">
      <w:pPr>
        <w:widowControl w:val="0"/>
        <w:jc w:val="both"/>
        <w:rPr>
          <w:sz w:val="24"/>
          <w:szCs w:val="24"/>
          <w:lang w:val="lt-LT"/>
        </w:rPr>
      </w:pPr>
      <w:r w:rsidRPr="0C53E4E6">
        <w:rPr>
          <w:b/>
          <w:bCs/>
          <w:sz w:val="24"/>
          <w:szCs w:val="24"/>
          <w:lang w:val="lt-LT"/>
        </w:rPr>
        <w:t>PRIDEDAMA</w:t>
      </w:r>
      <w:r w:rsidRPr="0C53E4E6">
        <w:rPr>
          <w:sz w:val="24"/>
          <w:szCs w:val="24"/>
          <w:lang w:val="lt-LT"/>
        </w:rPr>
        <w:t xml:space="preserve">: </w:t>
      </w:r>
      <w:r w:rsidR="002103D3" w:rsidRPr="0C53E4E6">
        <w:rPr>
          <w:sz w:val="24"/>
          <w:szCs w:val="24"/>
          <w:lang w:val="lt-LT"/>
        </w:rPr>
        <w:t>„</w:t>
      </w:r>
      <w:r w:rsidR="001701A8">
        <w:rPr>
          <w:sz w:val="24"/>
          <w:szCs w:val="24"/>
          <w:lang w:val="lt-LT"/>
        </w:rPr>
        <w:t>Tarptautinio gastronomijos vertinimo ir reitingavimo paslaugos</w:t>
      </w:r>
      <w:r w:rsidR="002103D3" w:rsidRPr="0C53E4E6">
        <w:rPr>
          <w:rFonts w:eastAsia="SimSun"/>
          <w:sz w:val="24"/>
          <w:szCs w:val="24"/>
          <w:lang w:val="lt-LT"/>
        </w:rPr>
        <w:t xml:space="preserve">“ </w:t>
      </w:r>
      <w:r w:rsidR="00586566" w:rsidRPr="0C53E4E6">
        <w:rPr>
          <w:sz w:val="24"/>
          <w:szCs w:val="24"/>
          <w:lang w:val="lt-LT"/>
        </w:rPr>
        <w:t>techninė</w:t>
      </w:r>
      <w:r w:rsidR="002D6895" w:rsidRPr="0C53E4E6">
        <w:rPr>
          <w:sz w:val="24"/>
          <w:szCs w:val="24"/>
          <w:lang w:val="lt-LT"/>
        </w:rPr>
        <w:t>s</w:t>
      </w:r>
      <w:r w:rsidR="00586566" w:rsidRPr="0C53E4E6">
        <w:rPr>
          <w:sz w:val="24"/>
          <w:szCs w:val="24"/>
          <w:lang w:val="lt-LT"/>
        </w:rPr>
        <w:t xml:space="preserve"> specifikacij</w:t>
      </w:r>
      <w:r w:rsidR="002D6895" w:rsidRPr="0C53E4E6">
        <w:rPr>
          <w:sz w:val="24"/>
          <w:szCs w:val="24"/>
          <w:lang w:val="lt-LT"/>
        </w:rPr>
        <w:t>os projektas</w:t>
      </w:r>
      <w:r w:rsidR="00586566" w:rsidRPr="0C53E4E6">
        <w:rPr>
          <w:sz w:val="24"/>
          <w:szCs w:val="24"/>
          <w:lang w:val="lt-LT"/>
        </w:rPr>
        <w:t xml:space="preserve">, jos priedai, </w:t>
      </w:r>
      <w:r w:rsidR="005D7D1A" w:rsidRPr="0C53E4E6">
        <w:rPr>
          <w:sz w:val="24"/>
          <w:szCs w:val="24"/>
          <w:lang w:val="lt-LT"/>
        </w:rPr>
        <w:t>pirkimo sąlyg</w:t>
      </w:r>
      <w:r w:rsidR="002D6895" w:rsidRPr="0C53E4E6">
        <w:rPr>
          <w:sz w:val="24"/>
          <w:szCs w:val="24"/>
          <w:lang w:val="lt-LT"/>
        </w:rPr>
        <w:t>ų</w:t>
      </w:r>
      <w:r w:rsidR="00903D56" w:rsidRPr="0C53E4E6">
        <w:rPr>
          <w:sz w:val="24"/>
          <w:szCs w:val="24"/>
          <w:lang w:val="lt-LT"/>
        </w:rPr>
        <w:t xml:space="preserve"> ir sutarti</w:t>
      </w:r>
      <w:r w:rsidR="002D6895" w:rsidRPr="0C53E4E6">
        <w:rPr>
          <w:sz w:val="24"/>
          <w:szCs w:val="24"/>
          <w:lang w:val="lt-LT"/>
        </w:rPr>
        <w:t>es projektai</w:t>
      </w:r>
      <w:r w:rsidR="00586566" w:rsidRPr="0C53E4E6">
        <w:rPr>
          <w:sz w:val="24"/>
          <w:szCs w:val="24"/>
          <w:lang w:val="lt-LT"/>
        </w:rPr>
        <w:t>.</w:t>
      </w:r>
    </w:p>
    <w:p w14:paraId="11D0CEE4" w14:textId="2CDB6748" w:rsidR="00340931" w:rsidRPr="00A72DCE" w:rsidRDefault="00340931" w:rsidP="00586566">
      <w:pPr>
        <w:widowControl w:val="0"/>
        <w:jc w:val="both"/>
        <w:rPr>
          <w:bCs/>
          <w:lang w:val="lt-LT"/>
        </w:rPr>
      </w:pPr>
    </w:p>
    <w:p w14:paraId="61EB916F" w14:textId="77777777" w:rsidR="00943A33" w:rsidRPr="00B55D9C" w:rsidRDefault="00943A33">
      <w:pPr>
        <w:rPr>
          <w:lang w:val="lt-LT"/>
        </w:rPr>
      </w:pPr>
    </w:p>
    <w:sectPr w:rsidR="00943A33" w:rsidRPr="00B55D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31"/>
    <w:rsid w:val="00002912"/>
    <w:rsid w:val="0003414B"/>
    <w:rsid w:val="00083DBA"/>
    <w:rsid w:val="00085DA5"/>
    <w:rsid w:val="000F4C7A"/>
    <w:rsid w:val="001701A8"/>
    <w:rsid w:val="001726A9"/>
    <w:rsid w:val="001C51BC"/>
    <w:rsid w:val="001F0FDE"/>
    <w:rsid w:val="001F25B6"/>
    <w:rsid w:val="001F474F"/>
    <w:rsid w:val="001F6AD9"/>
    <w:rsid w:val="002103D3"/>
    <w:rsid w:val="00226FA7"/>
    <w:rsid w:val="00235567"/>
    <w:rsid w:val="00250199"/>
    <w:rsid w:val="002578A6"/>
    <w:rsid w:val="002B697A"/>
    <w:rsid w:val="002D6895"/>
    <w:rsid w:val="002D6EE7"/>
    <w:rsid w:val="002F1EA4"/>
    <w:rsid w:val="003116ED"/>
    <w:rsid w:val="00340931"/>
    <w:rsid w:val="00346907"/>
    <w:rsid w:val="00374480"/>
    <w:rsid w:val="00390F30"/>
    <w:rsid w:val="00391D78"/>
    <w:rsid w:val="004339A8"/>
    <w:rsid w:val="00435D35"/>
    <w:rsid w:val="0044459A"/>
    <w:rsid w:val="00451337"/>
    <w:rsid w:val="004878B5"/>
    <w:rsid w:val="004B6950"/>
    <w:rsid w:val="00517DF8"/>
    <w:rsid w:val="005706B6"/>
    <w:rsid w:val="00586566"/>
    <w:rsid w:val="005D7D1A"/>
    <w:rsid w:val="007050A8"/>
    <w:rsid w:val="007D7812"/>
    <w:rsid w:val="007F59AF"/>
    <w:rsid w:val="008273F5"/>
    <w:rsid w:val="00870C45"/>
    <w:rsid w:val="00892E99"/>
    <w:rsid w:val="008B2FEC"/>
    <w:rsid w:val="00903D56"/>
    <w:rsid w:val="00943A33"/>
    <w:rsid w:val="00973E5B"/>
    <w:rsid w:val="00980EBF"/>
    <w:rsid w:val="009A2FA4"/>
    <w:rsid w:val="009A5947"/>
    <w:rsid w:val="00A10A4C"/>
    <w:rsid w:val="00A14EAF"/>
    <w:rsid w:val="00A5245D"/>
    <w:rsid w:val="00A573D5"/>
    <w:rsid w:val="00A72DCE"/>
    <w:rsid w:val="00AB2C3E"/>
    <w:rsid w:val="00AB5C7F"/>
    <w:rsid w:val="00B1029C"/>
    <w:rsid w:val="00B35A01"/>
    <w:rsid w:val="00B45F58"/>
    <w:rsid w:val="00B55D9C"/>
    <w:rsid w:val="00B72315"/>
    <w:rsid w:val="00B76623"/>
    <w:rsid w:val="00B81C59"/>
    <w:rsid w:val="00B97EE9"/>
    <w:rsid w:val="00BC531B"/>
    <w:rsid w:val="00BE778A"/>
    <w:rsid w:val="00C03B95"/>
    <w:rsid w:val="00C12937"/>
    <w:rsid w:val="00C54D49"/>
    <w:rsid w:val="00C652B6"/>
    <w:rsid w:val="00C65C98"/>
    <w:rsid w:val="00CC342A"/>
    <w:rsid w:val="00D26273"/>
    <w:rsid w:val="00D70D70"/>
    <w:rsid w:val="00DE6564"/>
    <w:rsid w:val="00DE7E47"/>
    <w:rsid w:val="00E03B4F"/>
    <w:rsid w:val="00E33E67"/>
    <w:rsid w:val="00E629EA"/>
    <w:rsid w:val="00E67B9F"/>
    <w:rsid w:val="00E83D2C"/>
    <w:rsid w:val="00EB682E"/>
    <w:rsid w:val="00ED7986"/>
    <w:rsid w:val="00EE2AF2"/>
    <w:rsid w:val="00EF7622"/>
    <w:rsid w:val="00F04C3C"/>
    <w:rsid w:val="00F14035"/>
    <w:rsid w:val="00F63897"/>
    <w:rsid w:val="00F941C1"/>
    <w:rsid w:val="00FF0F8A"/>
    <w:rsid w:val="015F922C"/>
    <w:rsid w:val="0243FCC7"/>
    <w:rsid w:val="07E6F743"/>
    <w:rsid w:val="0B25F1FC"/>
    <w:rsid w:val="0C53E4E6"/>
    <w:rsid w:val="0C86F31E"/>
    <w:rsid w:val="0C8715E4"/>
    <w:rsid w:val="0D0103AE"/>
    <w:rsid w:val="122A9797"/>
    <w:rsid w:val="17FBF3B9"/>
    <w:rsid w:val="1899362C"/>
    <w:rsid w:val="1A509D15"/>
    <w:rsid w:val="1ADD8B77"/>
    <w:rsid w:val="1CD3BAB0"/>
    <w:rsid w:val="1D316E38"/>
    <w:rsid w:val="22E0E997"/>
    <w:rsid w:val="22FFAED0"/>
    <w:rsid w:val="2470B08A"/>
    <w:rsid w:val="2490C15B"/>
    <w:rsid w:val="24AD9F09"/>
    <w:rsid w:val="256EEC38"/>
    <w:rsid w:val="257CE482"/>
    <w:rsid w:val="287CDCD3"/>
    <w:rsid w:val="2B5E2EDC"/>
    <w:rsid w:val="2C13DC83"/>
    <w:rsid w:val="2C61AC18"/>
    <w:rsid w:val="2E30B92F"/>
    <w:rsid w:val="2EC80250"/>
    <w:rsid w:val="311C49DA"/>
    <w:rsid w:val="344ABCE3"/>
    <w:rsid w:val="3693611C"/>
    <w:rsid w:val="378C0323"/>
    <w:rsid w:val="3920635A"/>
    <w:rsid w:val="3AD7D64A"/>
    <w:rsid w:val="3FF41F45"/>
    <w:rsid w:val="42BF293C"/>
    <w:rsid w:val="4465F0F6"/>
    <w:rsid w:val="4548A270"/>
    <w:rsid w:val="45D0CA7E"/>
    <w:rsid w:val="48834F62"/>
    <w:rsid w:val="4C35A51B"/>
    <w:rsid w:val="4D358207"/>
    <w:rsid w:val="4D4F27C5"/>
    <w:rsid w:val="4E1F4588"/>
    <w:rsid w:val="4E56BF11"/>
    <w:rsid w:val="5335D369"/>
    <w:rsid w:val="54599BED"/>
    <w:rsid w:val="55F79CB6"/>
    <w:rsid w:val="589625D3"/>
    <w:rsid w:val="5AB413AB"/>
    <w:rsid w:val="5FDC2A14"/>
    <w:rsid w:val="654A1759"/>
    <w:rsid w:val="6761F2BC"/>
    <w:rsid w:val="67CEF1E3"/>
    <w:rsid w:val="6B427DE0"/>
    <w:rsid w:val="6BA9FDAE"/>
    <w:rsid w:val="6F09FDAC"/>
    <w:rsid w:val="6F9F9008"/>
    <w:rsid w:val="6FADB325"/>
    <w:rsid w:val="71DDFA14"/>
    <w:rsid w:val="71E66338"/>
    <w:rsid w:val="7549C07E"/>
    <w:rsid w:val="7A0AC9EB"/>
    <w:rsid w:val="7C419A2C"/>
    <w:rsid w:val="7C468BEA"/>
    <w:rsid w:val="7E78F88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CD2A"/>
  <w15:chartTrackingRefBased/>
  <w15:docId w15:val="{C63357A0-343F-4494-B100-D544189D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31"/>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0931"/>
    <w:rPr>
      <w:color w:val="0000FF"/>
      <w:u w:val="single"/>
    </w:rPr>
  </w:style>
  <w:style w:type="paragraph" w:styleId="BodyTextIndent2">
    <w:name w:val="Body Text Indent 2"/>
    <w:basedOn w:val="Normal"/>
    <w:link w:val="BodyTextIndent2Char"/>
    <w:rsid w:val="00340931"/>
    <w:pPr>
      <w:spacing w:after="120" w:line="480" w:lineRule="auto"/>
      <w:ind w:left="283"/>
    </w:pPr>
  </w:style>
  <w:style w:type="character" w:customStyle="1" w:styleId="BodyTextIndent2Char">
    <w:name w:val="Body Text Indent 2 Char"/>
    <w:basedOn w:val="DefaultParagraphFont"/>
    <w:link w:val="BodyTextIndent2"/>
    <w:rsid w:val="00340931"/>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A72DCE"/>
    <w:rPr>
      <w:color w:val="605E5C"/>
      <w:shd w:val="clear" w:color="auto" w:fill="E1DFDD"/>
    </w:rPr>
  </w:style>
  <w:style w:type="character" w:styleId="CommentReference">
    <w:name w:val="annotation reference"/>
    <w:rsid w:val="00E33E67"/>
    <w:rPr>
      <w:sz w:val="16"/>
      <w:szCs w:val="16"/>
    </w:rPr>
  </w:style>
  <w:style w:type="paragraph" w:styleId="CommentText">
    <w:name w:val="annotation text"/>
    <w:basedOn w:val="Normal"/>
    <w:link w:val="CommentTextChar"/>
    <w:rsid w:val="00E33E67"/>
  </w:style>
  <w:style w:type="character" w:customStyle="1" w:styleId="CommentTextChar">
    <w:name w:val="Comment Text Char"/>
    <w:basedOn w:val="DefaultParagraphFont"/>
    <w:link w:val="CommentText"/>
    <w:rsid w:val="00E33E6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33E67"/>
    <w:rPr>
      <w:b/>
      <w:bCs/>
    </w:rPr>
  </w:style>
  <w:style w:type="character" w:customStyle="1" w:styleId="CommentSubjectChar">
    <w:name w:val="Comment Subject Char"/>
    <w:basedOn w:val="CommentTextChar"/>
    <w:link w:val="CommentSubject"/>
    <w:uiPriority w:val="99"/>
    <w:semiHidden/>
    <w:rsid w:val="00E33E67"/>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44459A"/>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zivile.rukuiziene@vilniu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8303A-BD30-4B97-BCB1-7F59D9C32CD2}">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9342463A-0A91-423A-A956-E12DD0B1AB24}">
  <ds:schemaRefs>
    <ds:schemaRef ds:uri="http://schemas.microsoft.com/sharepoint/v3/contenttype/forms"/>
  </ds:schemaRefs>
</ds:datastoreItem>
</file>

<file path=customXml/itemProps3.xml><?xml version="1.0" encoding="utf-8"?>
<ds:datastoreItem xmlns:ds="http://schemas.openxmlformats.org/officeDocument/2006/customXml" ds:itemID="{2349E351-C03D-406A-9965-85D1CA602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2244</Words>
  <Characters>1280</Characters>
  <Application>Microsoft Office Word</Application>
  <DocSecurity>0</DocSecurity>
  <Lines>10</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Živilė Rukuižienė</cp:lastModifiedBy>
  <cp:revision>27</cp:revision>
  <dcterms:created xsi:type="dcterms:W3CDTF">2025-05-30T05:06:00Z</dcterms:created>
  <dcterms:modified xsi:type="dcterms:W3CDTF">2026-04-22T06:26:00Z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