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0B301870" w:rsidR="005F13F0" w:rsidRPr="00915CF1" w:rsidRDefault="7D92ACDC" w:rsidP="004E4612">
          <w:pPr>
            <w:spacing w:after="120" w:line="20" w:lineRule="atLeast"/>
            <w:contextualSpacing/>
            <w:jc w:val="center"/>
            <w:rPr>
              <w:rFonts w:cstheme="minorHAnsi"/>
              <w:b/>
              <w:color w:val="000000" w:themeColor="text1"/>
              <w:sz w:val="22"/>
              <w:szCs w:val="22"/>
            </w:rPr>
          </w:pPr>
          <w:r w:rsidRPr="00915CF1">
            <w:rPr>
              <w:rFonts w:cstheme="minorHAnsi"/>
              <w:b/>
              <w:bCs/>
              <w:color w:val="000000" w:themeColor="text1"/>
              <w:sz w:val="22"/>
              <w:szCs w:val="22"/>
            </w:rPr>
            <w:t>V</w:t>
          </w:r>
          <w:r w:rsidR="009F3EA8">
            <w:rPr>
              <w:rFonts w:cstheme="minorHAnsi"/>
              <w:b/>
              <w:bCs/>
              <w:color w:val="000000" w:themeColor="text1"/>
              <w:sz w:val="22"/>
              <w:szCs w:val="22"/>
            </w:rPr>
            <w:t>IEŠOJI ĮSTAIGA VILNIAUS PIRKIMŲ AGENTŪRA</w:t>
          </w:r>
          <w:r w:rsidR="00EC489F">
            <w:rPr>
              <w:rFonts w:cstheme="minorHAnsi"/>
              <w:b/>
              <w:bCs/>
              <w:color w:val="000000" w:themeColor="text1"/>
              <w:sz w:val="22"/>
              <w:szCs w:val="22"/>
            </w:rPr>
            <w:t xml:space="preserve"> </w:t>
          </w:r>
        </w:p>
        <w:p w14:paraId="2721BB57" w14:textId="16680EA7" w:rsidR="00D526C8" w:rsidRPr="00915CF1" w:rsidRDefault="791DA65D" w:rsidP="00EA4362">
          <w:pPr>
            <w:spacing w:after="120" w:line="20" w:lineRule="atLeast"/>
            <w:jc w:val="center"/>
            <w:rPr>
              <w:rFonts w:eastAsia="Calibri" w:cstheme="minorHAnsi"/>
              <w:color w:val="000000" w:themeColor="text1"/>
              <w:sz w:val="22"/>
              <w:szCs w:val="22"/>
            </w:rPr>
          </w:pPr>
          <w:r w:rsidRPr="00915CF1">
            <w:rPr>
              <w:rFonts w:cstheme="minorHAnsi"/>
              <w:color w:val="000000" w:themeColor="text1"/>
              <w:sz w:val="22"/>
              <w:szCs w:val="22"/>
            </w:rPr>
            <w:t>Konstitucijos pr. 3, LT-</w:t>
          </w:r>
          <w:r w:rsidR="0037556A">
            <w:rPr>
              <w:rFonts w:cstheme="minorHAnsi"/>
              <w:color w:val="000000" w:themeColor="text1"/>
              <w:sz w:val="22"/>
              <w:szCs w:val="22"/>
            </w:rPr>
            <w:t>09308</w:t>
          </w:r>
          <w:r w:rsidRPr="00915CF1">
            <w:rPr>
              <w:rFonts w:cstheme="minorHAnsi"/>
              <w:color w:val="000000" w:themeColor="text1"/>
              <w:sz w:val="22"/>
              <w:szCs w:val="22"/>
            </w:rPr>
            <w:t xml:space="preserve"> Vilnius</w:t>
          </w:r>
          <w:r w:rsidR="00414D9A" w:rsidRPr="00915CF1">
            <w:rPr>
              <w:rFonts w:cstheme="minorHAnsi"/>
              <w:color w:val="000000" w:themeColor="text1"/>
              <w:sz w:val="22"/>
              <w:szCs w:val="22"/>
            </w:rPr>
            <w:t xml:space="preserve">, k. </w:t>
          </w:r>
          <w:r w:rsidR="00BD32CE" w:rsidRPr="00BD32CE">
            <w:rPr>
              <w:rFonts w:cstheme="minorHAnsi"/>
              <w:color w:val="000000" w:themeColor="text1"/>
              <w:sz w:val="22"/>
              <w:szCs w:val="22"/>
            </w:rPr>
            <w:t>307488060</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6B0D5C39" w14:textId="77777777" w:rsidR="00182BF5" w:rsidRDefault="007A130B" w:rsidP="00182BF5">
          <w:pPr>
            <w:spacing w:after="120" w:line="20" w:lineRule="atLeast"/>
            <w:contextualSpacing/>
            <w:jc w:val="center"/>
            <w:rPr>
              <w:rFonts w:cstheme="minorHAnsi"/>
              <w:b/>
              <w:bCs/>
              <w:sz w:val="22"/>
              <w:szCs w:val="22"/>
            </w:rPr>
          </w:pPr>
          <w:r w:rsidRPr="0062125B">
            <w:rPr>
              <w:rFonts w:cstheme="minorHAnsi"/>
              <w:b/>
              <w:bCs/>
              <w:color w:val="000000" w:themeColor="text1"/>
              <w:sz w:val="22"/>
              <w:szCs w:val="22"/>
            </w:rPr>
            <w:t>TARPTAUTIN</w:t>
          </w:r>
          <w:r w:rsidR="0069195A" w:rsidRPr="0062125B">
            <w:rPr>
              <w:rFonts w:cstheme="minorHAnsi"/>
              <w:b/>
              <w:bCs/>
              <w:color w:val="000000" w:themeColor="text1"/>
              <w:sz w:val="22"/>
              <w:szCs w:val="22"/>
            </w:rPr>
            <w:t>ĖS VERTĖS</w:t>
          </w:r>
          <w:r w:rsidRPr="0062125B">
            <w:rPr>
              <w:rFonts w:cstheme="minorHAnsi"/>
              <w:b/>
              <w:bCs/>
              <w:color w:val="000000" w:themeColor="text1"/>
              <w:sz w:val="22"/>
              <w:szCs w:val="22"/>
            </w:rPr>
            <w:t xml:space="preserve"> </w:t>
          </w:r>
          <w:r w:rsidR="00D526C8" w:rsidRPr="00682B25">
            <w:rPr>
              <w:rFonts w:cstheme="minorHAnsi"/>
              <w:b/>
              <w:bCs/>
              <w:sz w:val="22"/>
              <w:szCs w:val="22"/>
            </w:rPr>
            <w:t>VIEŠOJO PIRKIMO „</w:t>
          </w:r>
          <w:r w:rsidR="0062125B">
            <w:rPr>
              <w:rFonts w:cstheme="minorHAnsi"/>
              <w:b/>
              <w:bCs/>
              <w:sz w:val="22"/>
              <w:szCs w:val="22"/>
            </w:rPr>
            <w:t xml:space="preserve">CP-404434 REAGENTAI IR PAPILDOMOS PRIEMONĖS </w:t>
          </w:r>
          <w:r w:rsidR="00182BF5">
            <w:rPr>
              <w:rFonts w:cstheme="minorHAnsi"/>
              <w:b/>
              <w:bCs/>
              <w:sz w:val="22"/>
              <w:szCs w:val="22"/>
            </w:rPr>
            <w:t>KRAUJO KREŠĖJIMO TYRIMAMS SU ĮRANGA PANAUDAI</w:t>
          </w:r>
          <w:r w:rsidR="00D526C8" w:rsidRPr="00682B25">
            <w:rPr>
              <w:rFonts w:cstheme="minorHAnsi"/>
              <w:b/>
              <w:bCs/>
              <w:sz w:val="22"/>
              <w:szCs w:val="22"/>
            </w:rPr>
            <w:t>“</w:t>
          </w:r>
        </w:p>
        <w:p w14:paraId="18ACC6AD" w14:textId="27C27B9F" w:rsidR="00D526C8" w:rsidRPr="00682B25" w:rsidRDefault="00D526C8" w:rsidP="00182BF5">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9FEA397"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182BF5" w:rsidRPr="00182BF5">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701CB6B7" w14:textId="158C241B" w:rsidR="009E3028"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25416944" w:history="1">
                <w:r w:rsidR="009E3028" w:rsidRPr="00355CA4">
                  <w:rPr>
                    <w:rStyle w:val="Hipersaitas"/>
                    <w:rFonts w:cstheme="minorHAnsi"/>
                    <w:noProof/>
                  </w:rPr>
                  <w:t>1.</w:t>
                </w:r>
                <w:r w:rsidR="009E3028">
                  <w:rPr>
                    <w:noProof/>
                    <w:kern w:val="2"/>
                    <w:sz w:val="24"/>
                    <w:szCs w:val="24"/>
                    <w14:ligatures w14:val="standardContextual"/>
                  </w:rPr>
                  <w:tab/>
                </w:r>
                <w:r w:rsidR="009E3028" w:rsidRPr="00355CA4">
                  <w:rPr>
                    <w:rStyle w:val="Hipersaitas"/>
                    <w:rFonts w:cstheme="minorHAnsi"/>
                    <w:noProof/>
                  </w:rPr>
                  <w:t>Bendra informacija</w:t>
                </w:r>
                <w:r w:rsidR="009E3028">
                  <w:rPr>
                    <w:noProof/>
                    <w:webHidden/>
                  </w:rPr>
                  <w:tab/>
                </w:r>
                <w:r w:rsidR="009E3028">
                  <w:rPr>
                    <w:noProof/>
                    <w:webHidden/>
                  </w:rPr>
                  <w:fldChar w:fldCharType="begin"/>
                </w:r>
                <w:r w:rsidR="009E3028">
                  <w:rPr>
                    <w:noProof/>
                    <w:webHidden/>
                  </w:rPr>
                  <w:instrText xml:space="preserve"> PAGEREF _Toc225416944 \h </w:instrText>
                </w:r>
                <w:r w:rsidR="009E3028">
                  <w:rPr>
                    <w:noProof/>
                    <w:webHidden/>
                  </w:rPr>
                </w:r>
                <w:r w:rsidR="009E3028">
                  <w:rPr>
                    <w:noProof/>
                    <w:webHidden/>
                  </w:rPr>
                  <w:fldChar w:fldCharType="separate"/>
                </w:r>
                <w:r w:rsidR="009E3028">
                  <w:rPr>
                    <w:noProof/>
                    <w:webHidden/>
                  </w:rPr>
                  <w:t>2</w:t>
                </w:r>
                <w:r w:rsidR="009E3028">
                  <w:rPr>
                    <w:noProof/>
                    <w:webHidden/>
                  </w:rPr>
                  <w:fldChar w:fldCharType="end"/>
                </w:r>
              </w:hyperlink>
            </w:p>
            <w:p w14:paraId="189A836B" w14:textId="2CAD0BF7" w:rsidR="009E3028" w:rsidRDefault="009E3028">
              <w:pPr>
                <w:pStyle w:val="Turinys1"/>
                <w:rPr>
                  <w:noProof/>
                  <w:kern w:val="2"/>
                  <w:sz w:val="24"/>
                  <w:szCs w:val="24"/>
                  <w14:ligatures w14:val="standardContextual"/>
                </w:rPr>
              </w:pPr>
              <w:hyperlink w:anchor="_Toc225416945" w:history="1">
                <w:r w:rsidRPr="00355CA4">
                  <w:rPr>
                    <w:rStyle w:val="Hipersaitas"/>
                    <w:rFonts w:cstheme="minorHAnsi"/>
                    <w:noProof/>
                  </w:rPr>
                  <w:t>2. Pirkimo objektas</w:t>
                </w:r>
                <w:r>
                  <w:rPr>
                    <w:noProof/>
                    <w:webHidden/>
                  </w:rPr>
                  <w:tab/>
                </w:r>
                <w:r>
                  <w:rPr>
                    <w:noProof/>
                    <w:webHidden/>
                  </w:rPr>
                  <w:fldChar w:fldCharType="begin"/>
                </w:r>
                <w:r>
                  <w:rPr>
                    <w:noProof/>
                    <w:webHidden/>
                  </w:rPr>
                  <w:instrText xml:space="preserve"> PAGEREF _Toc225416945 \h </w:instrText>
                </w:r>
                <w:r>
                  <w:rPr>
                    <w:noProof/>
                    <w:webHidden/>
                  </w:rPr>
                </w:r>
                <w:r>
                  <w:rPr>
                    <w:noProof/>
                    <w:webHidden/>
                  </w:rPr>
                  <w:fldChar w:fldCharType="separate"/>
                </w:r>
                <w:r>
                  <w:rPr>
                    <w:noProof/>
                    <w:webHidden/>
                  </w:rPr>
                  <w:t>2</w:t>
                </w:r>
                <w:r>
                  <w:rPr>
                    <w:noProof/>
                    <w:webHidden/>
                  </w:rPr>
                  <w:fldChar w:fldCharType="end"/>
                </w:r>
              </w:hyperlink>
            </w:p>
            <w:p w14:paraId="7AB059F0" w14:textId="6B6131D9" w:rsidR="009E3028" w:rsidRDefault="009E3028">
              <w:pPr>
                <w:pStyle w:val="Turinys1"/>
                <w:rPr>
                  <w:noProof/>
                  <w:kern w:val="2"/>
                  <w:sz w:val="24"/>
                  <w:szCs w:val="24"/>
                  <w14:ligatures w14:val="standardContextual"/>
                </w:rPr>
              </w:pPr>
              <w:hyperlink w:anchor="_Toc225416946" w:history="1">
                <w:r w:rsidRPr="00355CA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_Toc225416946 \h </w:instrText>
                </w:r>
                <w:r>
                  <w:rPr>
                    <w:noProof/>
                    <w:webHidden/>
                  </w:rPr>
                </w:r>
                <w:r>
                  <w:rPr>
                    <w:noProof/>
                    <w:webHidden/>
                  </w:rPr>
                  <w:fldChar w:fldCharType="separate"/>
                </w:r>
                <w:r>
                  <w:rPr>
                    <w:noProof/>
                    <w:webHidden/>
                  </w:rPr>
                  <w:t>4</w:t>
                </w:r>
                <w:r>
                  <w:rPr>
                    <w:noProof/>
                    <w:webHidden/>
                  </w:rPr>
                  <w:fldChar w:fldCharType="end"/>
                </w:r>
              </w:hyperlink>
            </w:p>
            <w:p w14:paraId="5A77439F" w14:textId="5B2B3C84" w:rsidR="009E3028" w:rsidRDefault="009E3028">
              <w:pPr>
                <w:pStyle w:val="Turinys1"/>
                <w:rPr>
                  <w:noProof/>
                  <w:kern w:val="2"/>
                  <w:sz w:val="24"/>
                  <w:szCs w:val="24"/>
                  <w14:ligatures w14:val="standardContextual"/>
                </w:rPr>
              </w:pPr>
              <w:hyperlink w:anchor="_Toc225416947" w:history="1">
                <w:r w:rsidRPr="00355CA4">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_Toc225416947 \h </w:instrText>
                </w:r>
                <w:r>
                  <w:rPr>
                    <w:noProof/>
                    <w:webHidden/>
                  </w:rPr>
                </w:r>
                <w:r>
                  <w:rPr>
                    <w:noProof/>
                    <w:webHidden/>
                  </w:rPr>
                  <w:fldChar w:fldCharType="separate"/>
                </w:r>
                <w:r>
                  <w:rPr>
                    <w:noProof/>
                    <w:webHidden/>
                  </w:rPr>
                  <w:t>4</w:t>
                </w:r>
                <w:r>
                  <w:rPr>
                    <w:noProof/>
                    <w:webHidden/>
                  </w:rPr>
                  <w:fldChar w:fldCharType="end"/>
                </w:r>
              </w:hyperlink>
            </w:p>
            <w:p w14:paraId="2C6A1948" w14:textId="14771BE9" w:rsidR="009E3028" w:rsidRDefault="009E3028">
              <w:pPr>
                <w:pStyle w:val="Turinys1"/>
                <w:rPr>
                  <w:noProof/>
                  <w:kern w:val="2"/>
                  <w:sz w:val="24"/>
                  <w:szCs w:val="24"/>
                  <w14:ligatures w14:val="standardContextual"/>
                </w:rPr>
              </w:pPr>
              <w:hyperlink w:anchor="_Toc225416948" w:history="1">
                <w:r w:rsidRPr="00355CA4">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_Toc225416948 \h </w:instrText>
                </w:r>
                <w:r>
                  <w:rPr>
                    <w:noProof/>
                    <w:webHidden/>
                  </w:rPr>
                </w:r>
                <w:r>
                  <w:rPr>
                    <w:noProof/>
                    <w:webHidden/>
                  </w:rPr>
                  <w:fldChar w:fldCharType="separate"/>
                </w:r>
                <w:r>
                  <w:rPr>
                    <w:noProof/>
                    <w:webHidden/>
                  </w:rPr>
                  <w:t>4</w:t>
                </w:r>
                <w:r>
                  <w:rPr>
                    <w:noProof/>
                    <w:webHidden/>
                  </w:rPr>
                  <w:fldChar w:fldCharType="end"/>
                </w:r>
              </w:hyperlink>
            </w:p>
            <w:p w14:paraId="7D58B5EB" w14:textId="32143222" w:rsidR="009E3028" w:rsidRDefault="009E3028">
              <w:pPr>
                <w:pStyle w:val="Turinys1"/>
                <w:rPr>
                  <w:noProof/>
                  <w:kern w:val="2"/>
                  <w:sz w:val="24"/>
                  <w:szCs w:val="24"/>
                  <w14:ligatures w14:val="standardContextual"/>
                </w:rPr>
              </w:pPr>
              <w:hyperlink w:anchor="_Toc225416949" w:history="1">
                <w:r w:rsidRPr="00355CA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_Toc225416949 \h </w:instrText>
                </w:r>
                <w:r>
                  <w:rPr>
                    <w:noProof/>
                    <w:webHidden/>
                  </w:rPr>
                </w:r>
                <w:r>
                  <w:rPr>
                    <w:noProof/>
                    <w:webHidden/>
                  </w:rPr>
                  <w:fldChar w:fldCharType="separate"/>
                </w:r>
                <w:r>
                  <w:rPr>
                    <w:noProof/>
                    <w:webHidden/>
                  </w:rPr>
                  <w:t>6</w:t>
                </w:r>
                <w:r>
                  <w:rPr>
                    <w:noProof/>
                    <w:webHidden/>
                  </w:rPr>
                  <w:fldChar w:fldCharType="end"/>
                </w:r>
              </w:hyperlink>
            </w:p>
            <w:p w14:paraId="4F48059C" w14:textId="223941C3" w:rsidR="009E3028" w:rsidRDefault="009E3028">
              <w:pPr>
                <w:pStyle w:val="Turinys1"/>
                <w:tabs>
                  <w:tab w:val="left" w:pos="720"/>
                </w:tabs>
                <w:rPr>
                  <w:noProof/>
                  <w:kern w:val="2"/>
                  <w:sz w:val="24"/>
                  <w:szCs w:val="24"/>
                  <w14:ligatures w14:val="standardContextual"/>
                </w:rPr>
              </w:pPr>
              <w:hyperlink w:anchor="_Toc225416950" w:history="1">
                <w:r w:rsidRPr="00355CA4">
                  <w:rPr>
                    <w:rStyle w:val="Hipersaitas"/>
                    <w:rFonts w:eastAsia="Calibri" w:cstheme="minorHAnsi"/>
                    <w:noProof/>
                  </w:rPr>
                  <w:t>7.</w:t>
                </w:r>
                <w:r>
                  <w:rPr>
                    <w:noProof/>
                    <w:kern w:val="2"/>
                    <w:sz w:val="24"/>
                    <w:szCs w:val="24"/>
                    <w14:ligatures w14:val="standardContextual"/>
                  </w:rPr>
                  <w:tab/>
                </w:r>
                <w:r w:rsidRPr="00355CA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_Toc225416950 \h </w:instrText>
                </w:r>
                <w:r>
                  <w:rPr>
                    <w:noProof/>
                    <w:webHidden/>
                  </w:rPr>
                </w:r>
                <w:r>
                  <w:rPr>
                    <w:noProof/>
                    <w:webHidden/>
                  </w:rPr>
                  <w:fldChar w:fldCharType="separate"/>
                </w:r>
                <w:r>
                  <w:rPr>
                    <w:noProof/>
                    <w:webHidden/>
                  </w:rPr>
                  <w:t>7</w:t>
                </w:r>
                <w:r>
                  <w:rPr>
                    <w:noProof/>
                    <w:webHidden/>
                  </w:rPr>
                  <w:fldChar w:fldCharType="end"/>
                </w:r>
              </w:hyperlink>
            </w:p>
            <w:p w14:paraId="190C1AA6" w14:textId="56694D4B" w:rsidR="009E3028" w:rsidRDefault="009E3028">
              <w:pPr>
                <w:pStyle w:val="Turinys1"/>
                <w:tabs>
                  <w:tab w:val="left" w:pos="720"/>
                </w:tabs>
                <w:rPr>
                  <w:noProof/>
                  <w:kern w:val="2"/>
                  <w:sz w:val="24"/>
                  <w:szCs w:val="24"/>
                  <w14:ligatures w14:val="standardContextual"/>
                </w:rPr>
              </w:pPr>
              <w:hyperlink w:anchor="_Toc225416951" w:history="1">
                <w:r w:rsidRPr="00355CA4">
                  <w:rPr>
                    <w:rStyle w:val="Hipersaitas"/>
                    <w:rFonts w:eastAsia="Calibri" w:cstheme="minorHAnsi"/>
                    <w:noProof/>
                  </w:rPr>
                  <w:t>8.</w:t>
                </w:r>
                <w:r>
                  <w:rPr>
                    <w:noProof/>
                    <w:kern w:val="2"/>
                    <w:sz w:val="24"/>
                    <w:szCs w:val="24"/>
                    <w14:ligatures w14:val="standardContextual"/>
                  </w:rPr>
                  <w:tab/>
                </w:r>
                <w:r w:rsidRPr="00355CA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_Toc225416951 \h </w:instrText>
                </w:r>
                <w:r>
                  <w:rPr>
                    <w:noProof/>
                    <w:webHidden/>
                  </w:rPr>
                </w:r>
                <w:r>
                  <w:rPr>
                    <w:noProof/>
                    <w:webHidden/>
                  </w:rPr>
                  <w:fldChar w:fldCharType="separate"/>
                </w:r>
                <w:r>
                  <w:rPr>
                    <w:noProof/>
                    <w:webHidden/>
                  </w:rPr>
                  <w:t>7</w:t>
                </w:r>
                <w:r>
                  <w:rPr>
                    <w:noProof/>
                    <w:webHidden/>
                  </w:rPr>
                  <w:fldChar w:fldCharType="end"/>
                </w:r>
              </w:hyperlink>
            </w:p>
            <w:p w14:paraId="00671824" w14:textId="11C93642" w:rsidR="009E3028" w:rsidRDefault="009E3028">
              <w:pPr>
                <w:pStyle w:val="Turinys1"/>
                <w:tabs>
                  <w:tab w:val="left" w:pos="720"/>
                </w:tabs>
                <w:rPr>
                  <w:noProof/>
                  <w:kern w:val="2"/>
                  <w:sz w:val="24"/>
                  <w:szCs w:val="24"/>
                  <w14:ligatures w14:val="standardContextual"/>
                </w:rPr>
              </w:pPr>
              <w:hyperlink w:anchor="_Toc225416952" w:history="1">
                <w:r w:rsidRPr="00355CA4">
                  <w:rPr>
                    <w:rStyle w:val="Hipersaitas"/>
                    <w:rFonts w:eastAsia="Calibri" w:cstheme="minorHAnsi"/>
                    <w:noProof/>
                  </w:rPr>
                  <w:t>9.</w:t>
                </w:r>
                <w:r>
                  <w:rPr>
                    <w:noProof/>
                    <w:kern w:val="2"/>
                    <w:sz w:val="24"/>
                    <w:szCs w:val="24"/>
                    <w14:ligatures w14:val="standardContextual"/>
                  </w:rPr>
                  <w:tab/>
                </w:r>
                <w:r w:rsidRPr="00355CA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_Toc225416952 \h </w:instrText>
                </w:r>
                <w:r>
                  <w:rPr>
                    <w:noProof/>
                    <w:webHidden/>
                  </w:rPr>
                </w:r>
                <w:r>
                  <w:rPr>
                    <w:noProof/>
                    <w:webHidden/>
                  </w:rPr>
                  <w:fldChar w:fldCharType="separate"/>
                </w:r>
                <w:r>
                  <w:rPr>
                    <w:noProof/>
                    <w:webHidden/>
                  </w:rPr>
                  <w:t>7</w:t>
                </w:r>
                <w:r>
                  <w:rPr>
                    <w:noProof/>
                    <w:webHidden/>
                  </w:rPr>
                  <w:fldChar w:fldCharType="end"/>
                </w:r>
              </w:hyperlink>
            </w:p>
            <w:p w14:paraId="0E15DBA6" w14:textId="1DB870BC" w:rsidR="009E3028" w:rsidRDefault="009E3028">
              <w:pPr>
                <w:pStyle w:val="Turinys1"/>
                <w:tabs>
                  <w:tab w:val="left" w:pos="720"/>
                </w:tabs>
                <w:rPr>
                  <w:noProof/>
                  <w:kern w:val="2"/>
                  <w:sz w:val="24"/>
                  <w:szCs w:val="24"/>
                  <w14:ligatures w14:val="standardContextual"/>
                </w:rPr>
              </w:pPr>
              <w:hyperlink w:anchor="_Toc225416953" w:history="1">
                <w:r w:rsidRPr="00355CA4">
                  <w:rPr>
                    <w:rStyle w:val="Hipersaitas"/>
                    <w:rFonts w:eastAsia="Calibri" w:cstheme="minorHAnsi"/>
                    <w:noProof/>
                  </w:rPr>
                  <w:t>10.</w:t>
                </w:r>
                <w:r>
                  <w:rPr>
                    <w:noProof/>
                    <w:kern w:val="2"/>
                    <w:sz w:val="24"/>
                    <w:szCs w:val="24"/>
                    <w14:ligatures w14:val="standardContextual"/>
                  </w:rPr>
                  <w:tab/>
                </w:r>
                <w:r w:rsidRPr="00355CA4">
                  <w:rPr>
                    <w:rStyle w:val="Hipersaitas"/>
                    <w:rFonts w:cstheme="minorHAnsi"/>
                    <w:noProof/>
                  </w:rPr>
                  <w:t>Sutarties sudarymas</w:t>
                </w:r>
                <w:r>
                  <w:rPr>
                    <w:noProof/>
                    <w:webHidden/>
                  </w:rPr>
                  <w:tab/>
                </w:r>
                <w:r>
                  <w:rPr>
                    <w:noProof/>
                    <w:webHidden/>
                  </w:rPr>
                  <w:fldChar w:fldCharType="begin"/>
                </w:r>
                <w:r>
                  <w:rPr>
                    <w:noProof/>
                    <w:webHidden/>
                  </w:rPr>
                  <w:instrText xml:space="preserve"> PAGEREF _Toc225416953 \h </w:instrText>
                </w:r>
                <w:r>
                  <w:rPr>
                    <w:noProof/>
                    <w:webHidden/>
                  </w:rPr>
                </w:r>
                <w:r>
                  <w:rPr>
                    <w:noProof/>
                    <w:webHidden/>
                  </w:rPr>
                  <w:fldChar w:fldCharType="separate"/>
                </w:r>
                <w:r>
                  <w:rPr>
                    <w:noProof/>
                    <w:webHidden/>
                  </w:rPr>
                  <w:t>8</w:t>
                </w:r>
                <w:r>
                  <w:rPr>
                    <w:noProof/>
                    <w:webHidden/>
                  </w:rPr>
                  <w:fldChar w:fldCharType="end"/>
                </w:r>
              </w:hyperlink>
            </w:p>
            <w:p w14:paraId="7798161E" w14:textId="1ABA2F50" w:rsidR="009E3028" w:rsidRDefault="009E3028">
              <w:pPr>
                <w:pStyle w:val="Turinys1"/>
                <w:tabs>
                  <w:tab w:val="left" w:pos="720"/>
                </w:tabs>
                <w:rPr>
                  <w:noProof/>
                  <w:kern w:val="2"/>
                  <w:sz w:val="24"/>
                  <w:szCs w:val="24"/>
                  <w14:ligatures w14:val="standardContextual"/>
                </w:rPr>
              </w:pPr>
              <w:hyperlink w:anchor="_Toc225416954" w:history="1">
                <w:r w:rsidRPr="00355CA4">
                  <w:rPr>
                    <w:rStyle w:val="Hipersaitas"/>
                    <w:rFonts w:eastAsia="Calibri" w:cstheme="minorHAnsi"/>
                    <w:noProof/>
                  </w:rPr>
                  <w:t>11.</w:t>
                </w:r>
                <w:r>
                  <w:rPr>
                    <w:noProof/>
                    <w:kern w:val="2"/>
                    <w:sz w:val="24"/>
                    <w:szCs w:val="24"/>
                    <w14:ligatures w14:val="standardContextual"/>
                  </w:rPr>
                  <w:tab/>
                </w:r>
                <w:r w:rsidRPr="00355CA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_Toc225416954 \h </w:instrText>
                </w:r>
                <w:r>
                  <w:rPr>
                    <w:noProof/>
                    <w:webHidden/>
                  </w:rPr>
                </w:r>
                <w:r>
                  <w:rPr>
                    <w:noProof/>
                    <w:webHidden/>
                  </w:rPr>
                  <w:fldChar w:fldCharType="separate"/>
                </w:r>
                <w:r>
                  <w:rPr>
                    <w:noProof/>
                    <w:webHidden/>
                  </w:rPr>
                  <w:t>8</w:t>
                </w:r>
                <w:r>
                  <w:rPr>
                    <w:noProof/>
                    <w:webHidden/>
                  </w:rPr>
                  <w:fldChar w:fldCharType="end"/>
                </w:r>
              </w:hyperlink>
            </w:p>
            <w:p w14:paraId="2095688E" w14:textId="1E9CDC7F" w:rsidR="009E3028" w:rsidRDefault="009E3028">
              <w:pPr>
                <w:pStyle w:val="Turinys1"/>
                <w:tabs>
                  <w:tab w:val="left" w:pos="720"/>
                </w:tabs>
                <w:rPr>
                  <w:noProof/>
                  <w:kern w:val="2"/>
                  <w:sz w:val="24"/>
                  <w:szCs w:val="24"/>
                  <w14:ligatures w14:val="standardContextual"/>
                </w:rPr>
              </w:pPr>
              <w:hyperlink w:anchor="_Toc225416955" w:history="1">
                <w:r w:rsidRPr="00355CA4">
                  <w:rPr>
                    <w:rStyle w:val="Hipersaitas"/>
                    <w:rFonts w:eastAsia="Calibri" w:cstheme="minorHAnsi"/>
                    <w:noProof/>
                  </w:rPr>
                  <w:t>12.</w:t>
                </w:r>
                <w:r>
                  <w:rPr>
                    <w:noProof/>
                    <w:kern w:val="2"/>
                    <w:sz w:val="24"/>
                    <w:szCs w:val="24"/>
                    <w14:ligatures w14:val="standardContextual"/>
                  </w:rPr>
                  <w:tab/>
                </w:r>
                <w:r w:rsidRPr="00355CA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_Toc225416955 \h </w:instrText>
                </w:r>
                <w:r>
                  <w:rPr>
                    <w:noProof/>
                    <w:webHidden/>
                  </w:rPr>
                </w:r>
                <w:r>
                  <w:rPr>
                    <w:noProof/>
                    <w:webHidden/>
                  </w:rPr>
                  <w:fldChar w:fldCharType="separate"/>
                </w:r>
                <w:r>
                  <w:rPr>
                    <w:noProof/>
                    <w:webHidden/>
                  </w:rPr>
                  <w:t>8</w:t>
                </w:r>
                <w:r>
                  <w:rPr>
                    <w:noProof/>
                    <w:webHidden/>
                  </w:rPr>
                  <w:fldChar w:fldCharType="end"/>
                </w:r>
              </w:hyperlink>
            </w:p>
            <w:p w14:paraId="0DDC40AE" w14:textId="1ED8CB9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5C118551" w14:textId="77777777" w:rsidR="0092356F" w:rsidRDefault="0092356F" w:rsidP="0092356F">
          <w:pPr>
            <w:spacing w:after="120" w:line="20" w:lineRule="atLeast"/>
            <w:contextualSpacing/>
            <w:rPr>
              <w:rFonts w:cstheme="minorHAnsi"/>
              <w:sz w:val="22"/>
              <w:szCs w:val="22"/>
            </w:rPr>
          </w:pPr>
        </w:p>
        <w:p w14:paraId="3656BB30" w14:textId="17C2FBF4" w:rsidR="0092356F" w:rsidRPr="006C2357" w:rsidRDefault="002F4E32" w:rsidP="0092356F">
          <w:pPr>
            <w:spacing w:after="120" w:line="20" w:lineRule="atLeast"/>
            <w:contextualSpacing/>
            <w:rPr>
              <w:rFonts w:cstheme="minorHAnsi"/>
              <w:color w:val="000000" w:themeColor="text1"/>
              <w:sz w:val="22"/>
              <w:szCs w:val="22"/>
            </w:rPr>
          </w:pPr>
          <w:r>
            <w:rPr>
              <w:rFonts w:cstheme="minorHAnsi"/>
              <w:color w:val="000000" w:themeColor="text1"/>
              <w:sz w:val="22"/>
              <w:szCs w:val="22"/>
            </w:rPr>
            <w:t>P</w:t>
          </w:r>
          <w:r w:rsidR="0092356F" w:rsidRPr="006C2357">
            <w:rPr>
              <w:rFonts w:cstheme="minorHAnsi"/>
              <w:color w:val="000000" w:themeColor="text1"/>
              <w:sz w:val="22"/>
              <w:szCs w:val="22"/>
            </w:rPr>
            <w:t>riedai:</w:t>
          </w:r>
        </w:p>
        <w:p w14:paraId="29804104" w14:textId="6B5C8442" w:rsidR="003163EB" w:rsidRDefault="003163EB" w:rsidP="0092356F">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w:t>
          </w:r>
          <w:r>
            <w:rPr>
              <w:rFonts w:cstheme="minorHAnsi"/>
              <w:color w:val="000000" w:themeColor="text1"/>
              <w:sz w:val="22"/>
              <w:szCs w:val="22"/>
            </w:rPr>
            <w:t>1</w:t>
          </w:r>
          <w:r w:rsidRPr="006C2357">
            <w:rPr>
              <w:rFonts w:cstheme="minorHAnsi"/>
              <w:color w:val="000000" w:themeColor="text1"/>
              <w:sz w:val="22"/>
              <w:szCs w:val="22"/>
            </w:rPr>
            <w:t xml:space="preserve"> priedas</w:t>
          </w:r>
          <w:r>
            <w:rPr>
              <w:rFonts w:cstheme="minorHAnsi"/>
              <w:color w:val="000000" w:themeColor="text1"/>
              <w:sz w:val="22"/>
              <w:szCs w:val="22"/>
            </w:rPr>
            <w:t xml:space="preserve"> „Terminai“</w:t>
          </w:r>
        </w:p>
        <w:p w14:paraId="3857FC00" w14:textId="2C0DD3BA" w:rsidR="0092356F" w:rsidRPr="006C2357" w:rsidRDefault="0092356F" w:rsidP="0092356F">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2 priedas „Techninė specifikacija“ </w:t>
          </w:r>
        </w:p>
        <w:p w14:paraId="226B647E" w14:textId="77777777" w:rsidR="0092356F" w:rsidRDefault="0092356F" w:rsidP="0092356F">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3 priedas „Pasiūlymo forma“  </w:t>
          </w:r>
        </w:p>
        <w:p w14:paraId="60B8535D" w14:textId="45D289EF" w:rsidR="002F4E32" w:rsidRPr="006C2357" w:rsidRDefault="002F4E32" w:rsidP="0092356F">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w:t>
          </w:r>
          <w:r>
            <w:rPr>
              <w:rFonts w:cstheme="minorHAnsi"/>
              <w:color w:val="000000" w:themeColor="text1"/>
              <w:sz w:val="22"/>
              <w:szCs w:val="22"/>
            </w:rPr>
            <w:t>4</w:t>
          </w:r>
          <w:r w:rsidRPr="006C2357">
            <w:rPr>
              <w:rFonts w:cstheme="minorHAnsi"/>
              <w:color w:val="000000" w:themeColor="text1"/>
              <w:sz w:val="22"/>
              <w:szCs w:val="22"/>
            </w:rPr>
            <w:t xml:space="preserve"> priedas „</w:t>
          </w:r>
          <w:r w:rsidRPr="002F4E32">
            <w:rPr>
              <w:rFonts w:eastAsia="Calibri" w:cstheme="minorHAnsi"/>
              <w:color w:val="000000" w:themeColor="text1"/>
              <w:sz w:val="22"/>
              <w:szCs w:val="22"/>
            </w:rPr>
            <w:t>Pasiūlymų vertinimo kriterijai ir sąlygos</w:t>
          </w:r>
          <w:r w:rsidRPr="006C2357">
            <w:rPr>
              <w:rFonts w:cstheme="minorHAnsi"/>
              <w:color w:val="000000" w:themeColor="text1"/>
              <w:sz w:val="22"/>
              <w:szCs w:val="22"/>
            </w:rPr>
            <w:t>“</w:t>
          </w:r>
        </w:p>
        <w:p w14:paraId="0CFAFD1C" w14:textId="77777777" w:rsidR="0092356F" w:rsidRPr="006C2357" w:rsidRDefault="0092356F" w:rsidP="0092356F">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5 priedas „Sutarties projektas“ </w:t>
          </w:r>
        </w:p>
        <w:p w14:paraId="13CCCBA7" w14:textId="77777777" w:rsidR="0092356F" w:rsidRPr="006C2357" w:rsidRDefault="0092356F" w:rsidP="0092356F">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6 priedas „Tiekėjų pašalinimo pagrindai“ </w:t>
          </w:r>
        </w:p>
        <w:p w14:paraId="32AD8D27" w14:textId="77777777" w:rsidR="0092356F" w:rsidRDefault="0092356F" w:rsidP="0092356F">
          <w:pPr>
            <w:spacing w:after="120" w:line="20" w:lineRule="atLeast"/>
            <w:contextualSpacing/>
            <w:rPr>
              <w:rFonts w:cstheme="minorHAnsi"/>
              <w:color w:val="000000" w:themeColor="text1"/>
              <w:sz w:val="22"/>
              <w:szCs w:val="22"/>
            </w:rPr>
          </w:pPr>
          <w:r w:rsidRPr="006C2357">
            <w:rPr>
              <w:rFonts w:cstheme="minorHAnsi"/>
              <w:color w:val="000000" w:themeColor="text1"/>
              <w:sz w:val="22"/>
              <w:szCs w:val="22"/>
            </w:rPr>
            <w:t xml:space="preserve">Pirkimo sąlygų 7 priedas „EBVPD“ (XML formatu) </w:t>
          </w:r>
        </w:p>
        <w:p w14:paraId="470CCF95" w14:textId="77777777" w:rsidR="0092356F" w:rsidRDefault="0092356F" w:rsidP="0092356F">
          <w:pPr>
            <w:spacing w:after="120" w:line="20" w:lineRule="atLeast"/>
            <w:contextualSpacing/>
            <w:rPr>
              <w:rFonts w:cstheme="minorHAnsi"/>
              <w:color w:val="000000" w:themeColor="text1"/>
              <w:sz w:val="22"/>
              <w:szCs w:val="22"/>
            </w:rPr>
          </w:pPr>
          <w:r>
            <w:rPr>
              <w:rFonts w:cstheme="minorHAnsi"/>
              <w:color w:val="000000" w:themeColor="text1"/>
              <w:sz w:val="22"/>
              <w:szCs w:val="22"/>
            </w:rPr>
            <w:t>Pirkimo sąlygų 8 priedas „Nacionalinio saugumo atitikties deklaracija“</w:t>
          </w:r>
        </w:p>
        <w:p w14:paraId="73CCB438" w14:textId="51846CBB" w:rsidR="005F13F0" w:rsidRPr="00682B25" w:rsidRDefault="001C24BC" w:rsidP="004E4612">
          <w:pPr>
            <w:spacing w:after="120" w:line="20" w:lineRule="atLeast"/>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2541694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515BC180"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4D4796">
        <w:rPr>
          <w:rFonts w:cstheme="minorHAnsi"/>
          <w:color w:val="000000" w:themeColor="text1"/>
          <w:sz w:val="22"/>
          <w:szCs w:val="22"/>
        </w:rPr>
        <w:t>V</w:t>
      </w:r>
      <w:r w:rsidR="006F4DA2" w:rsidRPr="008E1140">
        <w:rPr>
          <w:rFonts w:cstheme="minorHAnsi"/>
          <w:color w:val="000000" w:themeColor="text1"/>
          <w:sz w:val="22"/>
          <w:szCs w:val="22"/>
        </w:rPr>
        <w:t>iešoji įstaiga Centro poliklinika, kodas 125873515, Pylimo g. 3,</w:t>
      </w:r>
      <w:r w:rsidR="006F4DA2">
        <w:rPr>
          <w:rFonts w:cstheme="minorHAnsi"/>
          <w:color w:val="000000" w:themeColor="text1"/>
          <w:sz w:val="22"/>
          <w:szCs w:val="22"/>
        </w:rPr>
        <w:br/>
      </w:r>
      <w:r w:rsidR="006F4DA2" w:rsidRPr="008E1140">
        <w:rPr>
          <w:rFonts w:cstheme="minorHAnsi"/>
          <w:color w:val="000000" w:themeColor="text1"/>
          <w:sz w:val="22"/>
          <w:szCs w:val="22"/>
        </w:rPr>
        <w:t>LT-01117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21BA9101"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765BE9" w:rsidRPr="00FC36E7">
        <w:rPr>
          <w:rFonts w:eastAsia="Calibri" w:cstheme="minorHAnsi"/>
          <w:b/>
          <w:bCs/>
          <w:sz w:val="22"/>
          <w:szCs w:val="22"/>
        </w:rPr>
        <w:t xml:space="preserve"> </w:t>
      </w:r>
      <w:r w:rsidR="00765BE9" w:rsidRPr="00FC36E7">
        <w:rPr>
          <w:rFonts w:eastAsia="Calibri" w:cstheme="minorHAnsi"/>
          <w:sz w:val="22"/>
          <w:szCs w:val="22"/>
        </w:rPr>
        <w:t>–</w:t>
      </w:r>
      <w:r w:rsidR="00487BB0">
        <w:rPr>
          <w:rFonts w:eastAsia="Calibri" w:cstheme="minorHAnsi"/>
          <w:sz w:val="22"/>
          <w:szCs w:val="22"/>
        </w:rPr>
        <w:t>VšĮ Vilniaus pirkimų agentūra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 xml:space="preserve">juridinio asmens kodas </w:t>
      </w:r>
      <w:r w:rsidR="007857BD" w:rsidRPr="00BD32CE">
        <w:rPr>
          <w:rFonts w:cstheme="minorHAnsi"/>
          <w:color w:val="000000" w:themeColor="text1"/>
          <w:sz w:val="22"/>
          <w:szCs w:val="22"/>
        </w:rPr>
        <w:t>307488060</w:t>
      </w:r>
      <w:r w:rsidR="008A6612" w:rsidRPr="00FC36E7">
        <w:rPr>
          <w:rFonts w:eastAsia="Calibri" w:cstheme="minorHAnsi"/>
          <w:sz w:val="22"/>
          <w:szCs w:val="22"/>
        </w:rPr>
        <w:t>, adresas Konstitucijos pr. 3, LT-</w:t>
      </w:r>
      <w:r w:rsidR="006B0F53">
        <w:rPr>
          <w:rFonts w:cstheme="minorHAnsi"/>
          <w:color w:val="000000" w:themeColor="text1"/>
          <w:sz w:val="22"/>
          <w:szCs w:val="22"/>
        </w:rPr>
        <w:t>09308</w:t>
      </w:r>
      <w:r w:rsidR="006B0F53" w:rsidRPr="00915CF1">
        <w:rPr>
          <w:rFonts w:cstheme="minorHAnsi"/>
          <w:color w:val="000000" w:themeColor="text1"/>
          <w:sz w:val="22"/>
          <w:szCs w:val="22"/>
        </w:rPr>
        <w:t xml:space="preserve"> </w:t>
      </w:r>
      <w:r w:rsidR="008A6612" w:rsidRPr="00FC36E7">
        <w:rPr>
          <w:rFonts w:eastAsia="Calibri" w:cstheme="minorHAnsi"/>
          <w:sz w:val="22"/>
          <w:szCs w:val="22"/>
        </w:rPr>
        <w:t>Vilnius</w:t>
      </w:r>
      <w:r w:rsidRPr="00FC36E7">
        <w:rPr>
          <w:rFonts w:eastAsia="Calibri" w:cstheme="minorHAnsi"/>
          <w:sz w:val="22"/>
          <w:szCs w:val="22"/>
        </w:rPr>
        <w:t xml:space="preserve">. </w:t>
      </w:r>
      <w:r w:rsidR="00B80982">
        <w:rPr>
          <w:rFonts w:eastAsia="Calibri" w:cstheme="minorHAnsi"/>
          <w:sz w:val="22"/>
          <w:szCs w:val="22"/>
        </w:rPr>
        <w:t xml:space="preserve">VšĮ Vilniaus pirkimų agentūra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 xml:space="preserve">ai </w:t>
      </w:r>
      <w:r w:rsidR="00B80982">
        <w:rPr>
          <w:rFonts w:eastAsia="Calibri" w:cstheme="minorHAnsi"/>
          <w:sz w:val="22"/>
          <w:szCs w:val="22"/>
        </w:rPr>
        <w:t>VšĮ Vilniaus pirkimų agentūra</w:t>
      </w:r>
      <w:r w:rsidR="00B80982" w:rsidRPr="00FC36E7">
        <w:rPr>
          <w:rFonts w:eastAsia="Times New Roman" w:cstheme="minorHAnsi"/>
          <w:sz w:val="22"/>
          <w:szCs w:val="22"/>
        </w:rPr>
        <w:t xml:space="preserve"> </w:t>
      </w:r>
      <w:r w:rsidR="00F6109A" w:rsidRPr="00FC36E7">
        <w:rPr>
          <w:rFonts w:eastAsia="Times New Roman" w:cstheme="minorHAnsi"/>
          <w:sz w:val="22"/>
          <w:szCs w:val="22"/>
        </w:rPr>
        <w:t>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4D4796" w:rsidRPr="008E1140">
        <w:rPr>
          <w:rFonts w:cstheme="minorHAnsi"/>
          <w:color w:val="000000" w:themeColor="text1"/>
          <w:sz w:val="22"/>
          <w:szCs w:val="22"/>
        </w:rPr>
        <w:t>Viešoji įstaiga Centro poliklinika, kodas 125873515, Pylimo g. 3, LT-01117 Vilnius</w:t>
      </w:r>
      <w:r w:rsidR="00BB3F33" w:rsidRPr="00FC36E7">
        <w:rPr>
          <w:rFonts w:eastAsia="Calibri" w:cstheme="minorHAnsi"/>
          <w:sz w:val="22"/>
          <w:szCs w:val="22"/>
        </w:rPr>
        <w:t>.</w:t>
      </w:r>
    </w:p>
    <w:p w14:paraId="2239DD1B" w14:textId="103A0B4F"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EF39AA" w:rsidRPr="00F87983">
        <w:rPr>
          <w:szCs w:val="24"/>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4E7EF08" w14:textId="77777777" w:rsidR="00EF39AA" w:rsidRPr="00EF39AA" w:rsidRDefault="003A502A" w:rsidP="00EF39AA">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EF39AA">
        <w:rPr>
          <w:color w:val="000000" w:themeColor="text1"/>
          <w:sz w:val="22"/>
          <w:szCs w:val="22"/>
        </w:rPr>
        <w:t>4.4.4.1</w:t>
      </w:r>
      <w:r w:rsidRPr="00EF39AA">
        <w:rPr>
          <w:i/>
          <w:iCs/>
          <w:color w:val="000000" w:themeColor="text1"/>
          <w:sz w:val="22"/>
          <w:szCs w:val="22"/>
        </w:rPr>
        <w:t xml:space="preserve"> </w:t>
      </w:r>
      <w:r w:rsidRPr="00EF39AA">
        <w:rPr>
          <w:color w:val="000000" w:themeColor="text1"/>
          <w:sz w:val="22"/>
          <w:szCs w:val="22"/>
        </w:rPr>
        <w:t xml:space="preserve"> </w:t>
      </w:r>
      <w:r w:rsidRPr="0FB971BC">
        <w:rPr>
          <w:sz w:val="22"/>
          <w:szCs w:val="22"/>
        </w:rPr>
        <w:t>punktu (-</w:t>
      </w:r>
      <w:proofErr w:type="spellStart"/>
      <w:r w:rsidRPr="0FB971BC">
        <w:rPr>
          <w:sz w:val="22"/>
          <w:szCs w:val="22"/>
        </w:rPr>
        <w:t>ais</w:t>
      </w:r>
      <w:proofErr w:type="spellEnd"/>
      <w:r w:rsidRPr="0FB971BC">
        <w:rPr>
          <w:sz w:val="22"/>
          <w:szCs w:val="22"/>
        </w:rPr>
        <w:t>). Aplinkos ap</w:t>
      </w:r>
      <w:r w:rsidR="5DAF9A0E" w:rsidRPr="0FB971BC">
        <w:rPr>
          <w:sz w:val="22"/>
          <w:szCs w:val="22"/>
        </w:rPr>
        <w:t>s</w:t>
      </w:r>
      <w:r w:rsidRPr="0FB971BC">
        <w:rPr>
          <w:sz w:val="22"/>
          <w:szCs w:val="22"/>
        </w:rPr>
        <w:t xml:space="preserve">augos kriterijai </w:t>
      </w:r>
      <w:r w:rsidR="009C3765" w:rsidRPr="0FB971BC">
        <w:rPr>
          <w:sz w:val="22"/>
          <w:szCs w:val="22"/>
        </w:rPr>
        <w:t xml:space="preserve">nurodyti </w:t>
      </w:r>
      <w:r w:rsidR="00D4732D" w:rsidRPr="0FB971BC">
        <w:rPr>
          <w:sz w:val="22"/>
          <w:szCs w:val="22"/>
        </w:rPr>
        <w:t xml:space="preserve">specialiųjų pirkimo sąlygų </w:t>
      </w:r>
      <w:r w:rsidR="00C62292" w:rsidRPr="00EF39AA">
        <w:rPr>
          <w:color w:val="000000" w:themeColor="text1"/>
          <w:sz w:val="22"/>
          <w:szCs w:val="22"/>
        </w:rPr>
        <w:t>5</w:t>
      </w:r>
      <w:r w:rsidR="00D4732D" w:rsidRPr="00EF39AA">
        <w:rPr>
          <w:color w:val="000000" w:themeColor="text1"/>
          <w:sz w:val="22"/>
          <w:szCs w:val="22"/>
        </w:rPr>
        <w:t xml:space="preserve"> priede „</w:t>
      </w:r>
      <w:r w:rsidR="00C62292" w:rsidRPr="00EF39AA">
        <w:rPr>
          <w:color w:val="000000" w:themeColor="text1"/>
          <w:sz w:val="22"/>
          <w:szCs w:val="22"/>
        </w:rPr>
        <w:t>Sutarties projektas</w:t>
      </w:r>
      <w:r w:rsidR="00D4732D" w:rsidRPr="00EF39AA">
        <w:rPr>
          <w:color w:val="000000" w:themeColor="text1"/>
          <w:sz w:val="22"/>
          <w:szCs w:val="22"/>
        </w:rPr>
        <w:t>“</w:t>
      </w:r>
      <w:r w:rsidRPr="00EF39AA">
        <w:rPr>
          <w:color w:val="000000" w:themeColor="text1"/>
          <w:sz w:val="22"/>
          <w:szCs w:val="22"/>
        </w:rPr>
        <w:t>.</w:t>
      </w:r>
    </w:p>
    <w:p w14:paraId="1C3235E6" w14:textId="77777777" w:rsidR="00EF39AA" w:rsidRPr="00EF39AA" w:rsidRDefault="0069195A" w:rsidP="00EF39AA">
      <w:pPr>
        <w:pStyle w:val="Sraopastraipa"/>
        <w:numPr>
          <w:ilvl w:val="0"/>
          <w:numId w:val="17"/>
        </w:numPr>
        <w:spacing w:after="0" w:line="240" w:lineRule="auto"/>
        <w:ind w:left="0" w:firstLine="567"/>
        <w:jc w:val="both"/>
        <w:rPr>
          <w:color w:val="000000" w:themeColor="text1"/>
          <w:sz w:val="22"/>
          <w:szCs w:val="22"/>
        </w:rPr>
      </w:pPr>
      <w:r w:rsidRPr="00EF39AA">
        <w:rPr>
          <w:rFonts w:eastAsia="Arial"/>
          <w:sz w:val="22"/>
          <w:szCs w:val="22"/>
        </w:rPr>
        <w:t xml:space="preserve">Šiame </w:t>
      </w:r>
      <w:r w:rsidRPr="00EF39AA">
        <w:rPr>
          <w:rFonts w:eastAsia="Arial"/>
          <w:color w:val="000000" w:themeColor="text1"/>
          <w:sz w:val="22"/>
          <w:szCs w:val="22"/>
        </w:rPr>
        <w:t xml:space="preserve">pirkime </w:t>
      </w:r>
      <w:r w:rsidR="00D701D9" w:rsidRPr="00EF39AA">
        <w:rPr>
          <w:rFonts w:eastAsia="Arial"/>
          <w:color w:val="000000" w:themeColor="text1"/>
          <w:sz w:val="22"/>
          <w:szCs w:val="22"/>
        </w:rPr>
        <w:t xml:space="preserve">netaikomi </w:t>
      </w:r>
      <w:r w:rsidRPr="00EF39AA">
        <w:rPr>
          <w:rFonts w:eastAsia="Arial"/>
          <w:color w:val="000000" w:themeColor="text1"/>
          <w:sz w:val="22"/>
          <w:szCs w:val="22"/>
        </w:rPr>
        <w:t>energijos vartojimo efektyvumo reikalavimai.</w:t>
      </w:r>
    </w:p>
    <w:p w14:paraId="68F51F5B" w14:textId="77777777" w:rsidR="00580FD0" w:rsidRPr="00580FD0" w:rsidRDefault="00E32C8E" w:rsidP="00EF39AA">
      <w:pPr>
        <w:pStyle w:val="Sraopastraipa"/>
        <w:numPr>
          <w:ilvl w:val="0"/>
          <w:numId w:val="17"/>
        </w:numPr>
        <w:spacing w:after="0" w:line="240" w:lineRule="auto"/>
        <w:ind w:left="0" w:firstLine="567"/>
        <w:jc w:val="both"/>
        <w:rPr>
          <w:sz w:val="22"/>
          <w:szCs w:val="22"/>
        </w:rPr>
      </w:pPr>
      <w:r w:rsidRPr="00EF39AA">
        <w:rPr>
          <w:rFonts w:eastAsia="Arial"/>
          <w:sz w:val="22"/>
          <w:szCs w:val="22"/>
        </w:rPr>
        <w:t xml:space="preserve">Išankstinis skelbimas apie </w:t>
      </w:r>
      <w:r w:rsidR="007A68AD" w:rsidRPr="00EF39AA">
        <w:rPr>
          <w:rFonts w:eastAsia="Arial"/>
          <w:sz w:val="22"/>
          <w:szCs w:val="22"/>
        </w:rPr>
        <w:t>p</w:t>
      </w:r>
      <w:r w:rsidRPr="00EF39AA">
        <w:rPr>
          <w:rFonts w:eastAsia="Arial"/>
          <w:sz w:val="22"/>
          <w:szCs w:val="22"/>
        </w:rPr>
        <w:t xml:space="preserve">irkimą </w:t>
      </w:r>
      <w:r w:rsidRPr="00EF39AA">
        <w:rPr>
          <w:rFonts w:eastAsia="Arial"/>
          <w:color w:val="000000" w:themeColor="text1"/>
          <w:sz w:val="22"/>
          <w:szCs w:val="22"/>
        </w:rPr>
        <w:t>nebuvo paskelbtas</w:t>
      </w:r>
      <w:r w:rsidR="00580FD0">
        <w:rPr>
          <w:rFonts w:eastAsia="Arial"/>
          <w:color w:val="000000" w:themeColor="text1"/>
          <w:sz w:val="22"/>
          <w:szCs w:val="22"/>
        </w:rPr>
        <w:t>.</w:t>
      </w:r>
    </w:p>
    <w:p w14:paraId="13BE6C4A" w14:textId="77777777" w:rsidR="00580FD0" w:rsidRDefault="00015FC9" w:rsidP="00580FD0">
      <w:pPr>
        <w:pStyle w:val="Sraopastraipa"/>
        <w:numPr>
          <w:ilvl w:val="0"/>
          <w:numId w:val="17"/>
        </w:numPr>
        <w:spacing w:after="0" w:line="240" w:lineRule="auto"/>
        <w:ind w:left="0" w:firstLine="567"/>
        <w:jc w:val="both"/>
        <w:rPr>
          <w:sz w:val="22"/>
          <w:szCs w:val="22"/>
        </w:rPr>
      </w:pPr>
      <w:r w:rsidRPr="00EF39AA">
        <w:rPr>
          <w:sz w:val="22"/>
          <w:szCs w:val="22"/>
          <w:lang w:eastAsia="en-US"/>
        </w:rPr>
        <w:t>P</w:t>
      </w:r>
      <w:r w:rsidR="00E32C8E" w:rsidRPr="00EF39AA">
        <w:rPr>
          <w:sz w:val="22"/>
          <w:szCs w:val="22"/>
          <w:lang w:eastAsia="en-US"/>
        </w:rPr>
        <w:t xml:space="preserve">irkime </w:t>
      </w:r>
      <w:r w:rsidR="007A68AD" w:rsidRPr="00EF39AA">
        <w:rPr>
          <w:sz w:val="22"/>
          <w:szCs w:val="22"/>
        </w:rPr>
        <w:t>perkančioji organizacija</w:t>
      </w:r>
      <w:r w:rsidR="00E32C8E" w:rsidRPr="00EF39AA">
        <w:rPr>
          <w:sz w:val="22"/>
          <w:szCs w:val="22"/>
          <w:lang w:eastAsia="en-US"/>
        </w:rPr>
        <w:t xml:space="preserve"> nenumato skelbti pranešimo dėl savanoriško </w:t>
      </w:r>
      <w:proofErr w:type="spellStart"/>
      <w:r w:rsidR="00E32C8E" w:rsidRPr="00EF39AA">
        <w:rPr>
          <w:i/>
          <w:iCs/>
          <w:sz w:val="22"/>
          <w:szCs w:val="22"/>
          <w:lang w:eastAsia="en-US"/>
        </w:rPr>
        <w:t>ex</w:t>
      </w:r>
      <w:proofErr w:type="spellEnd"/>
      <w:r w:rsidR="00E32C8E" w:rsidRPr="00EF39AA">
        <w:rPr>
          <w:i/>
          <w:iCs/>
          <w:sz w:val="22"/>
          <w:szCs w:val="22"/>
          <w:lang w:eastAsia="en-US"/>
        </w:rPr>
        <w:t xml:space="preserve"> ante</w:t>
      </w:r>
      <w:r w:rsidR="00E32C8E" w:rsidRPr="00EF39AA">
        <w:rPr>
          <w:sz w:val="22"/>
          <w:szCs w:val="22"/>
          <w:lang w:eastAsia="en-US"/>
        </w:rPr>
        <w:t xml:space="preserve"> skaidrumo.</w:t>
      </w:r>
    </w:p>
    <w:p w14:paraId="7C30E884" w14:textId="77777777" w:rsidR="00580FD0" w:rsidRDefault="00841F13" w:rsidP="00580FD0">
      <w:pPr>
        <w:pStyle w:val="Sraopastraipa"/>
        <w:numPr>
          <w:ilvl w:val="0"/>
          <w:numId w:val="17"/>
        </w:numPr>
        <w:spacing w:after="0" w:line="240" w:lineRule="auto"/>
        <w:ind w:left="0" w:firstLine="567"/>
        <w:jc w:val="both"/>
        <w:rPr>
          <w:sz w:val="22"/>
          <w:szCs w:val="22"/>
        </w:rPr>
      </w:pPr>
      <w:r w:rsidRPr="00580FD0">
        <w:rPr>
          <w:sz w:val="22"/>
          <w:szCs w:val="22"/>
        </w:rPr>
        <w:t xml:space="preserve">Pirkime neleidžiama pateikti alternatyvių pasiūlymų. </w:t>
      </w:r>
      <w:r w:rsidR="00BA0147" w:rsidRPr="00580FD0">
        <w:rPr>
          <w:sz w:val="22"/>
          <w:szCs w:val="22"/>
        </w:rPr>
        <w:t>Tiekėjui pateikus alternatyvų pasiūlymą (alternatyvius pasiūlymus), jo pasiūlymas ir alternatyvūs pasiūlymai bus atmesti.</w:t>
      </w:r>
    </w:p>
    <w:p w14:paraId="6587BC17" w14:textId="77777777" w:rsidR="00580FD0" w:rsidRPr="00580FD0" w:rsidRDefault="004D070C" w:rsidP="00580FD0">
      <w:pPr>
        <w:pStyle w:val="Sraopastraipa"/>
        <w:numPr>
          <w:ilvl w:val="0"/>
          <w:numId w:val="17"/>
        </w:numPr>
        <w:spacing w:after="0" w:line="240" w:lineRule="auto"/>
        <w:ind w:left="0" w:firstLine="567"/>
        <w:jc w:val="both"/>
        <w:rPr>
          <w:color w:val="000000" w:themeColor="text1"/>
          <w:sz w:val="22"/>
          <w:szCs w:val="22"/>
        </w:rPr>
      </w:pPr>
      <w:r w:rsidRPr="00580FD0">
        <w:rPr>
          <w:rFonts w:eastAsia="Times New Roman"/>
          <w:color w:val="000000" w:themeColor="text1"/>
          <w:sz w:val="22"/>
          <w:szCs w:val="22"/>
        </w:rPr>
        <w:t xml:space="preserve">Jeigu Pirkimo metu bus atliekama patikra Nacionaliniam saugumui užtikrinti svarbių objektų apsaugos įstatyme nustatyta tvarka, </w:t>
      </w:r>
      <w:r w:rsidRPr="00580FD0">
        <w:rPr>
          <w:color w:val="000000" w:themeColor="text1"/>
          <w:sz w:val="22"/>
          <w:szCs w:val="22"/>
        </w:rPr>
        <w:t xml:space="preserve">dalyvis turės pateikti tokiai patikrai atlikti reikalingus dokumentus. </w:t>
      </w:r>
    </w:p>
    <w:p w14:paraId="0C002F05" w14:textId="35FDD2AB" w:rsidR="00E32C8E" w:rsidRPr="00580FD0" w:rsidRDefault="00E32C8E" w:rsidP="00580FD0">
      <w:pPr>
        <w:pStyle w:val="Sraopastraipa"/>
        <w:numPr>
          <w:ilvl w:val="0"/>
          <w:numId w:val="17"/>
        </w:numPr>
        <w:spacing w:after="0" w:line="240" w:lineRule="auto"/>
        <w:ind w:left="0" w:firstLine="567"/>
        <w:jc w:val="both"/>
        <w:rPr>
          <w:sz w:val="22"/>
          <w:szCs w:val="22"/>
        </w:rPr>
      </w:pPr>
      <w:r w:rsidRPr="00580FD0">
        <w:rPr>
          <w:rFonts w:eastAsia="Arial"/>
          <w:color w:val="333333"/>
          <w:sz w:val="22"/>
          <w:szCs w:val="22"/>
        </w:rPr>
        <w:t xml:space="preserve">Bendrosios </w:t>
      </w:r>
      <w:r w:rsidR="007E5F55" w:rsidRPr="00580FD0">
        <w:rPr>
          <w:rFonts w:eastAsia="Arial"/>
          <w:color w:val="333333"/>
          <w:sz w:val="22"/>
          <w:szCs w:val="22"/>
        </w:rPr>
        <w:t xml:space="preserve">pirkimo </w:t>
      </w:r>
      <w:r w:rsidRPr="00580FD0">
        <w:rPr>
          <w:rFonts w:eastAsia="Arial"/>
          <w:color w:val="333333"/>
          <w:sz w:val="22"/>
          <w:szCs w:val="22"/>
        </w:rPr>
        <w:t>sąlygos yra neatskiriama ši</w:t>
      </w:r>
      <w:r w:rsidR="00C07F25" w:rsidRPr="00580FD0">
        <w:rPr>
          <w:rFonts w:eastAsia="Arial"/>
          <w:color w:val="333333"/>
          <w:sz w:val="22"/>
          <w:szCs w:val="22"/>
        </w:rPr>
        <w:t>ų</w:t>
      </w:r>
      <w:r w:rsidRPr="00580FD0">
        <w:rPr>
          <w:rFonts w:eastAsia="Arial"/>
          <w:color w:val="333333"/>
          <w:sz w:val="22"/>
          <w:szCs w:val="22"/>
        </w:rPr>
        <w:t xml:space="preserve"> </w:t>
      </w:r>
      <w:r w:rsidR="00F4541C" w:rsidRPr="00580FD0">
        <w:rPr>
          <w:rFonts w:eastAsia="Arial"/>
          <w:color w:val="333333"/>
          <w:sz w:val="22"/>
          <w:szCs w:val="22"/>
        </w:rPr>
        <w:t>p</w:t>
      </w:r>
      <w:r w:rsidRPr="00580FD0">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2541694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415C8742" w14:textId="77777777" w:rsidR="00F522F6" w:rsidRPr="00F522F6" w:rsidRDefault="00B41C66" w:rsidP="00555961">
      <w:pPr>
        <w:pStyle w:val="Betarp"/>
        <w:numPr>
          <w:ilvl w:val="1"/>
          <w:numId w:val="7"/>
        </w:numPr>
        <w:ind w:left="0" w:firstLine="709"/>
        <w:contextualSpacing/>
        <w:jc w:val="both"/>
        <w:rPr>
          <w:rFonts w:cstheme="minorHAnsi"/>
          <w:sz w:val="22"/>
          <w:szCs w:val="22"/>
        </w:rPr>
      </w:pPr>
      <w:r w:rsidRPr="00EE1B93">
        <w:rPr>
          <w:rFonts w:eastAsia="Calibri" w:cstheme="minorHAnsi"/>
          <w:color w:val="000000" w:themeColor="text1"/>
          <w:sz w:val="22"/>
          <w:szCs w:val="22"/>
        </w:rPr>
        <w:t>Perkančioji organizacija numato įsigyti</w:t>
      </w:r>
      <w:r w:rsidRPr="00F522F6">
        <w:rPr>
          <w:rFonts w:eastAsia="Calibri" w:cstheme="minorHAnsi"/>
          <w:color w:val="000000" w:themeColor="text1"/>
          <w:sz w:val="22"/>
          <w:szCs w:val="22"/>
        </w:rPr>
        <w:t xml:space="preserve"> </w:t>
      </w:r>
      <w:r w:rsidR="00DE08E8" w:rsidRPr="00F522F6">
        <w:rPr>
          <w:rFonts w:eastAsia="Calibri" w:cstheme="minorHAnsi"/>
          <w:color w:val="000000" w:themeColor="text1"/>
          <w:sz w:val="22"/>
          <w:szCs w:val="22"/>
        </w:rPr>
        <w:t xml:space="preserve">reagentus ir papildomas </w:t>
      </w:r>
      <w:r w:rsidR="00386BBD" w:rsidRPr="00F522F6">
        <w:rPr>
          <w:rFonts w:eastAsia="Calibri" w:cstheme="minorHAnsi"/>
          <w:color w:val="000000" w:themeColor="text1"/>
          <w:sz w:val="22"/>
          <w:szCs w:val="22"/>
        </w:rPr>
        <w:t xml:space="preserve">priemones kraujo krešėjimo tyrimams </w:t>
      </w:r>
      <w:r w:rsidR="00F940D5" w:rsidRPr="00F522F6">
        <w:rPr>
          <w:rFonts w:eastAsia="Calibri" w:cstheme="minorHAnsi"/>
          <w:color w:val="000000" w:themeColor="text1"/>
          <w:sz w:val="22"/>
          <w:szCs w:val="22"/>
        </w:rPr>
        <w:t>su įranga pa</w:t>
      </w:r>
      <w:r w:rsidR="00F522F6" w:rsidRPr="00F522F6">
        <w:rPr>
          <w:rFonts w:eastAsia="Calibri" w:cstheme="minorHAnsi"/>
          <w:color w:val="000000" w:themeColor="text1"/>
          <w:sz w:val="22"/>
          <w:szCs w:val="22"/>
        </w:rPr>
        <w:t>naudai</w:t>
      </w:r>
      <w:r w:rsidR="00066F91" w:rsidRPr="00F522F6">
        <w:rPr>
          <w:rFonts w:eastAsia="Times New Roman" w:cstheme="minorHAnsi"/>
          <w:color w:val="000000" w:themeColor="text1"/>
          <w:sz w:val="22"/>
          <w:szCs w:val="22"/>
          <w:lang w:eastAsia="en-US"/>
        </w:rPr>
        <w:t xml:space="preserve"> </w:t>
      </w:r>
      <w:r w:rsidR="00066F91" w:rsidRPr="00EE1B93">
        <w:rPr>
          <w:rFonts w:eastAsia="Times New Roman" w:cstheme="minorHAnsi"/>
          <w:sz w:val="22"/>
          <w:szCs w:val="22"/>
          <w:lang w:eastAsia="en-US"/>
        </w:rPr>
        <w:t xml:space="preserve">(toliau – </w:t>
      </w:r>
      <w:r w:rsidR="00066F91" w:rsidRPr="00F522F6">
        <w:rPr>
          <w:rFonts w:eastAsia="Times New Roman" w:cstheme="minorHAnsi"/>
          <w:color w:val="000000" w:themeColor="text1"/>
          <w:sz w:val="22"/>
          <w:szCs w:val="22"/>
          <w:lang w:eastAsia="en-US"/>
        </w:rPr>
        <w:t>prekės</w:t>
      </w:r>
      <w:r w:rsidR="00066F91" w:rsidRPr="00EE1B93">
        <w:rPr>
          <w:rFonts w:eastAsia="Times New Roman" w:cstheme="minorHAnsi"/>
          <w:sz w:val="22"/>
          <w:szCs w:val="22"/>
          <w:lang w:eastAsia="en-US"/>
        </w:rPr>
        <w:t>, pirkimo objektas</w:t>
      </w:r>
      <w:r w:rsidR="00066F91" w:rsidRPr="00F522F6">
        <w:rPr>
          <w:rFonts w:eastAsia="Times New Roman" w:cstheme="minorHAnsi"/>
          <w:color w:val="000000" w:themeColor="text1"/>
          <w:sz w:val="22"/>
          <w:szCs w:val="22"/>
          <w:lang w:eastAsia="en-US"/>
        </w:rPr>
        <w:t>)</w:t>
      </w:r>
      <w:r w:rsidRPr="00F522F6">
        <w:rPr>
          <w:rFonts w:eastAsia="Calibri" w:cstheme="minorHAnsi"/>
          <w:color w:val="000000" w:themeColor="text1"/>
          <w:sz w:val="22"/>
          <w:szCs w:val="22"/>
        </w:rPr>
        <w:t>.</w:t>
      </w:r>
    </w:p>
    <w:p w14:paraId="72703445" w14:textId="77777777" w:rsidR="0099541C" w:rsidRDefault="00B41C66" w:rsidP="00555961">
      <w:pPr>
        <w:spacing w:after="0" w:line="240" w:lineRule="auto"/>
        <w:rPr>
          <w:color w:val="00B050"/>
          <w:sz w:val="22"/>
          <w:szCs w:val="22"/>
        </w:rPr>
      </w:pPr>
      <w:r w:rsidRPr="00F522F6">
        <w:rPr>
          <w:sz w:val="22"/>
          <w:szCs w:val="22"/>
        </w:rPr>
        <w:t xml:space="preserve">Pirkimo objektas į dalis neskaidomas. </w:t>
      </w:r>
      <w:r w:rsidR="007554D6" w:rsidRPr="00F522F6">
        <w:rPr>
          <w:sz w:val="22"/>
          <w:szCs w:val="22"/>
        </w:rPr>
        <w:t xml:space="preserve">Pirkimo apimtys, reikalavimai ir techninė specifikacija apibrėžti </w:t>
      </w:r>
      <w:r w:rsidR="007204DB" w:rsidRPr="00F522F6">
        <w:rPr>
          <w:sz w:val="22"/>
          <w:szCs w:val="22"/>
        </w:rPr>
        <w:t xml:space="preserve">specialiųjų </w:t>
      </w:r>
      <w:r w:rsidR="007554D6" w:rsidRPr="00F522F6">
        <w:rPr>
          <w:sz w:val="22"/>
          <w:szCs w:val="22"/>
        </w:rPr>
        <w:t xml:space="preserve">pirkimo sąlygų </w:t>
      </w:r>
      <w:r w:rsidR="00B762D8" w:rsidRPr="00F522F6">
        <w:rPr>
          <w:color w:val="000000" w:themeColor="text1"/>
          <w:sz w:val="22"/>
          <w:szCs w:val="22"/>
        </w:rPr>
        <w:t>2</w:t>
      </w:r>
      <w:r w:rsidR="009275CC" w:rsidRPr="00F522F6">
        <w:rPr>
          <w:color w:val="000000" w:themeColor="text1"/>
          <w:sz w:val="22"/>
          <w:szCs w:val="22"/>
        </w:rPr>
        <w:t xml:space="preserve"> priede „Techninė specifikacija</w:t>
      </w:r>
      <w:r w:rsidR="31975FF3" w:rsidRPr="00F522F6">
        <w:rPr>
          <w:color w:val="000000" w:themeColor="text1"/>
          <w:sz w:val="22"/>
          <w:szCs w:val="22"/>
        </w:rPr>
        <w:t>”</w:t>
      </w:r>
      <w:r w:rsidR="007554D6" w:rsidRPr="00F522F6">
        <w:rPr>
          <w:sz w:val="22"/>
          <w:szCs w:val="22"/>
        </w:rPr>
        <w:t>.</w:t>
      </w:r>
      <w:r w:rsidR="007554D6" w:rsidRPr="00F522F6">
        <w:rPr>
          <w:color w:val="00B050"/>
          <w:sz w:val="22"/>
          <w:szCs w:val="22"/>
        </w:rPr>
        <w:t xml:space="preserve"> </w:t>
      </w:r>
    </w:p>
    <w:p w14:paraId="2D59132C" w14:textId="66DAC97A" w:rsidR="0099541C" w:rsidRPr="0099541C" w:rsidRDefault="0099541C" w:rsidP="0099541C">
      <w:pPr>
        <w:spacing w:after="0"/>
        <w:rPr>
          <w:color w:val="00B050"/>
          <w:sz w:val="22"/>
          <w:szCs w:val="22"/>
        </w:rPr>
      </w:pPr>
      <w:r w:rsidRPr="00164A90">
        <w:rPr>
          <w:b/>
          <w:bCs/>
        </w:rPr>
        <w:t>Pagrindimas dėl neskaidymo į dalis:</w:t>
      </w:r>
    </w:p>
    <w:p w14:paraId="4D4151EE" w14:textId="686B20DC" w:rsidR="0099541C" w:rsidRDefault="0099541C" w:rsidP="00555961">
      <w:pPr>
        <w:spacing w:after="0" w:line="240" w:lineRule="auto"/>
        <w:ind w:firstLine="851"/>
        <w:jc w:val="both"/>
      </w:pPr>
      <w:r w:rsidRPr="00156803">
        <w:t xml:space="preserve">Perkančioji organizacija </w:t>
      </w:r>
      <w:r w:rsidR="00DC42EE">
        <w:t>vykdo</w:t>
      </w:r>
      <w:r w:rsidRPr="00156803">
        <w:t xml:space="preserve"> </w:t>
      </w:r>
      <w:r>
        <w:t xml:space="preserve">kraujo krešėjimo </w:t>
      </w:r>
      <w:r w:rsidRPr="00156803">
        <w:t xml:space="preserve">tyrimų </w:t>
      </w:r>
      <w:r>
        <w:rPr>
          <w:rFonts w:cs="Times New Roman"/>
          <w:szCs w:val="24"/>
        </w:rPr>
        <w:t xml:space="preserve">(ADTL, </w:t>
      </w:r>
      <w:proofErr w:type="spellStart"/>
      <w:r>
        <w:rPr>
          <w:rFonts w:cs="Times New Roman"/>
          <w:szCs w:val="24"/>
        </w:rPr>
        <w:t>protrombino</w:t>
      </w:r>
      <w:proofErr w:type="spellEnd"/>
      <w:r>
        <w:rPr>
          <w:rFonts w:cs="Times New Roman"/>
          <w:szCs w:val="24"/>
        </w:rPr>
        <w:t xml:space="preserve"> laiko, </w:t>
      </w:r>
      <w:proofErr w:type="spellStart"/>
      <w:r>
        <w:rPr>
          <w:rFonts w:cs="Times New Roman"/>
          <w:szCs w:val="24"/>
        </w:rPr>
        <w:t>fibrinogeno</w:t>
      </w:r>
      <w:proofErr w:type="spellEnd"/>
      <w:r>
        <w:rPr>
          <w:rFonts w:cs="Times New Roman"/>
          <w:szCs w:val="24"/>
        </w:rPr>
        <w:t xml:space="preserve"> ir d-</w:t>
      </w:r>
      <w:proofErr w:type="spellStart"/>
      <w:r>
        <w:rPr>
          <w:rFonts w:cs="Times New Roman"/>
          <w:szCs w:val="24"/>
        </w:rPr>
        <w:t>dimerų</w:t>
      </w:r>
      <w:proofErr w:type="spellEnd"/>
      <w:r>
        <w:rPr>
          <w:rFonts w:cs="Times New Roman"/>
          <w:szCs w:val="24"/>
        </w:rPr>
        <w:t xml:space="preserve">) </w:t>
      </w:r>
      <w:r w:rsidRPr="00156803">
        <w:t xml:space="preserve">reagentų ir pagalbinių priemonių pirkimą kartu su </w:t>
      </w:r>
      <w:r>
        <w:t xml:space="preserve">vieno </w:t>
      </w:r>
      <w:r w:rsidRPr="00156803">
        <w:t>analizatori</w:t>
      </w:r>
      <w:r>
        <w:t>aus</w:t>
      </w:r>
      <w:r w:rsidRPr="00156803">
        <w:t xml:space="preserve"> panauda, </w:t>
      </w:r>
      <w:r>
        <w:t xml:space="preserve">jo </w:t>
      </w:r>
      <w:r w:rsidRPr="00156803">
        <w:t>technine priežiūra, metodikų diegimu, darbuotojų apmokymu ir tyrimų duomenų integracija į laboratorijos informacinę sistemą</w:t>
      </w:r>
      <w:r>
        <w:t xml:space="preserve"> (toliau – LIS)</w:t>
      </w:r>
      <w:r w:rsidRPr="00156803">
        <w:t>, kaip tai numatyta</w:t>
      </w:r>
      <w:r w:rsidR="0082278B">
        <w:t xml:space="preserve"> specialiųjų</w:t>
      </w:r>
      <w:r w:rsidRPr="00156803">
        <w:t xml:space="preserve"> </w:t>
      </w:r>
      <w:r w:rsidR="00DC42EE" w:rsidRPr="00F522F6">
        <w:rPr>
          <w:sz w:val="22"/>
          <w:szCs w:val="22"/>
        </w:rPr>
        <w:t xml:space="preserve">pirkimo sąlygų </w:t>
      </w:r>
      <w:r w:rsidR="00DC42EE" w:rsidRPr="00F522F6">
        <w:rPr>
          <w:color w:val="000000" w:themeColor="text1"/>
          <w:sz w:val="22"/>
          <w:szCs w:val="22"/>
        </w:rPr>
        <w:t>2 priede „Techninė specifikacija”</w:t>
      </w:r>
      <w:r w:rsidRPr="00156803">
        <w:t>.</w:t>
      </w:r>
    </w:p>
    <w:p w14:paraId="5DF0F438" w14:textId="77777777" w:rsidR="0099541C" w:rsidRDefault="0099541C" w:rsidP="00555961">
      <w:pPr>
        <w:spacing w:after="0" w:line="240" w:lineRule="auto"/>
        <w:ind w:firstLine="851"/>
        <w:jc w:val="both"/>
      </w:pPr>
      <w:r w:rsidRPr="00156803">
        <w:t>Pirkimo objektas yra funkciškai ir technologiškai vientisas, nes reagentai, kontrolinės ir kalibravimo medžiagos, analizatori</w:t>
      </w:r>
      <w:r>
        <w:t>us</w:t>
      </w:r>
      <w:r w:rsidRPr="00156803">
        <w:t>, programinė įranga bei aptarnavimo paslaugos sudaro vieningą sistemą, kurios elementai tarpusavyje yra glaudžiai susiję. Atskirų pirkimo objekto dalių įsigijimas iš skirtingų tiekėjų sukeltų reikšmingų techninių, organizacinių ir eksploatacinių sunkumų bei apsunkintų sklandų pirkimo objekto įgyvendinimą.</w:t>
      </w:r>
    </w:p>
    <w:p w14:paraId="7FD60399" w14:textId="77777777" w:rsidR="0099541C" w:rsidRDefault="0099541C" w:rsidP="00555961">
      <w:pPr>
        <w:spacing w:after="0" w:line="240" w:lineRule="auto"/>
        <w:ind w:firstLine="851"/>
        <w:jc w:val="both"/>
      </w:pPr>
      <w:r>
        <w:t>Krešėjimo</w:t>
      </w:r>
      <w:r w:rsidRPr="00156803">
        <w:t xml:space="preserve"> tyrimų metodikos pasižymi skirtingais analitiniais principais, </w:t>
      </w:r>
      <w:r>
        <w:t xml:space="preserve">pamatiniais </w:t>
      </w:r>
      <w:r w:rsidRPr="00156803">
        <w:t xml:space="preserve">biologinių verčių intervalais ir rezultatų pateikimo ypatumais. Pirkimo objekto skaidymas į dalis galėtų lemti skirtingų metodikų taikymą </w:t>
      </w:r>
      <w:r w:rsidRPr="00156803">
        <w:lastRenderedPageBreak/>
        <w:t>vienoje laboratorijoje, apsunkintų tyrimų rezultatų palyginamumą, interpretavimą bei sumažintų diagnostinių rezultatų nuoseklumą ir patikimumą.</w:t>
      </w:r>
    </w:p>
    <w:p w14:paraId="5054FD11" w14:textId="77777777" w:rsidR="0099541C" w:rsidRDefault="0099541C" w:rsidP="00555961">
      <w:pPr>
        <w:spacing w:after="0" w:line="240" w:lineRule="auto"/>
        <w:ind w:firstLine="851"/>
        <w:jc w:val="both"/>
      </w:pPr>
      <w:r w:rsidRPr="00156803">
        <w:t xml:space="preserve">Vieningo tiekėjo sprendimas leidžia užtikrinti nuoseklų laboratorijos darbuotojų apmokymą, vienodą metodikų taikymą, paprastesnį rezultatų </w:t>
      </w:r>
      <w:proofErr w:type="spellStart"/>
      <w:r w:rsidRPr="00156803">
        <w:t>validavimą</w:t>
      </w:r>
      <w:proofErr w:type="spellEnd"/>
      <w:r w:rsidRPr="00156803">
        <w:t xml:space="preserve"> ir kokybės kontrolę, taip pat sumažina žmogiškojo faktoriaus klaidų riziką. Be to, naudojant vieno tiekėjo sistemą užtikrinama vientisa ir stabili tyrimų duomenų integracija į </w:t>
      </w:r>
      <w:r>
        <w:t>LIS</w:t>
      </w:r>
      <w:r w:rsidRPr="00156803">
        <w:t>, išvengiant papildomų IT sprendimų diegimo ir palaikymo kaštų.</w:t>
      </w:r>
    </w:p>
    <w:p w14:paraId="677D5203" w14:textId="77777777" w:rsidR="0099541C" w:rsidRDefault="0099541C" w:rsidP="00555961">
      <w:pPr>
        <w:spacing w:after="0" w:line="240" w:lineRule="auto"/>
        <w:ind w:firstLine="851"/>
        <w:jc w:val="both"/>
      </w:pPr>
      <w:r w:rsidRPr="00156803">
        <w:t>Pirkimo objekto neskaidymas taip pat leidžia optimizuoti reagentų tiekimo, sandėliavimo ir atsargų valdymo procesus, sumažinti logistikos sąnaudas bei užtikrinti nepertraukiamą laboratorijos darbą. Vertinant pirkimo apimtį kaip vieną visumą, sudaromos prielaidos gauti ekonomiškai naudingesnį pasiūlymą ir efektyviau naudoti Perkančiosios organizacijos lėšas.</w:t>
      </w:r>
    </w:p>
    <w:p w14:paraId="4DC018F4" w14:textId="77777777" w:rsidR="0099541C" w:rsidRDefault="0099541C" w:rsidP="00555961">
      <w:pPr>
        <w:spacing w:after="0" w:line="240" w:lineRule="auto"/>
        <w:ind w:firstLine="851"/>
        <w:jc w:val="both"/>
      </w:pPr>
      <w:r w:rsidRPr="00156803">
        <w:t>Atsižvelgiant į tai, pirkimo objekto skaidymas į dalis būtų neracionalus, neatitiktų pirkimo objekto pobūdžio ir galėtų neigiamai paveikti laboratorinių tyrimų kokybę, veiklos tęstinumą bei viešųjų lėšų naudojimo efektyvumą. Todėl pirkimą tikslinga vykdyti kaip vieną nedalomą pirkimo objektą.</w:t>
      </w:r>
    </w:p>
    <w:p w14:paraId="59F86411" w14:textId="77777777" w:rsidR="00555961" w:rsidRPr="00164A90" w:rsidRDefault="00555961" w:rsidP="00555961">
      <w:pPr>
        <w:spacing w:after="0"/>
        <w:rPr>
          <w:b/>
          <w:bCs/>
        </w:rPr>
      </w:pPr>
      <w:r w:rsidRPr="00555961">
        <w:rPr>
          <w:b/>
          <w:bCs/>
        </w:rPr>
        <w:t>Pagrindimas dėl sutarties 5 metams:</w:t>
      </w:r>
    </w:p>
    <w:p w14:paraId="2923CDF3" w14:textId="14510969" w:rsidR="00555961" w:rsidRDefault="00555961" w:rsidP="00555961">
      <w:pPr>
        <w:spacing w:after="0" w:line="240" w:lineRule="auto"/>
        <w:ind w:firstLine="851"/>
        <w:jc w:val="both"/>
        <w:rPr>
          <w:rFonts w:cs="Times New Roman"/>
          <w:szCs w:val="24"/>
        </w:rPr>
      </w:pPr>
      <w:r w:rsidRPr="00835A6A">
        <w:rPr>
          <w:rFonts w:cs="Times New Roman"/>
          <w:szCs w:val="24"/>
        </w:rPr>
        <w:t xml:space="preserve">Pirkimas </w:t>
      </w:r>
      <w:r>
        <w:rPr>
          <w:rFonts w:cs="Times New Roman"/>
          <w:szCs w:val="24"/>
        </w:rPr>
        <w:t xml:space="preserve">vykdomas </w:t>
      </w:r>
      <w:r w:rsidRPr="00835A6A">
        <w:rPr>
          <w:rFonts w:cs="Times New Roman"/>
          <w:szCs w:val="24"/>
        </w:rPr>
        <w:t xml:space="preserve">dėl reagentų ir pagalbinių priemonių, skirtų </w:t>
      </w:r>
      <w:r>
        <w:rPr>
          <w:rFonts w:cs="Times New Roman"/>
          <w:szCs w:val="24"/>
        </w:rPr>
        <w:t xml:space="preserve">kraujo krešėjimo  </w:t>
      </w:r>
      <w:r w:rsidRPr="00835A6A">
        <w:rPr>
          <w:rFonts w:cs="Times New Roman"/>
          <w:szCs w:val="24"/>
        </w:rPr>
        <w:t xml:space="preserve">tyrimų </w:t>
      </w:r>
      <w:r>
        <w:rPr>
          <w:rFonts w:cs="Times New Roman"/>
          <w:szCs w:val="24"/>
        </w:rPr>
        <w:t xml:space="preserve">(ADTL, </w:t>
      </w:r>
      <w:proofErr w:type="spellStart"/>
      <w:r>
        <w:rPr>
          <w:rFonts w:cs="Times New Roman"/>
          <w:szCs w:val="24"/>
        </w:rPr>
        <w:t>protrombino</w:t>
      </w:r>
      <w:proofErr w:type="spellEnd"/>
      <w:r>
        <w:rPr>
          <w:rFonts w:cs="Times New Roman"/>
          <w:szCs w:val="24"/>
        </w:rPr>
        <w:t xml:space="preserve"> laiko, </w:t>
      </w:r>
      <w:proofErr w:type="spellStart"/>
      <w:r>
        <w:rPr>
          <w:rFonts w:cs="Times New Roman"/>
          <w:szCs w:val="24"/>
        </w:rPr>
        <w:t>fibrinogeno</w:t>
      </w:r>
      <w:proofErr w:type="spellEnd"/>
      <w:r>
        <w:rPr>
          <w:rFonts w:cs="Times New Roman"/>
          <w:szCs w:val="24"/>
        </w:rPr>
        <w:t xml:space="preserve"> ir d-</w:t>
      </w:r>
      <w:proofErr w:type="spellStart"/>
      <w:r>
        <w:rPr>
          <w:rFonts w:cs="Times New Roman"/>
          <w:szCs w:val="24"/>
        </w:rPr>
        <w:t>dimerų</w:t>
      </w:r>
      <w:proofErr w:type="spellEnd"/>
      <w:r>
        <w:rPr>
          <w:rFonts w:cs="Times New Roman"/>
          <w:szCs w:val="24"/>
        </w:rPr>
        <w:t xml:space="preserve">) </w:t>
      </w:r>
      <w:r w:rsidRPr="00835A6A">
        <w:rPr>
          <w:rFonts w:cs="Times New Roman"/>
          <w:szCs w:val="24"/>
        </w:rPr>
        <w:t>atlikimui</w:t>
      </w:r>
      <w:r>
        <w:rPr>
          <w:rFonts w:cs="Times New Roman"/>
          <w:szCs w:val="24"/>
        </w:rPr>
        <w:t>,</w:t>
      </w:r>
      <w:r w:rsidRPr="00835A6A">
        <w:rPr>
          <w:rFonts w:cs="Times New Roman"/>
          <w:szCs w:val="24"/>
        </w:rPr>
        <w:t xml:space="preserve"> įskaitant </w:t>
      </w:r>
      <w:r w:rsidR="00D23C27" w:rsidRPr="00835A6A">
        <w:rPr>
          <w:rFonts w:cs="Times New Roman"/>
          <w:szCs w:val="24"/>
        </w:rPr>
        <w:t>analizatori</w:t>
      </w:r>
      <w:r w:rsidR="00D23C27">
        <w:rPr>
          <w:rFonts w:cs="Times New Roman"/>
          <w:szCs w:val="24"/>
        </w:rPr>
        <w:t xml:space="preserve">aus </w:t>
      </w:r>
      <w:r>
        <w:rPr>
          <w:rFonts w:cs="Times New Roman"/>
          <w:szCs w:val="24"/>
        </w:rPr>
        <w:t xml:space="preserve">(toliau – įranga) </w:t>
      </w:r>
      <w:r w:rsidRPr="0010712F">
        <w:rPr>
          <w:rFonts w:cs="Times New Roman"/>
          <w:szCs w:val="24"/>
        </w:rPr>
        <w:t xml:space="preserve">panaudą su </w:t>
      </w:r>
      <w:r w:rsidR="00D23C27" w:rsidRPr="0010712F">
        <w:rPr>
          <w:rFonts w:cs="Times New Roman"/>
          <w:szCs w:val="24"/>
        </w:rPr>
        <w:t>j</w:t>
      </w:r>
      <w:r w:rsidR="00D23C27">
        <w:rPr>
          <w:rFonts w:cs="Times New Roman"/>
          <w:szCs w:val="24"/>
        </w:rPr>
        <w:t xml:space="preserve">o </w:t>
      </w:r>
      <w:r w:rsidRPr="00835A6A">
        <w:rPr>
          <w:rFonts w:cs="Times New Roman"/>
          <w:szCs w:val="24"/>
        </w:rPr>
        <w:t>technine priežiūra</w:t>
      </w:r>
      <w:r>
        <w:rPr>
          <w:rFonts w:cs="Times New Roman"/>
          <w:szCs w:val="24"/>
        </w:rPr>
        <w:t>. Laboratorijose naudojama įranga yra gaminama ne Lietuvoje, kas sąlygoja didelius įrangos pristatymo finansinius ir laiko kaštus. Kiekvienos naujos įrangos instaliavimas, pajungimas į perkančiosios organizacijos Laboratorijos informacinę sistemą (LIS), sukalibravimas, darbuotojų apmokymas dirbti su nauja įranga taip pat reikalauja papildomų sąnaudų. Tais atvejais, kai sekantį viešąjį pirkimą laimi kitas, nei prieš tai turėtų laboratorijos reagentų ir įrangos tiekėjas, kito gamintojo tyrimų pamatiniai biologinių verčių intervalai (normos ribos) gali skirtis lyginant su prieš tai naudota kito gamintojo produkcija, todėl turi būti įvertinti naujieji pamatinių biologinių verčių intervalai, kas taip pat padidina laiko ir finansines sąnaudas. Pakeitus įrangą, LIS turi būti pakeista, pakoreguota ar net perprogramuota informacija. Kuo dažnesnis įrangos ir reagentų keitimas, tuo didesnės laiko ir finansinės išlaidos. Perkančiosios organizacijos darbuotojai, kurie dirba su naujai instaliuota įranga, vadovaujantis pirkimo dokumentais apmokomi ja naudotis. Iš praktikos žinoma, kad perkančiosios organizacijos laboratorijos efektyviausias darbo našumas pasiekiamas tik po tam tikro laiko, kai darbuotojai gerai įsisavina darbo su nauja įranga subtilybes, įsisavina didelį kiekį naujos informacijos, įsigilina į tyrimų metodų niuansus ir tuo vadovaudamiesi priima teisingiausius sprendimus patvirtindami tyrimų rezultatus. Kuo ilgiau personalas dirba su to paties tipo įranga ir tyrimų metodika, tuo, mažesnis atsitiktinių žmogiškojo faktoriaus įtakotų klaidų skaičius. Laboratorinių prietaisų nusidėvėjimo laikotarpis yra vidutiniškai 5–8 metai, todėl, jei sutartis sudaroma tik 3 metų laikotarpiui, ekonominiu požiūriu, ji yra brangesnė, nes tiekėjai išskirsto įrangos įsigijimo, pristatymo, instaliavimo, priežiūros kaštus trumpesniam laikotarpiui taip pabrangindami siūlomus reagentus ir papildomas priemones.</w:t>
      </w:r>
    </w:p>
    <w:p w14:paraId="3FC7DB2D" w14:textId="6A64028B" w:rsidR="005D4617" w:rsidRPr="00555961" w:rsidRDefault="00555961" w:rsidP="00555961">
      <w:pPr>
        <w:spacing w:after="0" w:line="240" w:lineRule="auto"/>
        <w:ind w:firstLine="851"/>
        <w:jc w:val="both"/>
      </w:pPr>
      <w:r>
        <w:rPr>
          <w:rFonts w:cs="Times New Roman"/>
          <w:szCs w:val="24"/>
        </w:rPr>
        <w:t>Atsižvelgiant į tai, kas išdėstyta, siekiant racionaliai naudoti lėšas ir užtikrinti stabilų tyrimų atlikimo procesą, tikslinga laboratorijos reagentų pirkimo su analizatoriaus panauda ir priežiūra sutartį sudaryti bent 5 metų laikotarpiui</w:t>
      </w:r>
      <w:r w:rsidR="00325998">
        <w:rPr>
          <w:rFonts w:cs="Times New Roman"/>
          <w:szCs w:val="24"/>
        </w:rPr>
        <w:t>.</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47670B">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25416946"/>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6F7206" w:rsidRDefault="00BE0587" w:rsidP="006F7206">
      <w:pPr>
        <w:pStyle w:val="Body2"/>
        <w:numPr>
          <w:ilvl w:val="1"/>
          <w:numId w:val="31"/>
        </w:numPr>
        <w:spacing w:after="0"/>
        <w:ind w:firstLine="207"/>
        <w:rPr>
          <w:rFonts w:asciiTheme="minorHAnsi" w:hAnsiTheme="minorHAnsi" w:cstheme="minorHAnsi"/>
          <w:sz w:val="22"/>
          <w:szCs w:val="22"/>
          <w:lang w:val="lt-LT"/>
        </w:rPr>
      </w:pPr>
      <w:r w:rsidRPr="00566130">
        <w:rPr>
          <w:rFonts w:asciiTheme="minorHAnsi" w:eastAsiaTheme="minorHAnsi" w:hAnsiTheme="minorHAnsi" w:cstheme="minorHAnsi"/>
          <w:sz w:val="22"/>
          <w:szCs w:val="22"/>
          <w:lang w:val="lt-LT"/>
        </w:rPr>
        <w:t>P</w:t>
      </w:r>
      <w:r w:rsidRPr="00566130">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2541694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521A88AA" w:rsidR="007E05C8" w:rsidRPr="0041511E" w:rsidRDefault="00990E9B" w:rsidP="00DD2AC6">
      <w:pPr>
        <w:pStyle w:val="Sraopastraipa"/>
        <w:numPr>
          <w:ilvl w:val="1"/>
          <w:numId w:val="23"/>
        </w:numPr>
        <w:spacing w:after="0" w:line="20" w:lineRule="atLeast"/>
        <w:ind w:left="0" w:firstLine="567"/>
        <w:jc w:val="both"/>
        <w:rPr>
          <w:rFonts w:cstheme="minorHAnsi"/>
          <w:color w:val="000000" w:themeColor="text1"/>
          <w:sz w:val="22"/>
          <w:szCs w:val="22"/>
        </w:rPr>
      </w:pPr>
      <w:r w:rsidRPr="0041511E">
        <w:rPr>
          <w:rFonts w:cstheme="minorHAnsi"/>
          <w:color w:val="000000" w:themeColor="text1"/>
          <w:sz w:val="22"/>
          <w:szCs w:val="22"/>
        </w:rPr>
        <w:t>Tiekėjams nenustatomi kvalifikacijos reikalavimai</w:t>
      </w:r>
      <w:r w:rsidR="0041511E" w:rsidRPr="0041511E">
        <w:rPr>
          <w:rFonts w:cstheme="minorHAnsi"/>
          <w:color w:val="000000" w:themeColor="text1"/>
          <w:sz w:val="22"/>
          <w:szCs w:val="22"/>
        </w:rPr>
        <w:t>.</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225416948"/>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642CE713"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 xml:space="preserve">5.4. Perkančiajai organizacijai kilus abejonių dėl </w:t>
      </w:r>
      <w:r w:rsidR="00E35D40" w:rsidRPr="00E35D40">
        <w:rPr>
          <w:rFonts w:cstheme="minorHAnsi"/>
          <w:sz w:val="22"/>
          <w:szCs w:val="22"/>
        </w:rPr>
        <w:t>Pasiūlyme (Pasiūlymo formoje, laisvos formos deklaracijoje arba kt.)</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0E8998AC"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7285110A" w:rsidR="016E19F6" w:rsidRDefault="016E19F6" w:rsidP="26B62E15">
      <w:pPr>
        <w:spacing w:after="0" w:line="240" w:lineRule="auto"/>
        <w:ind w:firstLine="567"/>
        <w:jc w:val="both"/>
        <w:rPr>
          <w:rFonts w:ascii="Calibri" w:eastAsia="Calibri" w:hAnsi="Calibri" w:cs="Calibri"/>
          <w:color w:val="000000" w:themeColor="text1"/>
          <w:sz w:val="22"/>
          <w:szCs w:val="22"/>
        </w:rPr>
      </w:pPr>
      <w:r w:rsidRPr="00EA4CC4">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24379B" w:rsidRPr="00EA4CC4">
        <w:rPr>
          <w:rFonts w:ascii="Calibri" w:eastAsia="Calibri" w:hAnsi="Calibri" w:cs="Calibri"/>
          <w:i/>
          <w:iCs/>
          <w:color w:val="000000" w:themeColor="text1"/>
          <w:sz w:val="22"/>
          <w:szCs w:val="22"/>
        </w:rPr>
        <w:t>30211200-3 Pagrindinė techninė kompiuterio įranga</w:t>
      </w:r>
      <w:r w:rsidRPr="00EA4CC4">
        <w:rPr>
          <w:rFonts w:ascii="Calibri" w:eastAsia="Calibri" w:hAnsi="Calibri" w:cs="Calibri"/>
          <w:i/>
          <w:iCs/>
          <w:color w:val="000000" w:themeColor="text1"/>
          <w:sz w:val="22"/>
          <w:szCs w:val="22"/>
        </w:rPr>
        <w:t xml:space="preserve">; </w:t>
      </w:r>
      <w:r w:rsidR="00863F91" w:rsidRPr="00EA4CC4">
        <w:rPr>
          <w:rFonts w:ascii="Calibri" w:eastAsia="Calibri" w:hAnsi="Calibri" w:cs="Calibri"/>
          <w:i/>
          <w:iCs/>
          <w:color w:val="000000" w:themeColor="text1"/>
          <w:sz w:val="22"/>
          <w:szCs w:val="22"/>
        </w:rPr>
        <w:t>31154000-0 Nenutrūkstamojo maitinimo šaltiniai</w:t>
      </w:r>
      <w:r w:rsidRPr="00EA4CC4">
        <w:rPr>
          <w:rFonts w:ascii="Calibri" w:eastAsia="Calibri" w:hAnsi="Calibri" w:cs="Calibri"/>
          <w:i/>
          <w:iCs/>
          <w:color w:val="000000" w:themeColor="text1"/>
          <w:sz w:val="22"/>
          <w:szCs w:val="22"/>
        </w:rPr>
        <w:t xml:space="preserve">; </w:t>
      </w:r>
      <w:r w:rsidR="003659F9" w:rsidRPr="00EA4CC4">
        <w:rPr>
          <w:rFonts w:ascii="Calibri" w:eastAsia="Calibri" w:hAnsi="Calibri" w:cs="Calibri"/>
          <w:i/>
          <w:iCs/>
          <w:color w:val="000000" w:themeColor="text1"/>
          <w:sz w:val="22"/>
          <w:szCs w:val="22"/>
        </w:rPr>
        <w:t>48900000-7 Įvairūs programinės įrangos paketai ir kompiuterių sistemos</w:t>
      </w:r>
      <w:r w:rsidR="001B5E3E" w:rsidRPr="00EA4CC4">
        <w:rPr>
          <w:rFonts w:ascii="Calibri" w:eastAsia="Calibri" w:hAnsi="Calibri" w:cs="Calibri"/>
          <w:i/>
          <w:iCs/>
          <w:color w:val="000000" w:themeColor="text1"/>
          <w:sz w:val="22"/>
          <w:szCs w:val="22"/>
        </w:rPr>
        <w:t>; 50312000 Kompiuterių įrangos priežiūra ir remontas</w:t>
      </w:r>
      <w:r w:rsidRPr="00EA4CC4">
        <w:rPr>
          <w:rFonts w:ascii="Calibri" w:eastAsia="Calibri" w:hAnsi="Calibri" w:cs="Calibri"/>
          <w:i/>
          <w:iCs/>
          <w:color w:val="000000" w:themeColor="text1"/>
          <w:sz w:val="22"/>
          <w:szCs w:val="22"/>
        </w:rPr>
        <w:t>. Pirkimo objekto sudėtiniai elementai ir jų BVPŽ kodai nurodyti pirkimo sąlygų 2 priede „Techninė specifikacija“.</w:t>
      </w:r>
      <w:r w:rsidRPr="26B62E15">
        <w:rPr>
          <w:rFonts w:ascii="Calibri" w:eastAsia="Calibri" w:hAnsi="Calibri" w:cs="Calibri"/>
          <w:i/>
          <w:iCs/>
          <w:color w:val="000000" w:themeColor="text1"/>
          <w:sz w:val="22"/>
          <w:szCs w:val="22"/>
        </w:rPr>
        <w:t xml:space="preserve"> </w:t>
      </w:r>
    </w:p>
    <w:p w14:paraId="5A9DA931" w14:textId="07218291" w:rsidR="016E19F6" w:rsidRDefault="016E19F6" w:rsidP="26B62E15">
      <w:pPr>
        <w:spacing w:after="0" w:line="240" w:lineRule="auto"/>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4A58DBB6"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Jeigu tiekėjas, jo subtiekėjas, ūkio subjektai, kurių pajėgumais remiamasi, ar juos kontroliuojantys asmenys yra nacionaliniam saugumui užtikrinti svarbi įmonė, valstybės įmonė, savivaldybės įmonė, taip pat valstybės </w:t>
      </w:r>
      <w:r w:rsidRPr="26B62E15">
        <w:rPr>
          <w:rFonts w:ascii="Calibri" w:eastAsia="Calibri" w:hAnsi="Calibri" w:cs="Calibri"/>
          <w:i/>
          <w:iCs/>
          <w:color w:val="000000" w:themeColor="text1"/>
          <w:sz w:val="22"/>
          <w:szCs w:val="22"/>
        </w:rPr>
        <w:lastRenderedPageBreak/>
        <w:t>valdoma bendrovė ir jų dukterinės bendrovės, išvardytos Nacionaliniam saugumui užtikrinti svarbių objektų apsaugos įstatyme, šiems subjektams nurodytas reikalavimas nėra taikomas.</w:t>
      </w:r>
    </w:p>
    <w:p w14:paraId="58E65699" w14:textId="40273986" w:rsidR="00723BBB" w:rsidRDefault="00723BBB" w:rsidP="26B62E15">
      <w:pPr>
        <w:spacing w:after="0" w:line="240" w:lineRule="auto"/>
        <w:jc w:val="both"/>
        <w:rPr>
          <w:rFonts w:ascii="Calibri" w:eastAsia="Calibri" w:hAnsi="Calibri" w:cs="Calibri"/>
          <w:i/>
          <w:iCs/>
          <w:color w:val="000000" w:themeColor="text1"/>
          <w:sz w:val="22"/>
          <w:szCs w:val="22"/>
        </w:rPr>
      </w:pPr>
      <w:r w:rsidRPr="00EA4CC4">
        <w:rPr>
          <w:rFonts w:ascii="Calibri" w:eastAsia="Calibri" w:hAnsi="Calibri" w:cs="Calibri"/>
          <w:i/>
          <w:iCs/>
          <w:color w:val="000000" w:themeColor="text1"/>
          <w:sz w:val="22"/>
          <w:szCs w:val="22"/>
        </w:rPr>
        <w:t>Reikalavimas taikomas pirkimo objekto sudėtiniams elementams (ne visam pirkimo objektui), kurių BVPŽ kodai yra: 30211200-3 Pagrindinė techninė kompiuterio įranga; 31154000-0 Nenutrūkstamojo maitinimo šaltiniai; 48900000-7 Įvairūs programinės įrangos paketai ir kompiuterių sistemos; 50312000 Kompiuterių įrangos priežiūra ir remontas. Pirkimo objekto sudėtiniai elementai ir jų BVPŽ kodai nurodyti pirkimo sąlygų 2 priede „Techninė specifikacija“</w:t>
      </w:r>
      <w:r>
        <w:rPr>
          <w:rFonts w:ascii="Calibri" w:eastAsia="Calibri" w:hAnsi="Calibri" w:cs="Calibri"/>
          <w:i/>
          <w:iCs/>
          <w:color w:val="000000" w:themeColor="text1"/>
          <w:sz w:val="22"/>
          <w:szCs w:val="22"/>
        </w:rPr>
        <w:t>.</w:t>
      </w:r>
    </w:p>
    <w:p w14:paraId="7A4AF5F2" w14:textId="0D719178" w:rsidR="016E19F6" w:rsidRDefault="016E19F6" w:rsidP="26B62E15">
      <w:pPr>
        <w:spacing w:after="0" w:line="240" w:lineRule="auto"/>
        <w:jc w:val="both"/>
        <w:rPr>
          <w:rFonts w:ascii="Calibri" w:eastAsia="Calibri" w:hAnsi="Calibri" w:cs="Calibri"/>
          <w:i/>
          <w:iCs/>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2541694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C456B1"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C456B1">
        <w:rPr>
          <w:rFonts w:cstheme="minorHAnsi"/>
          <w:sz w:val="22"/>
          <w:szCs w:val="22"/>
        </w:rPr>
        <w:t xml:space="preserve">Tiekėjo </w:t>
      </w:r>
      <w:r w:rsidR="0058726C" w:rsidRPr="00C456B1">
        <w:rPr>
          <w:rFonts w:cstheme="minorHAnsi"/>
          <w:sz w:val="22"/>
          <w:szCs w:val="22"/>
        </w:rPr>
        <w:t>p</w:t>
      </w:r>
      <w:r w:rsidRPr="00C456B1">
        <w:rPr>
          <w:rFonts w:cstheme="minorHAnsi"/>
          <w:sz w:val="22"/>
          <w:szCs w:val="22"/>
        </w:rPr>
        <w:t>asiūlymą sudaro CVP IS pateikiamų ir žemiau nurodytų dokumentų visuma</w:t>
      </w:r>
      <w:r w:rsidR="00FD53CF" w:rsidRPr="00C456B1">
        <w:rPr>
          <w:rFonts w:cstheme="minorHAnsi"/>
          <w:sz w:val="22"/>
          <w:szCs w:val="22"/>
        </w:rPr>
        <w:t>:</w:t>
      </w:r>
    </w:p>
    <w:p w14:paraId="3F72D4F2" w14:textId="7AB3F561" w:rsidR="004A427F" w:rsidRPr="00C456B1"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C456B1">
        <w:rPr>
          <w:rFonts w:cstheme="minorHAnsi"/>
          <w:sz w:val="22"/>
          <w:szCs w:val="22"/>
        </w:rPr>
        <w:t xml:space="preserve">tiekėjo </w:t>
      </w:r>
      <w:r w:rsidR="005A195F" w:rsidRPr="00C456B1">
        <w:rPr>
          <w:rFonts w:cstheme="minorHAnsi"/>
          <w:sz w:val="22"/>
          <w:szCs w:val="22"/>
        </w:rPr>
        <w:t>p</w:t>
      </w:r>
      <w:r w:rsidRPr="00C456B1">
        <w:rPr>
          <w:rFonts w:cstheme="minorHAnsi"/>
          <w:sz w:val="22"/>
          <w:szCs w:val="22"/>
        </w:rPr>
        <w:t xml:space="preserve">asiūlymas, parengtas pagal </w:t>
      </w:r>
      <w:r w:rsidR="007C1C57" w:rsidRPr="00C456B1">
        <w:rPr>
          <w:rFonts w:cstheme="minorHAnsi"/>
          <w:sz w:val="22"/>
          <w:szCs w:val="22"/>
        </w:rPr>
        <w:t>specialiųjų p</w:t>
      </w:r>
      <w:r w:rsidR="00551FA7" w:rsidRPr="00C456B1">
        <w:rPr>
          <w:rFonts w:cstheme="minorHAnsi"/>
          <w:sz w:val="22"/>
          <w:szCs w:val="22"/>
        </w:rPr>
        <w:t xml:space="preserve">irkimo </w:t>
      </w:r>
      <w:r w:rsidR="00476F8C" w:rsidRPr="00C456B1">
        <w:rPr>
          <w:rFonts w:cstheme="minorHAnsi"/>
          <w:sz w:val="22"/>
          <w:szCs w:val="22"/>
        </w:rPr>
        <w:t>sąlygų</w:t>
      </w:r>
      <w:r w:rsidR="00DE5F20" w:rsidRPr="00C456B1">
        <w:rPr>
          <w:rFonts w:cstheme="minorHAnsi"/>
          <w:sz w:val="22"/>
          <w:szCs w:val="22"/>
        </w:rPr>
        <w:t xml:space="preserve"> </w:t>
      </w:r>
      <w:r w:rsidR="00BD7BAD" w:rsidRPr="00C456B1">
        <w:rPr>
          <w:rFonts w:cstheme="minorHAnsi"/>
          <w:color w:val="000000" w:themeColor="text1"/>
          <w:sz w:val="22"/>
          <w:szCs w:val="22"/>
        </w:rPr>
        <w:t>3</w:t>
      </w:r>
      <w:r w:rsidR="008E5F93" w:rsidRPr="00C456B1">
        <w:rPr>
          <w:rFonts w:cstheme="minorHAnsi"/>
          <w:color w:val="000000" w:themeColor="text1"/>
          <w:sz w:val="22"/>
          <w:szCs w:val="22"/>
        </w:rPr>
        <w:t xml:space="preserve"> priede „Pasiūlymo forma“ </w:t>
      </w:r>
      <w:r w:rsidRPr="00C456B1">
        <w:rPr>
          <w:rFonts w:cstheme="minorHAnsi"/>
          <w:sz w:val="22"/>
          <w:szCs w:val="22"/>
        </w:rPr>
        <w:t xml:space="preserve">pateiktą </w:t>
      </w:r>
      <w:r w:rsidR="00C35C26" w:rsidRPr="00C456B1">
        <w:rPr>
          <w:rFonts w:cstheme="minorHAnsi"/>
          <w:sz w:val="22"/>
          <w:szCs w:val="22"/>
        </w:rPr>
        <w:t>p</w:t>
      </w:r>
      <w:r w:rsidRPr="00C456B1">
        <w:rPr>
          <w:rFonts w:cstheme="minorHAnsi"/>
          <w:sz w:val="22"/>
          <w:szCs w:val="22"/>
        </w:rPr>
        <w:t>asiūlymo formą</w:t>
      </w:r>
      <w:r w:rsidR="001446C7" w:rsidRPr="00C456B1">
        <w:rPr>
          <w:rFonts w:cstheme="minorHAnsi"/>
          <w:sz w:val="22"/>
          <w:szCs w:val="22"/>
        </w:rPr>
        <w:t xml:space="preserve"> </w:t>
      </w:r>
      <w:r w:rsidR="007822E9" w:rsidRPr="00C456B1">
        <w:rPr>
          <w:rFonts w:cstheme="minorHAnsi"/>
          <w:sz w:val="22"/>
          <w:szCs w:val="22"/>
        </w:rPr>
        <w:t>ir formoje</w:t>
      </w:r>
      <w:r w:rsidR="001446C7" w:rsidRPr="00C456B1">
        <w:rPr>
          <w:rFonts w:cstheme="minorHAnsi"/>
          <w:sz w:val="22"/>
          <w:szCs w:val="22"/>
        </w:rPr>
        <w:t xml:space="preserve"> nurodyti pateiktini dokumentai</w:t>
      </w:r>
      <w:r w:rsidR="00C454E5" w:rsidRPr="00C456B1">
        <w:rPr>
          <w:rFonts w:cstheme="minorHAnsi"/>
          <w:sz w:val="22"/>
          <w:szCs w:val="22"/>
        </w:rPr>
        <w:t>;</w:t>
      </w:r>
    </w:p>
    <w:p w14:paraId="29D50933" w14:textId="6E388630" w:rsidR="00700404" w:rsidRPr="00C456B1" w:rsidRDefault="00DE3BF2" w:rsidP="004A427F">
      <w:pPr>
        <w:pStyle w:val="Sraopastraipa"/>
        <w:numPr>
          <w:ilvl w:val="2"/>
          <w:numId w:val="10"/>
        </w:numPr>
        <w:spacing w:after="0" w:line="240" w:lineRule="auto"/>
        <w:ind w:left="0" w:firstLine="567"/>
        <w:jc w:val="both"/>
        <w:rPr>
          <w:rFonts w:cstheme="minorHAnsi"/>
          <w:sz w:val="22"/>
          <w:szCs w:val="22"/>
          <w:u w:val="single"/>
        </w:rPr>
      </w:pPr>
      <w:r w:rsidRPr="00C456B1">
        <w:rPr>
          <w:rFonts w:cstheme="minorHAnsi"/>
          <w:sz w:val="22"/>
          <w:szCs w:val="22"/>
        </w:rPr>
        <w:t>Techninė specifikacija, užpildyta pagal specialiųjų pirkimo sąlygų 2 priedą</w:t>
      </w:r>
      <w:r w:rsidR="00AF0A85" w:rsidRPr="00C456B1">
        <w:rPr>
          <w:rFonts w:cstheme="minorHAnsi"/>
          <w:sz w:val="22"/>
          <w:szCs w:val="22"/>
        </w:rPr>
        <w:t>;</w:t>
      </w:r>
    </w:p>
    <w:p w14:paraId="2D2509F3" w14:textId="7D138827" w:rsidR="00AF0A85" w:rsidRPr="00C456B1" w:rsidRDefault="00D45546" w:rsidP="004A427F">
      <w:pPr>
        <w:pStyle w:val="Sraopastraipa"/>
        <w:numPr>
          <w:ilvl w:val="2"/>
          <w:numId w:val="10"/>
        </w:numPr>
        <w:spacing w:after="0" w:line="240" w:lineRule="auto"/>
        <w:ind w:left="0" w:firstLine="567"/>
        <w:jc w:val="both"/>
        <w:rPr>
          <w:rFonts w:cstheme="minorHAnsi"/>
          <w:sz w:val="22"/>
          <w:szCs w:val="22"/>
          <w:u w:val="single"/>
        </w:rPr>
      </w:pPr>
      <w:r w:rsidRPr="00C456B1">
        <w:rPr>
          <w:rFonts w:ascii="Calibri" w:hAnsi="Calibri" w:cs="Calibri"/>
          <w:sz w:val="22"/>
          <w:szCs w:val="22"/>
        </w:rPr>
        <w:t xml:space="preserve">CE sertifikatai arba lygiaverčiai dokumentai, patvirtinantys, kad tiekėjo siūlomos prekės atitinka Medicinos priemonių reglamento (2017/745/ES) ir </w:t>
      </w:r>
      <w:proofErr w:type="spellStart"/>
      <w:r w:rsidRPr="00C456B1">
        <w:rPr>
          <w:rFonts w:ascii="Calibri" w:hAnsi="Calibri" w:cs="Calibri"/>
          <w:sz w:val="22"/>
          <w:szCs w:val="22"/>
        </w:rPr>
        <w:t>in</w:t>
      </w:r>
      <w:proofErr w:type="spellEnd"/>
      <w:r w:rsidRPr="00C456B1">
        <w:rPr>
          <w:rFonts w:ascii="Calibri" w:hAnsi="Calibri" w:cs="Calibri"/>
          <w:sz w:val="22"/>
          <w:szCs w:val="22"/>
        </w:rPr>
        <w:t xml:space="preserve"> </w:t>
      </w:r>
      <w:proofErr w:type="spellStart"/>
      <w:r w:rsidRPr="00C456B1">
        <w:rPr>
          <w:rFonts w:ascii="Calibri" w:hAnsi="Calibri" w:cs="Calibri"/>
          <w:sz w:val="22"/>
          <w:szCs w:val="22"/>
        </w:rPr>
        <w:t>vitro</w:t>
      </w:r>
      <w:proofErr w:type="spellEnd"/>
      <w:r w:rsidRPr="00C456B1">
        <w:rPr>
          <w:rFonts w:ascii="Calibri" w:hAnsi="Calibri" w:cs="Calibri"/>
          <w:sz w:val="22"/>
          <w:szCs w:val="22"/>
        </w:rPr>
        <w:t xml:space="preserve"> diagnostikos medicinos priemonių reglamento (IVDR) (2017/746/ES) nustatytus reikalavimus arba </w:t>
      </w:r>
      <w:proofErr w:type="spellStart"/>
      <w:r w:rsidRPr="00C456B1">
        <w:rPr>
          <w:rFonts w:ascii="Calibri" w:hAnsi="Calibri" w:cs="Calibri"/>
          <w:sz w:val="22"/>
          <w:szCs w:val="22"/>
        </w:rPr>
        <w:t>in</w:t>
      </w:r>
      <w:proofErr w:type="spellEnd"/>
      <w:r w:rsidRPr="00C456B1">
        <w:rPr>
          <w:rFonts w:ascii="Calibri" w:hAnsi="Calibri" w:cs="Calibri"/>
          <w:sz w:val="22"/>
          <w:szCs w:val="22"/>
        </w:rPr>
        <w:t xml:space="preserve"> </w:t>
      </w:r>
      <w:proofErr w:type="spellStart"/>
      <w:r w:rsidRPr="00C456B1">
        <w:rPr>
          <w:rFonts w:ascii="Calibri" w:hAnsi="Calibri" w:cs="Calibri"/>
          <w:sz w:val="22"/>
          <w:szCs w:val="22"/>
        </w:rPr>
        <w:t>vitro</w:t>
      </w:r>
      <w:proofErr w:type="spellEnd"/>
      <w:r w:rsidRPr="00C456B1">
        <w:rPr>
          <w:rFonts w:ascii="Calibri" w:hAnsi="Calibri" w:cs="Calibri"/>
          <w:sz w:val="22"/>
          <w:szCs w:val="22"/>
        </w:rPr>
        <w:t xml:space="preserve"> diagnostikos direktyvos (IVDD) (98/79/EC) reikalavimus, jeigu siūlomiems produktams </w:t>
      </w:r>
      <w:r w:rsidR="00C73769" w:rsidRPr="00C456B1">
        <w:rPr>
          <w:rFonts w:ascii="Calibri" w:hAnsi="Calibri" w:cs="Calibri"/>
          <w:sz w:val="22"/>
          <w:szCs w:val="22"/>
        </w:rPr>
        <w:t>pagal IVDR 110 straipsnį vis dar galioja IVDD išduoti sertifikatai;</w:t>
      </w:r>
    </w:p>
    <w:p w14:paraId="53A1DB31" w14:textId="0ED3A14A" w:rsidR="00C73769" w:rsidRPr="00C456B1" w:rsidRDefault="00BA5479" w:rsidP="004A427F">
      <w:pPr>
        <w:pStyle w:val="Sraopastraipa"/>
        <w:numPr>
          <w:ilvl w:val="2"/>
          <w:numId w:val="10"/>
        </w:numPr>
        <w:spacing w:after="0" w:line="240" w:lineRule="auto"/>
        <w:ind w:left="0" w:firstLine="567"/>
        <w:jc w:val="both"/>
        <w:rPr>
          <w:rFonts w:cstheme="minorHAnsi"/>
          <w:sz w:val="22"/>
          <w:szCs w:val="22"/>
          <w:u w:val="single"/>
        </w:rPr>
      </w:pPr>
      <w:r w:rsidRPr="00C456B1">
        <w:rPr>
          <w:rFonts w:ascii="Calibri" w:hAnsi="Calibri" w:cs="Calibri"/>
          <w:sz w:val="22"/>
          <w:szCs w:val="22"/>
        </w:rPr>
        <w:t xml:space="preserve">Siūlomos įrangos (įskaitant, tačiau neapsiribojant, analizatoriaus) naudojimo instrukcijos, kiti gamintojo parengti techniniai aprašai </w:t>
      </w:r>
      <w:r w:rsidRPr="00C456B1">
        <w:rPr>
          <w:rFonts w:ascii="Calibri" w:hAnsi="Calibri" w:cs="Calibri"/>
          <w:i/>
          <w:iCs/>
          <w:sz w:val="22"/>
          <w:szCs w:val="22"/>
        </w:rPr>
        <w:t>(pateikiami dokumentai turi būti pilnos apimties, o ne jų fragmentai ar atskiri puslapiai);</w:t>
      </w:r>
    </w:p>
    <w:p w14:paraId="11991CD7" w14:textId="03743E54" w:rsidR="004A427F" w:rsidRPr="00C456B1" w:rsidRDefault="0068485B" w:rsidP="008F3AB8">
      <w:pPr>
        <w:pStyle w:val="Sraopastraipa"/>
        <w:numPr>
          <w:ilvl w:val="2"/>
          <w:numId w:val="10"/>
        </w:numPr>
        <w:spacing w:after="0" w:line="240" w:lineRule="auto"/>
        <w:ind w:left="0" w:firstLine="567"/>
        <w:jc w:val="both"/>
        <w:rPr>
          <w:rFonts w:cstheme="minorHAnsi"/>
          <w:sz w:val="22"/>
          <w:szCs w:val="22"/>
          <w:u w:val="single"/>
        </w:rPr>
      </w:pPr>
      <w:r w:rsidRPr="00C456B1">
        <w:rPr>
          <w:rFonts w:ascii="Calibri" w:hAnsi="Calibri" w:cs="Calibri"/>
          <w:sz w:val="22"/>
          <w:szCs w:val="22"/>
        </w:rPr>
        <w:t xml:space="preserve">Tyrimams atlikti naudojamų reagentų ir papildomų priemonių naudojimo instrukcijos </w:t>
      </w:r>
      <w:r w:rsidRPr="00C456B1">
        <w:rPr>
          <w:rFonts w:ascii="Calibri" w:hAnsi="Calibri" w:cs="Calibri"/>
          <w:i/>
          <w:iCs/>
          <w:sz w:val="22"/>
          <w:szCs w:val="22"/>
        </w:rPr>
        <w:t>(pateikiami dokumentai turi būti pilnos apimties, o ne jų fragmentai ar atskiri puslapiai);</w:t>
      </w:r>
    </w:p>
    <w:p w14:paraId="7EEF8D2F" w14:textId="71BFE9FD" w:rsidR="0068485B" w:rsidRPr="00C456B1" w:rsidRDefault="003F3057" w:rsidP="008F3AB8">
      <w:pPr>
        <w:pStyle w:val="Sraopastraipa"/>
        <w:numPr>
          <w:ilvl w:val="2"/>
          <w:numId w:val="10"/>
        </w:numPr>
        <w:spacing w:after="0" w:line="240" w:lineRule="auto"/>
        <w:ind w:left="0" w:firstLine="567"/>
        <w:jc w:val="both"/>
        <w:rPr>
          <w:rFonts w:cstheme="minorHAnsi"/>
          <w:sz w:val="22"/>
          <w:szCs w:val="22"/>
          <w:u w:val="single"/>
        </w:rPr>
      </w:pPr>
      <w:r w:rsidRPr="00C456B1">
        <w:rPr>
          <w:rFonts w:ascii="Calibri" w:hAnsi="Calibri" w:cs="Calibri"/>
          <w:color w:val="000000" w:themeColor="text1"/>
          <w:sz w:val="22"/>
          <w:szCs w:val="22"/>
        </w:rPr>
        <w:t xml:space="preserve">Reagentų gamintojo parengtos tyrimams skirtų reagentų naudojimo instrukcijos, kuriose turi būti nurodyta, su kokia įranga galima naudoti šiuos reagentus (t. y., reagento ir panaudai siūlomos įrangos sistema turi būti </w:t>
      </w:r>
      <w:proofErr w:type="spellStart"/>
      <w:r w:rsidRPr="00C456B1">
        <w:rPr>
          <w:rFonts w:ascii="Calibri" w:hAnsi="Calibri" w:cs="Calibri"/>
          <w:color w:val="000000" w:themeColor="text1"/>
          <w:sz w:val="22"/>
          <w:szCs w:val="22"/>
        </w:rPr>
        <w:t>validuota</w:t>
      </w:r>
      <w:proofErr w:type="spellEnd"/>
      <w:r w:rsidRPr="00C456B1">
        <w:rPr>
          <w:rFonts w:ascii="Calibri" w:hAnsi="Calibri" w:cs="Calibri"/>
          <w:color w:val="000000" w:themeColor="text1"/>
          <w:sz w:val="22"/>
          <w:szCs w:val="22"/>
        </w:rPr>
        <w:t xml:space="preserve"> tyrimui atlikti) </w:t>
      </w:r>
      <w:r w:rsidRPr="00C456B1">
        <w:rPr>
          <w:rFonts w:ascii="Calibri" w:hAnsi="Calibri" w:cs="Calibri"/>
          <w:i/>
          <w:iCs/>
          <w:color w:val="000000" w:themeColor="text1"/>
          <w:sz w:val="22"/>
          <w:szCs w:val="22"/>
        </w:rPr>
        <w:t xml:space="preserve">(dokumentai teikiami, jei siūlomi reagentai yra </w:t>
      </w:r>
      <w:r w:rsidRPr="00C456B1">
        <w:rPr>
          <w:rFonts w:ascii="Calibri" w:hAnsi="Calibri" w:cs="Calibri"/>
          <w:b/>
          <w:bCs/>
          <w:i/>
          <w:iCs/>
          <w:color w:val="000000" w:themeColor="text1"/>
          <w:sz w:val="22"/>
          <w:szCs w:val="22"/>
        </w:rPr>
        <w:t>ne to paties</w:t>
      </w:r>
      <w:r w:rsidRPr="00C456B1">
        <w:rPr>
          <w:rFonts w:ascii="Calibri" w:hAnsi="Calibri" w:cs="Calibri"/>
          <w:i/>
          <w:iCs/>
          <w:color w:val="000000" w:themeColor="text1"/>
          <w:sz w:val="22"/>
          <w:szCs w:val="22"/>
        </w:rPr>
        <w:t xml:space="preserve"> gamintojo kaip siūloma įranga);</w:t>
      </w:r>
    </w:p>
    <w:p w14:paraId="5C64924E" w14:textId="24839DEF" w:rsidR="003F3057" w:rsidRPr="00C456B1" w:rsidRDefault="00D17DBE" w:rsidP="008F3AB8">
      <w:pPr>
        <w:pStyle w:val="Sraopastraipa"/>
        <w:numPr>
          <w:ilvl w:val="2"/>
          <w:numId w:val="10"/>
        </w:numPr>
        <w:spacing w:after="0" w:line="240" w:lineRule="auto"/>
        <w:ind w:left="0" w:firstLine="567"/>
        <w:jc w:val="both"/>
        <w:rPr>
          <w:rFonts w:cstheme="minorHAnsi"/>
          <w:sz w:val="22"/>
          <w:szCs w:val="22"/>
          <w:u w:val="single"/>
        </w:rPr>
      </w:pPr>
      <w:r w:rsidRPr="00C456B1">
        <w:rPr>
          <w:rFonts w:ascii="Calibri" w:hAnsi="Calibri" w:cs="Calibri"/>
          <w:color w:val="000000" w:themeColor="text1"/>
          <w:sz w:val="22"/>
          <w:szCs w:val="22"/>
        </w:rPr>
        <w:t xml:space="preserve">Prietaiso gamintojo pasirašytas patvirtinimas ir reagento gamintojo pasirašytas patvirtinimas, kad panaudai siūlomą prietaisą ir siūlomą reagentą galima naudoti kartu ir toks derinys yra </w:t>
      </w:r>
      <w:proofErr w:type="spellStart"/>
      <w:r w:rsidRPr="00C456B1">
        <w:rPr>
          <w:rFonts w:ascii="Calibri" w:hAnsi="Calibri" w:cs="Calibri"/>
          <w:color w:val="000000" w:themeColor="text1"/>
          <w:sz w:val="22"/>
          <w:szCs w:val="22"/>
        </w:rPr>
        <w:t>validuotas</w:t>
      </w:r>
      <w:proofErr w:type="spellEnd"/>
      <w:r w:rsidRPr="00C456B1">
        <w:rPr>
          <w:rFonts w:ascii="Calibri" w:hAnsi="Calibri" w:cs="Calibri"/>
          <w:color w:val="000000" w:themeColor="text1"/>
          <w:sz w:val="22"/>
          <w:szCs w:val="22"/>
        </w:rPr>
        <w:t xml:space="preserve"> atlikti kokybišką tyrimą </w:t>
      </w:r>
      <w:r w:rsidRPr="00C456B1">
        <w:rPr>
          <w:rFonts w:ascii="Calibri" w:hAnsi="Calibri" w:cs="Calibri"/>
          <w:i/>
          <w:iCs/>
          <w:color w:val="000000" w:themeColor="text1"/>
          <w:sz w:val="22"/>
          <w:szCs w:val="22"/>
        </w:rPr>
        <w:t xml:space="preserve">(dokumentai teikiami, jei siūlomi reagentai yra </w:t>
      </w:r>
      <w:r w:rsidRPr="00C456B1">
        <w:rPr>
          <w:rFonts w:ascii="Calibri" w:hAnsi="Calibri" w:cs="Calibri"/>
          <w:b/>
          <w:bCs/>
          <w:i/>
          <w:iCs/>
          <w:color w:val="000000" w:themeColor="text1"/>
          <w:sz w:val="22"/>
          <w:szCs w:val="22"/>
        </w:rPr>
        <w:t>ne to paties</w:t>
      </w:r>
      <w:r w:rsidRPr="00C456B1">
        <w:rPr>
          <w:rFonts w:ascii="Calibri" w:hAnsi="Calibri" w:cs="Calibri"/>
          <w:i/>
          <w:iCs/>
          <w:color w:val="000000" w:themeColor="text1"/>
          <w:sz w:val="22"/>
          <w:szCs w:val="22"/>
        </w:rPr>
        <w:t xml:space="preserve"> gamintojo kaip siūloma įranga);</w:t>
      </w:r>
    </w:p>
    <w:p w14:paraId="299808C0" w14:textId="45AD5D37" w:rsidR="00D17DBE" w:rsidRPr="00C456B1" w:rsidRDefault="00C456B1" w:rsidP="008F3AB8">
      <w:pPr>
        <w:pStyle w:val="Sraopastraipa"/>
        <w:numPr>
          <w:ilvl w:val="2"/>
          <w:numId w:val="10"/>
        </w:numPr>
        <w:spacing w:after="0" w:line="240" w:lineRule="auto"/>
        <w:ind w:left="0" w:firstLine="567"/>
        <w:jc w:val="both"/>
        <w:rPr>
          <w:rFonts w:cstheme="minorHAnsi"/>
          <w:sz w:val="22"/>
          <w:szCs w:val="22"/>
          <w:u w:val="single"/>
        </w:rPr>
      </w:pPr>
      <w:r w:rsidRPr="00C456B1">
        <w:rPr>
          <w:rFonts w:ascii="Calibri" w:eastAsia="Calibri" w:hAnsi="Calibri" w:cs="Calibri"/>
          <w:color w:val="000000" w:themeColor="text1"/>
          <w:sz w:val="22"/>
          <w:szCs w:val="22"/>
        </w:rPr>
        <w:t>Nacionalinio saugumo reikalavimų atitikties deklaracija (specialiųjų pirkimo sąlygų 8 priedas);</w:t>
      </w:r>
    </w:p>
    <w:p w14:paraId="39D4C3CB" w14:textId="79158167" w:rsidR="00592AF6" w:rsidRPr="00C456B1" w:rsidRDefault="00351208" w:rsidP="008F3AB8">
      <w:pPr>
        <w:pStyle w:val="Sraopastraipa"/>
        <w:numPr>
          <w:ilvl w:val="2"/>
          <w:numId w:val="10"/>
        </w:numPr>
        <w:spacing w:after="0" w:line="240" w:lineRule="auto"/>
        <w:ind w:left="0" w:firstLine="567"/>
        <w:jc w:val="both"/>
        <w:rPr>
          <w:rFonts w:cstheme="minorHAnsi"/>
          <w:sz w:val="22"/>
          <w:szCs w:val="22"/>
          <w:u w:val="single"/>
        </w:rPr>
      </w:pPr>
      <w:r w:rsidRPr="00C456B1">
        <w:rPr>
          <w:rFonts w:cstheme="minorHAnsi"/>
          <w:sz w:val="22"/>
          <w:szCs w:val="22"/>
        </w:rPr>
        <w:t>kiti perkan</w:t>
      </w:r>
      <w:r w:rsidR="00FB4AC1" w:rsidRPr="00C456B1">
        <w:rPr>
          <w:rFonts w:cstheme="minorHAnsi"/>
          <w:sz w:val="22"/>
          <w:szCs w:val="22"/>
        </w:rPr>
        <w:t xml:space="preserve">čiosios organizacijos reikalaujami ir/ar </w:t>
      </w:r>
      <w:r w:rsidRPr="00C456B1">
        <w:rPr>
          <w:rFonts w:cstheme="minorHAnsi"/>
          <w:sz w:val="22"/>
          <w:szCs w:val="22"/>
        </w:rPr>
        <w:t>tiekėjo teikiami dokumentai</w:t>
      </w:r>
      <w:r w:rsidR="00FB4AC1" w:rsidRPr="00C456B1">
        <w:rPr>
          <w:rFonts w:cstheme="minorHAnsi"/>
          <w:sz w:val="22"/>
          <w:szCs w:val="22"/>
        </w:rPr>
        <w:t>.</w:t>
      </w:r>
    </w:p>
    <w:p w14:paraId="59F3F889" w14:textId="00DE8A2B"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D539FE">
        <w:rPr>
          <w:rFonts w:cstheme="minorHAnsi"/>
          <w:color w:val="000000" w:themeColor="text1"/>
          <w:sz w:val="22"/>
          <w:szCs w:val="22"/>
        </w:rPr>
        <w:t>parengta</w:t>
      </w:r>
      <w:r w:rsidR="00EE44B0" w:rsidRPr="00D539FE">
        <w:rPr>
          <w:rFonts w:cstheme="minorHAnsi"/>
          <w:color w:val="000000" w:themeColor="text1"/>
          <w:sz w:val="22"/>
          <w:szCs w:val="22"/>
        </w:rPr>
        <w:t xml:space="preserve"> </w:t>
      </w:r>
      <w:r w:rsidR="0048587E" w:rsidRPr="00D539FE">
        <w:rPr>
          <w:rFonts w:cstheme="minorHAnsi"/>
          <w:b/>
          <w:bCs/>
          <w:color w:val="000000" w:themeColor="text1"/>
          <w:sz w:val="22"/>
          <w:szCs w:val="22"/>
        </w:rPr>
        <w:t>lietuvių kalba</w:t>
      </w:r>
      <w:r w:rsidR="00D17972" w:rsidRPr="00D539FE">
        <w:rPr>
          <w:rFonts w:cstheme="minorHAnsi"/>
          <w:color w:val="000000" w:themeColor="text1"/>
          <w:sz w:val="22"/>
          <w:szCs w:val="22"/>
        </w:rPr>
        <w:t>.</w:t>
      </w:r>
      <w:r w:rsidR="0048587E" w:rsidRPr="00D539FE">
        <w:rPr>
          <w:rFonts w:cstheme="minorHAnsi"/>
          <w:color w:val="000000" w:themeColor="text1"/>
          <w:sz w:val="22"/>
          <w:szCs w:val="22"/>
        </w:rPr>
        <w:t xml:space="preserve"> </w:t>
      </w:r>
      <w:r w:rsidR="001140D2" w:rsidRPr="00D539FE">
        <w:rPr>
          <w:rFonts w:cstheme="minorHAnsi"/>
          <w:color w:val="000000" w:themeColor="text1"/>
          <w:sz w:val="22"/>
          <w:szCs w:val="22"/>
        </w:rPr>
        <w:t xml:space="preserve">Su pasiūlymu pateikiami dokumentai </w:t>
      </w:r>
      <w:r w:rsidR="00F74594" w:rsidRPr="00D539FE">
        <w:rPr>
          <w:rFonts w:cstheme="minorHAnsi"/>
          <w:color w:val="000000" w:themeColor="text1"/>
          <w:sz w:val="22"/>
          <w:szCs w:val="22"/>
        </w:rPr>
        <w:t xml:space="preserve">(išskyrus tuos dokumentus, kuriuos reikalaujama pateikti abejomis kalbomis) </w:t>
      </w:r>
      <w:r w:rsidR="001140D2" w:rsidRPr="00D539FE">
        <w:rPr>
          <w:rFonts w:cstheme="minorHAnsi"/>
          <w:color w:val="000000" w:themeColor="text1"/>
          <w:sz w:val="22"/>
          <w:szCs w:val="22"/>
        </w:rPr>
        <w:t xml:space="preserve">turi </w:t>
      </w:r>
      <w:r w:rsidR="001140D2" w:rsidRPr="00682B25">
        <w:rPr>
          <w:rFonts w:cstheme="minorHAnsi"/>
          <w:sz w:val="22"/>
          <w:szCs w:val="22"/>
        </w:rPr>
        <w:t xml:space="preserve">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25416950"/>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1D2670B2" w:rsidR="00C576BD" w:rsidRPr="001F7D12" w:rsidRDefault="003D3768" w:rsidP="127C8566">
      <w:pPr>
        <w:pStyle w:val="Sraopastraipa"/>
        <w:numPr>
          <w:ilvl w:val="1"/>
          <w:numId w:val="11"/>
        </w:numPr>
        <w:spacing w:after="0" w:line="240" w:lineRule="auto"/>
        <w:ind w:left="0" w:firstLine="567"/>
        <w:jc w:val="both"/>
        <w:rPr>
          <w:rFonts w:eastAsia="Calibri"/>
          <w:i/>
          <w:iCs/>
          <w:color w:val="000000" w:themeColor="text1"/>
          <w:sz w:val="22"/>
          <w:szCs w:val="22"/>
        </w:rPr>
      </w:pPr>
      <w:r w:rsidRPr="127C8566">
        <w:rPr>
          <w:color w:val="000000" w:themeColor="text1"/>
          <w:sz w:val="22"/>
          <w:szCs w:val="22"/>
        </w:rPr>
        <w:t xml:space="preserve">Tiekėjas privalo užtikrinti savo pasiūlymo galiojimą </w:t>
      </w:r>
      <w:r w:rsidR="000D7D49" w:rsidRPr="127C8566">
        <w:rPr>
          <w:color w:val="000000" w:themeColor="text1"/>
          <w:sz w:val="22"/>
          <w:szCs w:val="22"/>
        </w:rPr>
        <w:t>netesybomis:</w:t>
      </w:r>
      <w:r w:rsidR="00834DD1" w:rsidRPr="127C8566">
        <w:rPr>
          <w:color w:val="000000" w:themeColor="text1"/>
          <w:sz w:val="22"/>
          <w:szCs w:val="22"/>
        </w:rPr>
        <w:t xml:space="preserve"> 12</w:t>
      </w:r>
      <w:r w:rsidR="003B6124" w:rsidRPr="127C8566">
        <w:rPr>
          <w:color w:val="000000" w:themeColor="text1"/>
          <w:sz w:val="22"/>
          <w:szCs w:val="22"/>
        </w:rPr>
        <w:t xml:space="preserve"> </w:t>
      </w:r>
      <w:r w:rsidR="2912EC76" w:rsidRPr="127C8566">
        <w:rPr>
          <w:color w:val="000000" w:themeColor="text1"/>
          <w:sz w:val="22"/>
          <w:szCs w:val="22"/>
        </w:rPr>
        <w:t>500</w:t>
      </w:r>
      <w:r w:rsidR="003B6124" w:rsidRPr="127C8566">
        <w:rPr>
          <w:color w:val="000000" w:themeColor="text1"/>
          <w:sz w:val="22"/>
          <w:szCs w:val="22"/>
        </w:rPr>
        <w:t>,00 Eur</w:t>
      </w:r>
      <w:r w:rsidR="000D7D49" w:rsidRPr="127C8566">
        <w:rPr>
          <w:color w:val="000000" w:themeColor="text1"/>
          <w:sz w:val="22"/>
          <w:szCs w:val="22"/>
        </w:rPr>
        <w:t xml:space="preserve"> </w:t>
      </w:r>
      <w:r w:rsidR="000D7D49" w:rsidRPr="127C8566">
        <w:rPr>
          <w:b/>
          <w:bCs/>
          <w:color w:val="000000" w:themeColor="text1"/>
          <w:sz w:val="22"/>
          <w:szCs w:val="22"/>
        </w:rPr>
        <w:t>bauda</w:t>
      </w:r>
      <w:r w:rsidR="00E74111" w:rsidRPr="127C8566">
        <w:rPr>
          <w:color w:val="000000" w:themeColor="text1"/>
          <w:sz w:val="22"/>
          <w:szCs w:val="22"/>
        </w:rPr>
        <w:t>, kurią priv</w:t>
      </w:r>
      <w:r w:rsidR="008741E1" w:rsidRPr="127C8566">
        <w:rPr>
          <w:color w:val="000000" w:themeColor="text1"/>
          <w:sz w:val="22"/>
          <w:szCs w:val="22"/>
        </w:rPr>
        <w:t>a</w:t>
      </w:r>
      <w:r w:rsidR="00E74111" w:rsidRPr="127C8566">
        <w:rPr>
          <w:color w:val="000000" w:themeColor="text1"/>
          <w:sz w:val="22"/>
          <w:szCs w:val="22"/>
        </w:rPr>
        <w:t>lės sumokėti per 10 darbo dienų</w:t>
      </w:r>
      <w:r w:rsidR="008741E1" w:rsidRPr="127C8566">
        <w:rPr>
          <w:color w:val="000000" w:themeColor="text1"/>
          <w:sz w:val="22"/>
          <w:szCs w:val="22"/>
        </w:rPr>
        <w:t xml:space="preserve"> nuo perkančiosios organizacijos pareikalavimo</w:t>
      </w:r>
      <w:r w:rsidR="006275D6" w:rsidRPr="127C8566">
        <w:rPr>
          <w:color w:val="000000" w:themeColor="text1"/>
          <w:sz w:val="22"/>
          <w:szCs w:val="22"/>
        </w:rPr>
        <w:t>.</w:t>
      </w:r>
      <w:r w:rsidR="000D7D49" w:rsidRPr="127C8566">
        <w:rPr>
          <w:color w:val="000000" w:themeColor="text1"/>
          <w:sz w:val="22"/>
          <w:szCs w:val="22"/>
        </w:rPr>
        <w:t xml:space="preserve"> </w:t>
      </w:r>
    </w:p>
    <w:p w14:paraId="239F5622" w14:textId="49AFA678" w:rsidR="0033072F" w:rsidRPr="00FD1C4D" w:rsidRDefault="00000B56" w:rsidP="00FD1C4D">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lastRenderedPageBreak/>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25416951"/>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25416952"/>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135E581A" w:rsidR="00BF5928" w:rsidRPr="00A231A4" w:rsidRDefault="004E71CB" w:rsidP="00A231A4">
      <w:pPr>
        <w:pStyle w:val="Sraopastraipa"/>
        <w:numPr>
          <w:ilvl w:val="1"/>
          <w:numId w:val="11"/>
        </w:numPr>
        <w:spacing w:after="0" w:line="240" w:lineRule="auto"/>
        <w:ind w:left="0" w:firstLine="567"/>
        <w:jc w:val="both"/>
        <w:rPr>
          <w:rFonts w:cstheme="minorHAnsi"/>
          <w:sz w:val="22"/>
          <w:szCs w:val="22"/>
        </w:rPr>
      </w:pPr>
      <w:r w:rsidRPr="00A231A4">
        <w:rPr>
          <w:rFonts w:eastAsia="Calibri" w:cstheme="minorHAnsi"/>
          <w:sz w:val="22"/>
          <w:szCs w:val="22"/>
        </w:rPr>
        <w:t xml:space="preserve">Perkančioji organizacija ekonomiškai naudingiausią pasiūlymą išrenka pagal </w:t>
      </w:r>
      <w:r w:rsidR="00003A3F" w:rsidRPr="00A231A4">
        <w:rPr>
          <w:rFonts w:eastAsia="Calibri" w:cstheme="minorHAnsi"/>
          <w:sz w:val="22"/>
          <w:szCs w:val="22"/>
        </w:rPr>
        <w:t>kainos ir kokybės santykį. Duomenys, kuriuos savo pasiūlyme turi pateikti tiekėjas, vertinimo kriterijai ir tvarka, pagal kuri</w:t>
      </w:r>
      <w:r w:rsidR="00822F6E" w:rsidRPr="00A231A4">
        <w:rPr>
          <w:rFonts w:eastAsia="Calibri" w:cstheme="minorHAnsi"/>
          <w:sz w:val="22"/>
          <w:szCs w:val="22"/>
        </w:rPr>
        <w:t>ą</w:t>
      </w:r>
      <w:r w:rsidR="00003A3F" w:rsidRPr="00A231A4">
        <w:rPr>
          <w:rFonts w:eastAsia="Calibri" w:cstheme="minorHAnsi"/>
          <w:sz w:val="22"/>
          <w:szCs w:val="22"/>
        </w:rPr>
        <w:t xml:space="preserve"> vertinami tiekėjo pateikti duomenys, pateikiama</w:t>
      </w:r>
      <w:r w:rsidRPr="00A231A4">
        <w:rPr>
          <w:rFonts w:eastAsia="Calibri" w:cstheme="minorHAnsi"/>
          <w:sz w:val="22"/>
          <w:szCs w:val="22"/>
        </w:rPr>
        <w:t xml:space="preserve"> </w:t>
      </w:r>
      <w:r w:rsidR="00CE14DF" w:rsidRPr="00A231A4">
        <w:rPr>
          <w:rFonts w:eastAsia="Calibri" w:cstheme="minorHAnsi"/>
          <w:sz w:val="22"/>
          <w:szCs w:val="22"/>
        </w:rPr>
        <w:t>specialiųjų p</w:t>
      </w:r>
      <w:r w:rsidR="00551FA7" w:rsidRPr="00A231A4">
        <w:rPr>
          <w:rFonts w:eastAsia="Calibri" w:cstheme="minorHAnsi"/>
          <w:sz w:val="22"/>
          <w:szCs w:val="22"/>
        </w:rPr>
        <w:t xml:space="preserve">irkimo </w:t>
      </w:r>
      <w:r w:rsidR="00913029" w:rsidRPr="00A231A4">
        <w:rPr>
          <w:rFonts w:eastAsia="Calibri" w:cstheme="minorHAnsi"/>
          <w:sz w:val="22"/>
          <w:szCs w:val="22"/>
        </w:rPr>
        <w:t>sąlygų</w:t>
      </w:r>
      <w:r w:rsidR="00090235" w:rsidRPr="00A231A4">
        <w:rPr>
          <w:rFonts w:eastAsia="Calibri" w:cstheme="minorHAnsi"/>
          <w:sz w:val="22"/>
          <w:szCs w:val="22"/>
        </w:rPr>
        <w:t xml:space="preserve"> </w:t>
      </w:r>
      <w:r w:rsidR="00813B02" w:rsidRPr="00295D03">
        <w:rPr>
          <w:rFonts w:cstheme="minorHAnsi"/>
          <w:color w:val="000000" w:themeColor="text1"/>
          <w:sz w:val="22"/>
          <w:szCs w:val="22"/>
          <w:shd w:val="clear" w:color="auto" w:fill="FFFFFF"/>
        </w:rPr>
        <w:t>2</w:t>
      </w:r>
      <w:r w:rsidR="003339CC" w:rsidRPr="00295D03">
        <w:rPr>
          <w:rFonts w:cstheme="minorHAnsi"/>
          <w:color w:val="000000" w:themeColor="text1"/>
          <w:sz w:val="22"/>
          <w:szCs w:val="22"/>
          <w:shd w:val="clear" w:color="auto" w:fill="FFFFFF"/>
        </w:rPr>
        <w:t xml:space="preserve"> priede </w:t>
      </w:r>
      <w:r w:rsidR="00813B02" w:rsidRPr="00295D03">
        <w:rPr>
          <w:rFonts w:cstheme="minorHAnsi"/>
          <w:color w:val="000000" w:themeColor="text1"/>
          <w:sz w:val="22"/>
          <w:szCs w:val="22"/>
          <w:shd w:val="clear" w:color="auto" w:fill="FFFFFF"/>
        </w:rPr>
        <w:t>„Techninė specifikacija</w:t>
      </w:r>
      <w:r w:rsidR="003339CC" w:rsidRPr="00295D03">
        <w:rPr>
          <w:rFonts w:cstheme="minorHAnsi"/>
          <w:color w:val="000000" w:themeColor="text1"/>
          <w:sz w:val="22"/>
          <w:szCs w:val="22"/>
          <w:shd w:val="clear" w:color="auto" w:fill="FFFFFF"/>
        </w:rPr>
        <w:t xml:space="preserve">“ ir </w:t>
      </w:r>
      <w:r w:rsidR="00F76B50" w:rsidRPr="00295D03">
        <w:rPr>
          <w:rFonts w:cstheme="minorHAnsi"/>
          <w:color w:val="000000" w:themeColor="text1"/>
          <w:sz w:val="22"/>
          <w:szCs w:val="22"/>
          <w:shd w:val="clear" w:color="auto" w:fill="FFFFFF"/>
        </w:rPr>
        <w:t>4</w:t>
      </w:r>
      <w:r w:rsidR="004C7E56" w:rsidRPr="00295D03">
        <w:rPr>
          <w:rFonts w:cstheme="minorHAnsi"/>
          <w:color w:val="000000" w:themeColor="text1"/>
          <w:sz w:val="22"/>
          <w:szCs w:val="22"/>
          <w:shd w:val="clear" w:color="auto" w:fill="FFFFFF"/>
        </w:rPr>
        <w:t xml:space="preserve"> priede </w:t>
      </w:r>
      <w:r w:rsidR="004C7E56" w:rsidRPr="00295D03">
        <w:rPr>
          <w:rFonts w:eastAsia="Calibri" w:cstheme="minorHAnsi"/>
          <w:color w:val="000000" w:themeColor="text1"/>
          <w:sz w:val="22"/>
          <w:szCs w:val="22"/>
        </w:rPr>
        <w:t>„Pasiūlymų vertinimo kriterijai ir sąlygos</w:t>
      </w:r>
      <w:r w:rsidR="002D1075" w:rsidRPr="00295D03">
        <w:rPr>
          <w:rFonts w:eastAsia="Calibri" w:cstheme="minorHAnsi"/>
          <w:color w:val="000000" w:themeColor="text1"/>
          <w:sz w:val="22"/>
          <w:szCs w:val="22"/>
        </w:rPr>
        <w:t>“</w:t>
      </w:r>
      <w:r w:rsidR="00090235" w:rsidRPr="00295D03">
        <w:rPr>
          <w:rFonts w:eastAsia="Calibri" w:cstheme="minorHAnsi"/>
          <w:color w:val="000000" w:themeColor="text1"/>
          <w:sz w:val="22"/>
          <w:szCs w:val="22"/>
        </w:rPr>
        <w:t>.</w:t>
      </w:r>
      <w:r w:rsidR="00CE14DF" w:rsidRPr="00295D03">
        <w:rPr>
          <w:rFonts w:eastAsia="Calibri" w:cstheme="minorHAnsi"/>
          <w:color w:val="000000" w:themeColor="text1"/>
          <w:sz w:val="22"/>
          <w:szCs w:val="22"/>
        </w:rPr>
        <w:t xml:space="preserve"> </w:t>
      </w:r>
    </w:p>
    <w:p w14:paraId="09DAC5A2" w14:textId="77777777" w:rsidR="00295D03" w:rsidRPr="00295D03" w:rsidRDefault="00D734C6" w:rsidP="00295D03">
      <w:pPr>
        <w:pStyle w:val="Sraopastraipa"/>
        <w:numPr>
          <w:ilvl w:val="1"/>
          <w:numId w:val="11"/>
        </w:numPr>
        <w:spacing w:after="0" w:line="240" w:lineRule="auto"/>
        <w:ind w:left="0" w:firstLine="567"/>
        <w:jc w:val="both"/>
        <w:rPr>
          <w:rFonts w:eastAsia="Calibri" w:cstheme="minorHAnsi"/>
          <w:sz w:val="22"/>
          <w:szCs w:val="22"/>
        </w:rPr>
      </w:pPr>
      <w:r w:rsidRPr="004B012C">
        <w:rPr>
          <w:rFonts w:cstheme="minorHAnsi"/>
          <w:color w:val="000000" w:themeColor="text1"/>
          <w:sz w:val="22"/>
          <w:szCs w:val="22"/>
        </w:rPr>
        <w:t xml:space="preserve">Laimėjusiu </w:t>
      </w:r>
      <w:r w:rsidR="005D7D8C" w:rsidRPr="004B012C">
        <w:rPr>
          <w:rFonts w:cstheme="minorHAnsi"/>
          <w:color w:val="000000" w:themeColor="text1"/>
          <w:sz w:val="22"/>
          <w:szCs w:val="22"/>
        </w:rPr>
        <w:t>pasiūlymu</w:t>
      </w:r>
      <w:r w:rsidRPr="004B012C">
        <w:rPr>
          <w:rFonts w:cstheme="minorHAnsi"/>
          <w:color w:val="000000" w:themeColor="text1"/>
          <w:sz w:val="22"/>
          <w:szCs w:val="22"/>
        </w:rPr>
        <w:t xml:space="preserve"> galės būti pripažintas tik 1 (vienas) </w:t>
      </w:r>
      <w:r w:rsidR="005D7D8C" w:rsidRPr="004B012C">
        <w:rPr>
          <w:rFonts w:cstheme="minorHAnsi"/>
          <w:color w:val="000000" w:themeColor="text1"/>
          <w:sz w:val="22"/>
          <w:szCs w:val="22"/>
        </w:rPr>
        <w:t>ekonomiškai naudingiausias pasiūlymas, esantis pasiūlymų eilės pirmojoje vietoje</w:t>
      </w:r>
      <w:r w:rsidRPr="004B012C">
        <w:rPr>
          <w:rFonts w:cstheme="minorHAnsi"/>
          <w:color w:val="000000" w:themeColor="text1"/>
          <w:sz w:val="22"/>
          <w:szCs w:val="22"/>
        </w:rPr>
        <w:t xml:space="preserve">. </w:t>
      </w:r>
    </w:p>
    <w:p w14:paraId="7BAB500C" w14:textId="77777777" w:rsidR="00295D03" w:rsidRPr="00295D03" w:rsidRDefault="00A9488B" w:rsidP="00295D03">
      <w:pPr>
        <w:pStyle w:val="Sraopastraipa"/>
        <w:numPr>
          <w:ilvl w:val="1"/>
          <w:numId w:val="11"/>
        </w:numPr>
        <w:spacing w:after="0" w:line="240" w:lineRule="auto"/>
        <w:ind w:left="0" w:firstLine="567"/>
        <w:jc w:val="both"/>
        <w:rPr>
          <w:rFonts w:eastAsia="Calibri" w:cstheme="minorHAnsi"/>
          <w:sz w:val="22"/>
          <w:szCs w:val="22"/>
        </w:rPr>
      </w:pPr>
      <w:r w:rsidRPr="00295D03">
        <w:rPr>
          <w:rStyle w:val="cf01"/>
          <w:rFonts w:asciiTheme="minorHAnsi" w:hAnsiTheme="minorHAnsi" w:cstheme="minorHAnsi"/>
          <w:sz w:val="22"/>
          <w:szCs w:val="22"/>
        </w:rPr>
        <w:t>Perkančioji organizacija atmes tiekėjo pasiūlymą, jei</w:t>
      </w:r>
      <w:r w:rsidR="00195572" w:rsidRPr="00295D03">
        <w:rPr>
          <w:rStyle w:val="cf01"/>
          <w:rFonts w:asciiTheme="minorHAnsi" w:hAnsiTheme="minorHAnsi" w:cstheme="minorHAnsi"/>
          <w:sz w:val="22"/>
          <w:szCs w:val="22"/>
        </w:rPr>
        <w:t xml:space="preserve">gu kartu su pasiūlymu </w:t>
      </w:r>
      <w:r w:rsidR="00B2125E" w:rsidRPr="00295D03">
        <w:rPr>
          <w:rStyle w:val="cf01"/>
          <w:rFonts w:asciiTheme="minorHAnsi" w:hAnsiTheme="minorHAnsi" w:cstheme="minorHAnsi"/>
          <w:sz w:val="22"/>
          <w:szCs w:val="22"/>
        </w:rPr>
        <w:t xml:space="preserve">nebus pateikti šie </w:t>
      </w:r>
      <w:r w:rsidR="00277634" w:rsidRPr="00295D03">
        <w:rPr>
          <w:rStyle w:val="cf01"/>
          <w:rFonts w:asciiTheme="minorHAnsi" w:hAnsiTheme="minorHAnsi" w:cstheme="minorHAnsi"/>
          <w:sz w:val="22"/>
          <w:szCs w:val="22"/>
        </w:rPr>
        <w:t>p</w:t>
      </w:r>
      <w:r w:rsidR="00B2125E" w:rsidRPr="00295D03">
        <w:rPr>
          <w:rStyle w:val="cf01"/>
          <w:rFonts w:asciiTheme="minorHAnsi" w:hAnsiTheme="minorHAnsi" w:cstheme="minorHAnsi"/>
          <w:sz w:val="22"/>
          <w:szCs w:val="22"/>
        </w:rPr>
        <w:t>irkimo sąlygose reikalaujami pateikti dokumentai:</w:t>
      </w:r>
      <w:r w:rsidR="000857D7" w:rsidRPr="00295D03">
        <w:rPr>
          <w:rStyle w:val="cf01"/>
          <w:rFonts w:asciiTheme="minorHAnsi" w:hAnsiTheme="minorHAnsi" w:cstheme="minorHAnsi"/>
          <w:color w:val="000000" w:themeColor="text1"/>
          <w:sz w:val="22"/>
          <w:szCs w:val="22"/>
        </w:rPr>
        <w:t xml:space="preserve"> Techninė specifikacija, užpildyta pagal specialiųjų pirkimo sąlygų 2 priedą</w:t>
      </w:r>
      <w:r w:rsidR="00C50B8F" w:rsidRPr="00295D03">
        <w:rPr>
          <w:rFonts w:cstheme="minorHAnsi"/>
          <w:color w:val="000000" w:themeColor="text1"/>
          <w:sz w:val="22"/>
          <w:szCs w:val="22"/>
          <w:shd w:val="clear" w:color="auto" w:fill="FFFFFF"/>
        </w:rPr>
        <w:t>.</w:t>
      </w:r>
    </w:p>
    <w:p w14:paraId="02ADA198" w14:textId="1E3BEACC" w:rsidR="002B5CBA" w:rsidRPr="00295D03" w:rsidRDefault="00DA23E1" w:rsidP="00295D03">
      <w:pPr>
        <w:pStyle w:val="Sraopastraipa"/>
        <w:numPr>
          <w:ilvl w:val="1"/>
          <w:numId w:val="11"/>
        </w:numPr>
        <w:spacing w:after="0" w:line="240" w:lineRule="auto"/>
        <w:ind w:left="0" w:firstLine="567"/>
        <w:jc w:val="both"/>
        <w:rPr>
          <w:rFonts w:eastAsia="Calibri" w:cstheme="minorHAnsi"/>
          <w:sz w:val="22"/>
          <w:szCs w:val="22"/>
        </w:rPr>
      </w:pPr>
      <w:r w:rsidRPr="00295D03">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95D03">
        <w:rPr>
          <w:rFonts w:eastAsiaTheme="minorHAnsi" w:cstheme="minorHAnsi"/>
          <w:color w:val="000000" w:themeColor="text1"/>
          <w:sz w:val="22"/>
          <w:szCs w:val="22"/>
        </w:rPr>
        <w:t>tiekėjų</w:t>
      </w:r>
      <w:r w:rsidRPr="00295D03">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95D03">
        <w:rPr>
          <w:rFonts w:eastAsiaTheme="minorHAnsi" w:cstheme="minorHAnsi"/>
          <w:color w:val="000000" w:themeColor="text1"/>
          <w:sz w:val="22"/>
          <w:szCs w:val="22"/>
        </w:rPr>
        <w:t>tiekėjo</w:t>
      </w:r>
      <w:r w:rsidRPr="00295D03">
        <w:rPr>
          <w:rFonts w:eastAsiaTheme="minorHAnsi" w:cstheme="minorHAnsi"/>
          <w:color w:val="000000" w:themeColor="text1"/>
          <w:sz w:val="22"/>
          <w:szCs w:val="22"/>
        </w:rPr>
        <w:t xml:space="preserve"> pašalinimo pagrindų, ar šio </w:t>
      </w:r>
      <w:r w:rsidR="00AB34E1" w:rsidRPr="00295D03">
        <w:rPr>
          <w:rFonts w:eastAsiaTheme="minorHAnsi" w:cstheme="minorHAnsi"/>
          <w:color w:val="000000" w:themeColor="text1"/>
          <w:sz w:val="22"/>
          <w:szCs w:val="22"/>
        </w:rPr>
        <w:t>tiekėjo</w:t>
      </w:r>
      <w:r w:rsidRPr="00295D03">
        <w:rPr>
          <w:rFonts w:eastAsiaTheme="minorHAnsi" w:cstheme="minorHAnsi"/>
          <w:color w:val="000000" w:themeColor="text1"/>
          <w:sz w:val="22"/>
          <w:szCs w:val="22"/>
        </w:rPr>
        <w:t xml:space="preserve"> kvalifikacija atitinka nustatytus reikalavimus ir, jeigu taikytina, ar šis </w:t>
      </w:r>
      <w:r w:rsidR="00AB34E1" w:rsidRPr="00295D03">
        <w:rPr>
          <w:rFonts w:eastAsiaTheme="minorHAnsi" w:cstheme="minorHAnsi"/>
          <w:color w:val="000000" w:themeColor="text1"/>
          <w:sz w:val="22"/>
          <w:szCs w:val="22"/>
        </w:rPr>
        <w:t>tiekėjas</w:t>
      </w:r>
      <w:r w:rsidRPr="00295D03">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25416953"/>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D171DD" w:rsidRDefault="00F57665" w:rsidP="009852E2">
      <w:pPr>
        <w:pStyle w:val="Sraopastraipa"/>
        <w:numPr>
          <w:ilvl w:val="1"/>
          <w:numId w:val="11"/>
        </w:numPr>
        <w:spacing w:after="0" w:line="240" w:lineRule="auto"/>
        <w:ind w:left="0" w:firstLine="567"/>
        <w:jc w:val="both"/>
        <w:rPr>
          <w:rFonts w:cstheme="minorHAnsi"/>
          <w:color w:val="000000" w:themeColor="text1"/>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D171DD">
        <w:rPr>
          <w:rFonts w:cstheme="minorHAnsi"/>
          <w:color w:val="000000" w:themeColor="text1"/>
          <w:sz w:val="22"/>
          <w:szCs w:val="22"/>
        </w:rPr>
        <w:t xml:space="preserve">sąlygų </w:t>
      </w:r>
      <w:r w:rsidR="00442563" w:rsidRPr="00D171DD">
        <w:rPr>
          <w:rFonts w:cstheme="minorHAnsi"/>
          <w:color w:val="000000" w:themeColor="text1"/>
          <w:sz w:val="22"/>
          <w:szCs w:val="22"/>
        </w:rPr>
        <w:t>5</w:t>
      </w:r>
      <w:r w:rsidR="00F04AAE" w:rsidRPr="00D171DD">
        <w:rPr>
          <w:rFonts w:cstheme="minorHAnsi"/>
          <w:color w:val="000000" w:themeColor="text1"/>
          <w:sz w:val="22"/>
          <w:szCs w:val="22"/>
        </w:rPr>
        <w:t xml:space="preserve"> </w:t>
      </w:r>
      <w:r w:rsidR="00D86901" w:rsidRPr="00D171DD">
        <w:rPr>
          <w:rFonts w:cstheme="minorHAnsi"/>
          <w:color w:val="000000" w:themeColor="text1"/>
          <w:sz w:val="22"/>
          <w:szCs w:val="22"/>
        </w:rPr>
        <w:t>priede „Sutarties projektas“</w:t>
      </w:r>
      <w:r w:rsidR="004B2DE4" w:rsidRPr="00D171DD">
        <w:rPr>
          <w:rFonts w:cstheme="minorHAnsi"/>
          <w:color w:val="000000" w:themeColor="text1"/>
          <w:sz w:val="22"/>
          <w:szCs w:val="22"/>
        </w:rPr>
        <w:t>.</w:t>
      </w:r>
    </w:p>
    <w:p w14:paraId="62CB5B95" w14:textId="350E24AE" w:rsidR="00F67688" w:rsidRPr="009852E2" w:rsidRDefault="00F67688" w:rsidP="0C59B014">
      <w:pPr>
        <w:pStyle w:val="Sraopastraipa"/>
        <w:numPr>
          <w:ilvl w:val="1"/>
          <w:numId w:val="11"/>
        </w:numPr>
        <w:suppressAutoHyphens/>
        <w:spacing w:after="0" w:line="240" w:lineRule="auto"/>
        <w:ind w:left="0" w:firstLine="710"/>
        <w:jc w:val="both"/>
        <w:rPr>
          <w:rFonts w:eastAsia="Times New Roman"/>
          <w:sz w:val="22"/>
          <w:szCs w:val="22"/>
          <w:lang w:eastAsia="en-US"/>
        </w:rPr>
      </w:pPr>
      <w:r w:rsidRPr="0C59B014">
        <w:rPr>
          <w:rFonts w:eastAsia="Calibri"/>
          <w:sz w:val="22"/>
          <w:szCs w:val="22"/>
        </w:rPr>
        <w:lastRenderedPageBreak/>
        <w:t xml:space="preserve">Perkančioji organizacija gali nuspręsti nesudaryti sutarties su ekonomiškai naudingiausią pasiūlymą pateikusiu tiekėju, jeigu paaiškėja, kad pasiūlymas neatitinka </w:t>
      </w:r>
      <w:r w:rsidR="38151AF2" w:rsidRPr="0C59B014">
        <w:rPr>
          <w:rFonts w:eastAsia="Calibri"/>
          <w:sz w:val="22"/>
          <w:szCs w:val="22"/>
        </w:rPr>
        <w:t>VPĮ</w:t>
      </w:r>
      <w:r w:rsidR="00D171DD">
        <w:rPr>
          <w:rFonts w:eastAsia="Calibri"/>
          <w:sz w:val="22"/>
          <w:szCs w:val="22"/>
        </w:rPr>
        <w:t xml:space="preserve"> </w:t>
      </w:r>
      <w:r w:rsidRPr="0C59B014">
        <w:rPr>
          <w:rFonts w:eastAsia="Calibri"/>
          <w:sz w:val="22"/>
          <w:szCs w:val="22"/>
        </w:rPr>
        <w:t>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195271834"/>
      <w:bookmarkStart w:id="57" w:name="_Toc225416954"/>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225416955"/>
      <w:r w:rsidRPr="007233E8">
        <w:rPr>
          <w:rFonts w:asciiTheme="minorHAnsi" w:hAnsiTheme="minorHAnsi" w:cstheme="minorHAnsi"/>
        </w:rPr>
        <w:t>Asmens duomenų tvarkymas</w:t>
      </w:r>
      <w:bookmarkEnd w:id="59"/>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2D3574" w:rsidRDefault="000631F1" w:rsidP="002D3574">
      <w:pPr>
        <w:ind w:left="6663"/>
        <w:rPr>
          <w:color w:val="0070C0"/>
        </w:rPr>
      </w:pPr>
      <w:bookmarkStart w:id="60" w:name="_Toc190416443"/>
      <w:r w:rsidRPr="002D3574">
        <w:rPr>
          <w:color w:val="0070C0"/>
        </w:rPr>
        <w:lastRenderedPageBreak/>
        <w:t>P</w:t>
      </w:r>
      <w:r w:rsidR="008F59C5" w:rsidRPr="002D3574">
        <w:rPr>
          <w:color w:val="0070C0"/>
        </w:rPr>
        <w:t xml:space="preserve">irkimo sąlygų </w:t>
      </w:r>
      <w:r w:rsidR="004B63DB" w:rsidRPr="002D3574">
        <w:rPr>
          <w:color w:val="0070C0"/>
        </w:rPr>
        <w:t>1</w:t>
      </w:r>
      <w:r w:rsidR="008F59C5" w:rsidRPr="002D3574">
        <w:rPr>
          <w:color w:val="0070C0"/>
        </w:rPr>
        <w:t xml:space="preserve"> priedas „Terminai“</w:t>
      </w:r>
      <w:bookmarkEnd w:id="60"/>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Pradedamas ne</w:t>
            </w:r>
            <w:r w:rsidRPr="00D171DD">
              <w:rPr>
                <w:rFonts w:cstheme="minorHAnsi"/>
                <w:color w:val="000000" w:themeColor="text1"/>
                <w:sz w:val="22"/>
                <w:szCs w:val="22"/>
              </w:rPr>
              <w:t xml:space="preserve"> anksčiau nei po </w:t>
            </w:r>
            <w:r w:rsidR="006B0247" w:rsidRPr="00D171DD">
              <w:rPr>
                <w:rFonts w:cstheme="minorHAnsi"/>
                <w:color w:val="000000" w:themeColor="text1"/>
                <w:sz w:val="22"/>
                <w:szCs w:val="22"/>
              </w:rPr>
              <w:t>30</w:t>
            </w:r>
            <w:r w:rsidRPr="00D171DD">
              <w:rPr>
                <w:rFonts w:cstheme="minorHAnsi"/>
                <w:color w:val="000000" w:themeColor="text1"/>
                <w:sz w:val="22"/>
                <w:szCs w:val="22"/>
              </w:rPr>
              <w:t xml:space="preserve"> </w:t>
            </w:r>
            <w:r w:rsidR="00724BAD" w:rsidRPr="00D171DD">
              <w:rPr>
                <w:rFonts w:cstheme="minorHAnsi"/>
                <w:color w:val="000000" w:themeColor="text1"/>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7A0046A4"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7972315" w:rsidR="00774AA5"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0ABFF9CE"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3A278C2D" w:rsidR="00774AA5" w:rsidRPr="000F5CB8" w:rsidRDefault="00774AA5" w:rsidP="000F5CB8">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506AD633" w:rsidR="00774AA5" w:rsidRPr="000F5CB8" w:rsidRDefault="58536623" w:rsidP="1CF31C72">
            <w:pPr>
              <w:spacing w:after="0" w:line="240" w:lineRule="auto"/>
              <w:rPr>
                <w:sz w:val="22"/>
                <w:szCs w:val="22"/>
              </w:rPr>
            </w:pPr>
            <w:r w:rsidRPr="000F5CB8">
              <w:rPr>
                <w:sz w:val="22"/>
                <w:szCs w:val="22"/>
              </w:rPr>
              <w:t>3 (trys) mėnesiai</w:t>
            </w:r>
            <w:r w:rsidR="00774AA5" w:rsidRPr="000F5CB8">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2039D5C6" w:rsidR="00774AA5" w:rsidRPr="00682B25" w:rsidRDefault="00774AA5" w:rsidP="000F5CB8">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F5CB8" w:rsidRDefault="000B4E01" w:rsidP="00451AF7">
            <w:pPr>
              <w:spacing w:after="0" w:line="240" w:lineRule="auto"/>
              <w:jc w:val="both"/>
              <w:rPr>
                <w:rFonts w:cstheme="minorHAnsi"/>
                <w:sz w:val="22"/>
                <w:szCs w:val="22"/>
              </w:rPr>
            </w:pPr>
            <w:r w:rsidRPr="000F5CB8">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F5CB8" w:rsidRDefault="00ED5B78" w:rsidP="00451AF7">
            <w:pPr>
              <w:spacing w:after="0" w:line="240" w:lineRule="auto"/>
              <w:jc w:val="both"/>
              <w:rPr>
                <w:rFonts w:cstheme="minorHAnsi"/>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09DF4453" w14:textId="5B7598EB" w:rsidR="00AB3E93" w:rsidRPr="009E3028" w:rsidRDefault="00AB3E93" w:rsidP="009E3028">
      <w:pPr>
        <w:rPr>
          <w:rFonts w:cstheme="minorHAnsi"/>
          <w:sz w:val="22"/>
          <w:szCs w:val="22"/>
        </w:rPr>
        <w:sectPr w:rsidR="00AB3E93" w:rsidRPr="009E3028" w:rsidSect="00C41719">
          <w:footerReference w:type="first" r:id="rId15"/>
          <w:pgSz w:w="12240" w:h="15840"/>
          <w:pgMar w:top="1134" w:right="567" w:bottom="1134" w:left="1701" w:header="720" w:footer="720" w:gutter="0"/>
          <w:pgNumType w:start="22"/>
          <w:cols w:space="720"/>
          <w:titlePg/>
          <w:docGrid w:linePitch="360"/>
        </w:sectPr>
      </w:pPr>
      <w:bookmarkStart w:id="61" w:name="_Pirkimo_sąlygų_2"/>
      <w:bookmarkStart w:id="62" w:name="_Ref39484039"/>
      <w:bookmarkStart w:id="63" w:name="_Ref40278562"/>
      <w:bookmarkStart w:id="64" w:name="_Toc190416450"/>
      <w:bookmarkStart w:id="65" w:name="_Ref38285444"/>
      <w:bookmarkStart w:id="66" w:name="_Ref38291496"/>
      <w:bookmarkStart w:id="67" w:name="_Toc190416445"/>
      <w:bookmarkEnd w:id="61"/>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2"/>
      <w:bookmarkEnd w:id="63"/>
      <w:bookmarkEnd w:id="64"/>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1F9EB2BB"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kriterijai:</w:t>
      </w:r>
      <w:r w:rsidR="00A45994">
        <w:rPr>
          <w:rFonts w:cstheme="minorHAnsi"/>
          <w:b/>
          <w:bCs/>
          <w:szCs w:val="21"/>
        </w:rPr>
        <w:t xml:space="preserve"> </w:t>
      </w:r>
      <w:r w:rsidR="00021E93" w:rsidRPr="00305AE6">
        <w:rPr>
          <w:rFonts w:eastAsia="Times New Roman"/>
          <w:color w:val="000000"/>
          <w:u w:color="000000"/>
          <w:lang w:eastAsia="en-GB"/>
        </w:rPr>
        <w:t>ekonomiškai naudingiausias pasiūlymas pirkime bus išrenkamas pagal kainos ir kokybės santykį, kuris bus apskaičiuojamas pagal toliau nurodomus kriterijus bei tvarką.</w:t>
      </w:r>
    </w:p>
    <w:p w14:paraId="6B1E319E" w14:textId="77777777" w:rsidR="00F74671" w:rsidRDefault="00F74671" w:rsidP="003C4B38">
      <w:pPr>
        <w:pStyle w:val="Body"/>
        <w:jc w:val="both"/>
        <w:rPr>
          <w:b/>
          <w:bCs/>
        </w:rPr>
      </w:pPr>
    </w:p>
    <w:p w14:paraId="65D79FEF" w14:textId="41336107" w:rsidR="003C4B38" w:rsidRPr="00F74671" w:rsidRDefault="003C4B38" w:rsidP="003C4B38">
      <w:pPr>
        <w:pStyle w:val="Body"/>
        <w:jc w:val="both"/>
        <w:rPr>
          <w:rFonts w:ascii="Calibri" w:hAnsi="Calibri" w:cs="Calibri"/>
          <w:b/>
          <w:bCs/>
          <w:sz w:val="21"/>
          <w:szCs w:val="21"/>
        </w:rPr>
      </w:pPr>
      <w:r w:rsidRPr="00F74671">
        <w:rPr>
          <w:rFonts w:ascii="Calibri" w:hAnsi="Calibri" w:cs="Calibri"/>
          <w:b/>
          <w:bCs/>
          <w:sz w:val="21"/>
          <w:szCs w:val="21"/>
        </w:rPr>
        <w:t>Lentelė 1. Ekonomiškai naudingiausio pasiūlymo (kainos ir kokybės santykio) vertinimo kriterijai.</w:t>
      </w:r>
    </w:p>
    <w:p w14:paraId="1C1F8784" w14:textId="77777777" w:rsidR="003C4B38" w:rsidRPr="00F74671" w:rsidRDefault="003C4B38" w:rsidP="003C4B38">
      <w:pPr>
        <w:pStyle w:val="Body"/>
        <w:jc w:val="both"/>
        <w:rPr>
          <w:rFonts w:ascii="Calibri" w:hAnsi="Calibri" w:cs="Calibri"/>
          <w:b/>
          <w:bCs/>
          <w:sz w:val="21"/>
          <w:szCs w:val="21"/>
        </w:rPr>
      </w:pPr>
    </w:p>
    <w:tbl>
      <w:tblPr>
        <w:tblStyle w:val="Lentelstinklelis"/>
        <w:tblW w:w="0" w:type="auto"/>
        <w:tblInd w:w="0" w:type="dxa"/>
        <w:tblLook w:val="04A0" w:firstRow="1" w:lastRow="0" w:firstColumn="1" w:lastColumn="0" w:noHBand="0" w:noVBand="1"/>
      </w:tblPr>
      <w:tblGrid>
        <w:gridCol w:w="540"/>
        <w:gridCol w:w="4842"/>
        <w:gridCol w:w="1559"/>
        <w:gridCol w:w="2681"/>
      </w:tblGrid>
      <w:tr w:rsidR="003C4B38" w:rsidRPr="00F74671" w14:paraId="42114A53" w14:textId="77777777" w:rsidTr="0027602C">
        <w:tc>
          <w:tcPr>
            <w:tcW w:w="540" w:type="dxa"/>
            <w:vAlign w:val="center"/>
          </w:tcPr>
          <w:p w14:paraId="009E97D1"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auto"/>
                <w:sz w:val="21"/>
                <w:szCs w:val="21"/>
              </w:rPr>
            </w:pPr>
            <w:r w:rsidRPr="00F74671">
              <w:rPr>
                <w:rFonts w:ascii="Calibri" w:hAnsi="Calibri" w:cs="Calibri"/>
                <w:b/>
                <w:bCs/>
                <w:color w:val="auto"/>
                <w:sz w:val="21"/>
                <w:szCs w:val="21"/>
              </w:rPr>
              <w:t>Eil. Nr.</w:t>
            </w:r>
          </w:p>
        </w:tc>
        <w:tc>
          <w:tcPr>
            <w:tcW w:w="4842" w:type="dxa"/>
            <w:vAlign w:val="center"/>
          </w:tcPr>
          <w:p w14:paraId="5F32DDA1"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auto"/>
                <w:sz w:val="21"/>
                <w:szCs w:val="21"/>
              </w:rPr>
            </w:pPr>
            <w:r w:rsidRPr="00F74671">
              <w:rPr>
                <w:rFonts w:ascii="Calibri" w:hAnsi="Calibri" w:cs="Calibri"/>
                <w:b/>
                <w:bCs/>
                <w:color w:val="auto"/>
                <w:sz w:val="21"/>
                <w:szCs w:val="21"/>
              </w:rPr>
              <w:t>Ekonomiškai naudingiausio (kainos ir kokybės santykio) pasiūlymo vertinimo kriterijai</w:t>
            </w:r>
          </w:p>
        </w:tc>
        <w:tc>
          <w:tcPr>
            <w:tcW w:w="1559" w:type="dxa"/>
            <w:vAlign w:val="center"/>
          </w:tcPr>
          <w:p w14:paraId="3D6D45E0"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auto"/>
                <w:sz w:val="21"/>
                <w:szCs w:val="21"/>
              </w:rPr>
            </w:pPr>
            <w:r w:rsidRPr="00F74671">
              <w:rPr>
                <w:rFonts w:ascii="Calibri" w:hAnsi="Calibri" w:cs="Calibri"/>
                <w:b/>
                <w:bCs/>
                <w:color w:val="auto"/>
                <w:sz w:val="21"/>
                <w:szCs w:val="21"/>
              </w:rPr>
              <w:t>Lyginamasis svoris</w:t>
            </w:r>
          </w:p>
        </w:tc>
        <w:tc>
          <w:tcPr>
            <w:tcW w:w="2681" w:type="dxa"/>
            <w:vAlign w:val="center"/>
          </w:tcPr>
          <w:p w14:paraId="241E8642"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color w:val="auto"/>
                <w:sz w:val="21"/>
                <w:szCs w:val="21"/>
              </w:rPr>
            </w:pPr>
            <w:r w:rsidRPr="00F74671">
              <w:rPr>
                <w:rFonts w:ascii="Calibri" w:hAnsi="Calibri" w:cs="Calibri"/>
                <w:b/>
                <w:bCs/>
                <w:color w:val="auto"/>
                <w:sz w:val="21"/>
                <w:szCs w:val="21"/>
              </w:rPr>
              <w:t>Lyginamasis svoris ekonominio naudingumo vertinime</w:t>
            </w:r>
          </w:p>
        </w:tc>
      </w:tr>
      <w:tr w:rsidR="003C4B38" w:rsidRPr="00F74671" w14:paraId="41296E50" w14:textId="77777777" w:rsidTr="0027602C">
        <w:tc>
          <w:tcPr>
            <w:tcW w:w="540" w:type="dxa"/>
            <w:vAlign w:val="center"/>
          </w:tcPr>
          <w:p w14:paraId="2C5D1C68"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1"/>
                <w:szCs w:val="21"/>
              </w:rPr>
            </w:pPr>
            <w:r w:rsidRPr="00F74671">
              <w:rPr>
                <w:rFonts w:ascii="Calibri" w:hAnsi="Calibri" w:cs="Calibri"/>
                <w:color w:val="auto"/>
                <w:sz w:val="21"/>
                <w:szCs w:val="21"/>
              </w:rPr>
              <w:t>1</w:t>
            </w:r>
          </w:p>
        </w:tc>
        <w:tc>
          <w:tcPr>
            <w:tcW w:w="4842" w:type="dxa"/>
          </w:tcPr>
          <w:p w14:paraId="0B179BD9"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1"/>
                <w:szCs w:val="21"/>
              </w:rPr>
            </w:pPr>
            <w:r w:rsidRPr="00F74671">
              <w:rPr>
                <w:rFonts w:ascii="Calibri" w:hAnsi="Calibri" w:cs="Calibri"/>
                <w:color w:val="auto"/>
                <w:sz w:val="21"/>
                <w:szCs w:val="21"/>
              </w:rPr>
              <w:t>Bendra pasiūlymo kaina (K)</w:t>
            </w:r>
          </w:p>
        </w:tc>
        <w:tc>
          <w:tcPr>
            <w:tcW w:w="1559" w:type="dxa"/>
            <w:vAlign w:val="center"/>
          </w:tcPr>
          <w:p w14:paraId="23C2940C"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1"/>
                <w:szCs w:val="21"/>
              </w:rPr>
            </w:pPr>
            <w:r w:rsidRPr="00F74671">
              <w:rPr>
                <w:rFonts w:ascii="Calibri" w:hAnsi="Calibri" w:cs="Calibri"/>
                <w:i/>
                <w:iCs/>
                <w:color w:val="auto"/>
                <w:sz w:val="21"/>
                <w:szCs w:val="21"/>
              </w:rPr>
              <w:t> </w:t>
            </w:r>
          </w:p>
        </w:tc>
        <w:tc>
          <w:tcPr>
            <w:tcW w:w="2681" w:type="dxa"/>
          </w:tcPr>
          <w:p w14:paraId="7AB65D62"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1"/>
                <w:szCs w:val="21"/>
              </w:rPr>
            </w:pPr>
            <w:r w:rsidRPr="00F74671">
              <w:rPr>
                <w:rFonts w:ascii="Calibri" w:hAnsi="Calibri" w:cs="Calibri"/>
                <w:color w:val="auto"/>
                <w:sz w:val="21"/>
                <w:szCs w:val="21"/>
              </w:rPr>
              <w:t>X=65</w:t>
            </w:r>
          </w:p>
        </w:tc>
      </w:tr>
      <w:tr w:rsidR="003C4B38" w:rsidRPr="00F74671" w14:paraId="5AC007D5" w14:textId="77777777" w:rsidTr="0027602C">
        <w:tc>
          <w:tcPr>
            <w:tcW w:w="540" w:type="dxa"/>
            <w:vAlign w:val="center"/>
          </w:tcPr>
          <w:p w14:paraId="6D79DAB0"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1"/>
                <w:szCs w:val="21"/>
              </w:rPr>
            </w:pPr>
            <w:r w:rsidRPr="00F74671">
              <w:rPr>
                <w:rFonts w:ascii="Calibri" w:hAnsi="Calibri" w:cs="Calibri"/>
                <w:color w:val="auto"/>
                <w:sz w:val="21"/>
                <w:szCs w:val="21"/>
              </w:rPr>
              <w:t>2</w:t>
            </w:r>
          </w:p>
        </w:tc>
        <w:tc>
          <w:tcPr>
            <w:tcW w:w="4842" w:type="dxa"/>
          </w:tcPr>
          <w:p w14:paraId="76C773CA"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auto"/>
                <w:sz w:val="21"/>
                <w:szCs w:val="21"/>
              </w:rPr>
            </w:pPr>
            <w:r w:rsidRPr="00F74671">
              <w:rPr>
                <w:rFonts w:ascii="Calibri" w:hAnsi="Calibri" w:cs="Calibri"/>
                <w:color w:val="auto"/>
                <w:sz w:val="21"/>
                <w:szCs w:val="21"/>
              </w:rPr>
              <w:t>Analizatorių techninės charakteristikos ir metodiniai reikalavimai (T)</w:t>
            </w:r>
          </w:p>
        </w:tc>
        <w:tc>
          <w:tcPr>
            <w:tcW w:w="1559" w:type="dxa"/>
            <w:vAlign w:val="center"/>
          </w:tcPr>
          <w:p w14:paraId="5CB21546"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auto"/>
                <w:sz w:val="21"/>
                <w:szCs w:val="21"/>
              </w:rPr>
            </w:pPr>
            <w:r w:rsidRPr="00F74671">
              <w:rPr>
                <w:rFonts w:ascii="Calibri" w:hAnsi="Calibri" w:cs="Calibri"/>
                <w:i/>
                <w:iCs/>
                <w:color w:val="auto"/>
                <w:sz w:val="21"/>
                <w:szCs w:val="21"/>
              </w:rPr>
              <w:t> </w:t>
            </w:r>
          </w:p>
        </w:tc>
        <w:tc>
          <w:tcPr>
            <w:tcW w:w="2681" w:type="dxa"/>
          </w:tcPr>
          <w:p w14:paraId="36E7193D"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auto"/>
                <w:sz w:val="21"/>
                <w:szCs w:val="21"/>
              </w:rPr>
            </w:pPr>
            <w:r w:rsidRPr="00F74671">
              <w:rPr>
                <w:rFonts w:ascii="Calibri" w:hAnsi="Calibri" w:cs="Calibri"/>
                <w:color w:val="auto"/>
                <w:sz w:val="21"/>
                <w:szCs w:val="21"/>
              </w:rPr>
              <w:t>Y=35</w:t>
            </w:r>
          </w:p>
        </w:tc>
      </w:tr>
    </w:tbl>
    <w:p w14:paraId="13F96BF2" w14:textId="77777777" w:rsidR="003C4B38" w:rsidRPr="00F74671" w:rsidRDefault="003C4B38" w:rsidP="003C4B38">
      <w:pPr>
        <w:pStyle w:val="Body"/>
        <w:jc w:val="both"/>
        <w:rPr>
          <w:rFonts w:ascii="Calibri" w:hAnsi="Calibri" w:cs="Calibri"/>
          <w:b/>
          <w:bCs/>
          <w:sz w:val="21"/>
          <w:szCs w:val="21"/>
        </w:rPr>
      </w:pPr>
    </w:p>
    <w:p w14:paraId="62AED62A" w14:textId="77777777" w:rsidR="003C4B38" w:rsidRPr="00F74671" w:rsidRDefault="003C4B38" w:rsidP="00F74671">
      <w:pPr>
        <w:pStyle w:val="Body"/>
        <w:numPr>
          <w:ilvl w:val="0"/>
          <w:numId w:val="47"/>
        </w:numPr>
        <w:jc w:val="both"/>
        <w:rPr>
          <w:rFonts w:ascii="Calibri" w:hAnsi="Calibri" w:cs="Calibri"/>
          <w:sz w:val="21"/>
          <w:szCs w:val="21"/>
        </w:rPr>
      </w:pPr>
      <w:r w:rsidRPr="00F74671">
        <w:rPr>
          <w:rFonts w:ascii="Calibri" w:hAnsi="Calibri" w:cs="Calibri"/>
          <w:b/>
          <w:bCs/>
          <w:sz w:val="21"/>
          <w:szCs w:val="21"/>
        </w:rPr>
        <w:t>Pasiūlymo ekonominis naudingumas (kainos ir kokybės santykis) (S)</w:t>
      </w:r>
      <w:r w:rsidRPr="00F74671">
        <w:rPr>
          <w:rFonts w:ascii="Calibri" w:hAnsi="Calibri" w:cs="Calibri"/>
          <w:sz w:val="21"/>
          <w:szCs w:val="21"/>
        </w:rPr>
        <w:t xml:space="preserve"> apskaičiuojamas sudedant tiekėjo pasiūlymo kainos (K) ir ekonomiškai naudingo kriterijaus (T) lyginamuosius svorius:</w:t>
      </w:r>
    </w:p>
    <w:p w14:paraId="685AEC63" w14:textId="77777777" w:rsidR="003C4B38" w:rsidRPr="00F74671" w:rsidRDefault="003C4B38" w:rsidP="003C4B38">
      <w:pPr>
        <w:pStyle w:val="Body"/>
        <w:ind w:left="426"/>
        <w:jc w:val="both"/>
        <w:rPr>
          <w:rFonts w:ascii="Calibri" w:hAnsi="Calibri" w:cs="Calibri"/>
          <w:sz w:val="21"/>
          <w:szCs w:val="21"/>
        </w:rPr>
      </w:pPr>
      <m:oMathPara>
        <m:oMath>
          <m:r>
            <w:rPr>
              <w:rFonts w:ascii="Cambria Math" w:hAnsi="Cambria Math" w:cs="Calibri"/>
              <w:sz w:val="21"/>
              <w:szCs w:val="21"/>
            </w:rPr>
            <m:t>S=K+T</m:t>
          </m:r>
        </m:oMath>
      </m:oMathPara>
    </w:p>
    <w:p w14:paraId="032B77B9" w14:textId="77777777" w:rsidR="003C4B38" w:rsidRPr="00F74671" w:rsidRDefault="003C4B38" w:rsidP="003C4B38">
      <w:pPr>
        <w:pStyle w:val="Body"/>
        <w:ind w:left="426"/>
        <w:jc w:val="both"/>
        <w:rPr>
          <w:rFonts w:ascii="Calibri" w:hAnsi="Calibri" w:cs="Calibri"/>
          <w:sz w:val="21"/>
          <w:szCs w:val="21"/>
        </w:rPr>
      </w:pPr>
    </w:p>
    <w:p w14:paraId="359C9AF2" w14:textId="77777777" w:rsidR="003C4B38" w:rsidRPr="00F74671" w:rsidRDefault="003C4B38" w:rsidP="003C4B38">
      <w:pPr>
        <w:pStyle w:val="Body"/>
        <w:numPr>
          <w:ilvl w:val="0"/>
          <w:numId w:val="47"/>
        </w:numPr>
        <w:jc w:val="both"/>
        <w:rPr>
          <w:rFonts w:ascii="Calibri" w:hAnsi="Calibri" w:cs="Calibri"/>
          <w:sz w:val="21"/>
          <w:szCs w:val="21"/>
        </w:rPr>
      </w:pPr>
      <w:r w:rsidRPr="00F74671">
        <w:rPr>
          <w:rFonts w:ascii="Calibri" w:hAnsi="Calibri" w:cs="Calibri"/>
          <w:b/>
          <w:bCs/>
          <w:sz w:val="21"/>
          <w:szCs w:val="21"/>
        </w:rPr>
        <w:t>Pasiūlymo kainos kriterijus (K)</w:t>
      </w:r>
      <w:r w:rsidRPr="00F74671">
        <w:rPr>
          <w:rFonts w:ascii="Calibri" w:hAnsi="Calibri" w:cs="Calibri"/>
          <w:sz w:val="21"/>
          <w:szCs w:val="21"/>
        </w:rPr>
        <w:t xml:space="preserve"> bus vertinamas pagal tiekėjų bendrąją pasiūlymo kainą eurais (su PVM), nurodytą Techninės specifikacijos lape Nr. 2 „Tyrimų įkainiai, prekių sąrašas“.</w:t>
      </w:r>
    </w:p>
    <w:p w14:paraId="53F10C3C" w14:textId="77777777" w:rsidR="003C4B38" w:rsidRPr="00F74671" w:rsidRDefault="003C4B38" w:rsidP="003C4B38">
      <w:pPr>
        <w:pStyle w:val="Body"/>
        <w:jc w:val="both"/>
        <w:rPr>
          <w:rFonts w:ascii="Calibri" w:hAnsi="Calibri" w:cs="Calibri"/>
          <w:sz w:val="21"/>
          <w:szCs w:val="21"/>
        </w:rPr>
      </w:pPr>
    </w:p>
    <w:p w14:paraId="616F2DDD" w14:textId="77777777" w:rsidR="003C4B38" w:rsidRPr="00F74671" w:rsidRDefault="003C4B38" w:rsidP="003C4B38">
      <w:pPr>
        <w:pStyle w:val="Body"/>
        <w:numPr>
          <w:ilvl w:val="1"/>
          <w:numId w:val="47"/>
        </w:numPr>
        <w:jc w:val="both"/>
        <w:rPr>
          <w:rFonts w:ascii="Calibri" w:hAnsi="Calibri" w:cs="Calibri"/>
          <w:sz w:val="21"/>
          <w:szCs w:val="21"/>
        </w:rPr>
      </w:pPr>
      <w:r w:rsidRPr="00F74671">
        <w:rPr>
          <w:rFonts w:ascii="Calibri" w:hAnsi="Calibri" w:cs="Calibri"/>
          <w:sz w:val="21"/>
          <w:szCs w:val="21"/>
        </w:rPr>
        <w:t>Tiekėjo pasiūlymo kainos (K) lyginamasis svoris yra apskaičiuojamas mažiausios pasiūlytos bendrosios tyrimų pasiūlymo kainos eurais (su PVM) (</w:t>
      </w:r>
      <w:proofErr w:type="spellStart"/>
      <w:r w:rsidRPr="00F74671">
        <w:rPr>
          <w:rFonts w:ascii="Calibri" w:hAnsi="Calibri" w:cs="Calibri"/>
          <w:sz w:val="21"/>
          <w:szCs w:val="21"/>
        </w:rPr>
        <w:t>K</w:t>
      </w:r>
      <w:r w:rsidRPr="00F74671">
        <w:rPr>
          <w:rFonts w:ascii="Calibri" w:hAnsi="Calibri" w:cs="Calibri"/>
          <w:sz w:val="21"/>
          <w:szCs w:val="21"/>
          <w:vertAlign w:val="subscript"/>
        </w:rPr>
        <w:t>min</w:t>
      </w:r>
      <w:proofErr w:type="spellEnd"/>
      <w:r w:rsidRPr="00F74671">
        <w:rPr>
          <w:rFonts w:ascii="Calibri" w:hAnsi="Calibri" w:cs="Calibri"/>
          <w:sz w:val="21"/>
          <w:szCs w:val="21"/>
        </w:rPr>
        <w:t>) ir vertinamo pasiūlymo bendrosios tyrimų pasiūlymo kainos eurais (su PVM) (K</w:t>
      </w:r>
      <w:r w:rsidRPr="00F74671">
        <w:rPr>
          <w:rFonts w:ascii="Calibri" w:hAnsi="Calibri" w:cs="Calibri"/>
          <w:sz w:val="21"/>
          <w:szCs w:val="21"/>
          <w:vertAlign w:val="subscript"/>
        </w:rPr>
        <w:t>P</w:t>
      </w:r>
      <w:r w:rsidRPr="00F74671">
        <w:rPr>
          <w:rFonts w:ascii="Calibri" w:hAnsi="Calibri" w:cs="Calibri"/>
          <w:sz w:val="21"/>
          <w:szCs w:val="21"/>
        </w:rPr>
        <w:t>) santykį padauginant iš kainos lyginamojo svorio (X):</w:t>
      </w:r>
    </w:p>
    <w:p w14:paraId="013F6FD9" w14:textId="77777777" w:rsidR="003C4B38" w:rsidRPr="00F74671" w:rsidRDefault="003C4B38" w:rsidP="003C4B38">
      <w:pPr>
        <w:pStyle w:val="Body"/>
        <w:jc w:val="both"/>
        <w:rPr>
          <w:rFonts w:ascii="Calibri" w:hAnsi="Calibri" w:cs="Calibri"/>
          <w:sz w:val="21"/>
          <w:szCs w:val="21"/>
        </w:rPr>
      </w:pPr>
      <m:oMathPara>
        <m:oMath>
          <m:r>
            <w:rPr>
              <w:rFonts w:ascii="Cambria Math" w:hAnsi="Cambria Math" w:cs="Calibri"/>
              <w:sz w:val="21"/>
              <w:szCs w:val="21"/>
            </w:rPr>
            <m:t>K=</m:t>
          </m:r>
          <m:f>
            <m:fPr>
              <m:ctrlPr>
                <w:rPr>
                  <w:rFonts w:ascii="Cambria Math" w:hAnsi="Cambria Math" w:cs="Calibri"/>
                  <w:i/>
                  <w:sz w:val="21"/>
                  <w:szCs w:val="21"/>
                </w:rPr>
              </m:ctrlPr>
            </m:fPr>
            <m:num>
              <m:sSub>
                <m:sSubPr>
                  <m:ctrlPr>
                    <w:rPr>
                      <w:rFonts w:ascii="Cambria Math" w:hAnsi="Cambria Math" w:cs="Calibri"/>
                      <w:sz w:val="21"/>
                      <w:szCs w:val="21"/>
                    </w:rPr>
                  </m:ctrlPr>
                </m:sSubPr>
                <m:e>
                  <m:r>
                    <w:rPr>
                      <w:rFonts w:ascii="Cambria Math" w:hAnsi="Cambria Math" w:cs="Calibri"/>
                      <w:sz w:val="21"/>
                      <w:szCs w:val="21"/>
                    </w:rPr>
                    <m:t>K</m:t>
                  </m:r>
                </m:e>
                <m:sub>
                  <m:r>
                    <w:rPr>
                      <w:rFonts w:ascii="Cambria Math" w:hAnsi="Cambria Math" w:cs="Calibri"/>
                      <w:sz w:val="21"/>
                      <w:szCs w:val="21"/>
                    </w:rPr>
                    <m:t>min</m:t>
                  </m:r>
                </m:sub>
              </m:sSub>
            </m:num>
            <m:den>
              <m:sSub>
                <m:sSubPr>
                  <m:ctrlPr>
                    <w:rPr>
                      <w:rFonts w:ascii="Cambria Math" w:hAnsi="Cambria Math" w:cs="Calibri"/>
                      <w:sz w:val="21"/>
                      <w:szCs w:val="21"/>
                    </w:rPr>
                  </m:ctrlPr>
                </m:sSubPr>
                <m:e>
                  <m:r>
                    <w:rPr>
                      <w:rFonts w:ascii="Cambria Math" w:hAnsi="Cambria Math" w:cs="Calibri"/>
                      <w:sz w:val="21"/>
                      <w:szCs w:val="21"/>
                    </w:rPr>
                    <m:t>K</m:t>
                  </m:r>
                </m:e>
                <m:sub>
                  <m:r>
                    <w:rPr>
                      <w:rFonts w:ascii="Cambria Math" w:hAnsi="Cambria Math" w:cs="Calibri"/>
                      <w:sz w:val="21"/>
                      <w:szCs w:val="21"/>
                    </w:rPr>
                    <m:t>P</m:t>
                  </m:r>
                </m:sub>
              </m:sSub>
            </m:den>
          </m:f>
          <m:r>
            <w:rPr>
              <w:rFonts w:ascii="Cambria Math" w:hAnsi="Cambria Math" w:cs="Calibri"/>
              <w:sz w:val="21"/>
              <w:szCs w:val="21"/>
            </w:rPr>
            <m:t>×X</m:t>
          </m:r>
        </m:oMath>
      </m:oMathPara>
    </w:p>
    <w:p w14:paraId="79B29545" w14:textId="77777777" w:rsidR="003C4B38" w:rsidRPr="00F74671" w:rsidRDefault="003C4B38" w:rsidP="003C4B38">
      <w:pPr>
        <w:pStyle w:val="Body"/>
        <w:jc w:val="both"/>
        <w:rPr>
          <w:rFonts w:ascii="Calibri" w:hAnsi="Calibri" w:cs="Calibri"/>
          <w:sz w:val="21"/>
          <w:szCs w:val="21"/>
        </w:rPr>
      </w:pPr>
    </w:p>
    <w:p w14:paraId="5315762C" w14:textId="77777777" w:rsidR="003C4B38" w:rsidRPr="00F74671" w:rsidRDefault="003C4B38" w:rsidP="003C4B38">
      <w:pPr>
        <w:pStyle w:val="Body"/>
        <w:numPr>
          <w:ilvl w:val="0"/>
          <w:numId w:val="47"/>
        </w:numPr>
        <w:jc w:val="both"/>
        <w:rPr>
          <w:rFonts w:ascii="Calibri" w:hAnsi="Calibri" w:cs="Calibri"/>
          <w:sz w:val="21"/>
          <w:szCs w:val="21"/>
        </w:rPr>
      </w:pPr>
      <w:r w:rsidRPr="00F74671">
        <w:rPr>
          <w:rFonts w:ascii="Calibri" w:hAnsi="Calibri" w:cs="Calibri"/>
          <w:b/>
          <w:bCs/>
          <w:sz w:val="21"/>
          <w:szCs w:val="21"/>
        </w:rPr>
        <w:t>Analizatorių techninių charakteristikų ir metodinių reikalavimų kriterijus (T)</w:t>
      </w:r>
      <w:r w:rsidRPr="00F74671">
        <w:rPr>
          <w:rFonts w:ascii="Calibri" w:hAnsi="Calibri" w:cs="Calibri"/>
          <w:sz w:val="21"/>
          <w:szCs w:val="21"/>
        </w:rPr>
        <w:t xml:space="preserve"> bus vertinamas pagal tiekėjų su pasiūlymais pateiktą techninę dokumentaciją. T kriterijų sudaro 9 parametrai (A</w:t>
      </w:r>
      <w:r w:rsidRPr="00F74671">
        <w:rPr>
          <w:rFonts w:ascii="Calibri" w:hAnsi="Calibri" w:cs="Calibri"/>
          <w:sz w:val="21"/>
          <w:szCs w:val="21"/>
          <w:vertAlign w:val="subscript"/>
        </w:rPr>
        <w:t>1</w:t>
      </w:r>
      <w:r w:rsidRPr="00F74671">
        <w:rPr>
          <w:rFonts w:ascii="Calibri" w:hAnsi="Calibri" w:cs="Calibri"/>
          <w:sz w:val="21"/>
          <w:szCs w:val="21"/>
        </w:rPr>
        <w:t xml:space="preserve"> – A</w:t>
      </w:r>
      <w:r w:rsidRPr="00F74671">
        <w:rPr>
          <w:rFonts w:ascii="Calibri" w:hAnsi="Calibri" w:cs="Calibri"/>
          <w:sz w:val="21"/>
          <w:szCs w:val="21"/>
          <w:vertAlign w:val="subscript"/>
        </w:rPr>
        <w:t>9</w:t>
      </w:r>
      <w:r w:rsidRPr="00F74671">
        <w:rPr>
          <w:rFonts w:ascii="Calibri" w:hAnsi="Calibri" w:cs="Calibri"/>
          <w:sz w:val="21"/>
          <w:szCs w:val="21"/>
        </w:rPr>
        <w:t xml:space="preserve"> parametrai ir jiems suteikiamų balų skaičius lentelėje 2 žemiau ir Techninės specifikacijos </w:t>
      </w:r>
      <w:r w:rsidRPr="00F74671">
        <w:rPr>
          <w:rFonts w:ascii="Calibri" w:hAnsi="Calibri" w:cs="Calibri"/>
          <w:i/>
          <w:iCs/>
          <w:sz w:val="21"/>
          <w:szCs w:val="21"/>
        </w:rPr>
        <w:t>Excel</w:t>
      </w:r>
      <w:r w:rsidRPr="00F74671">
        <w:rPr>
          <w:rFonts w:ascii="Calibri" w:hAnsi="Calibri" w:cs="Calibri"/>
          <w:sz w:val="21"/>
          <w:szCs w:val="21"/>
        </w:rPr>
        <w:t xml:space="preserve"> lentelėje Nr. 5 „Ekonominis naudingumas (T)“). </w:t>
      </w:r>
    </w:p>
    <w:p w14:paraId="79634FF8" w14:textId="77777777" w:rsidR="003C4B38" w:rsidRPr="00F74671" w:rsidRDefault="003C4B38" w:rsidP="003C4B38">
      <w:pPr>
        <w:pStyle w:val="Body"/>
        <w:jc w:val="both"/>
        <w:rPr>
          <w:rFonts w:ascii="Calibri" w:hAnsi="Calibri" w:cs="Calibri"/>
          <w:sz w:val="21"/>
          <w:szCs w:val="21"/>
        </w:rPr>
      </w:pPr>
    </w:p>
    <w:p w14:paraId="71FFE310" w14:textId="17D8CE54" w:rsidR="003C4B38" w:rsidRPr="00F74671" w:rsidRDefault="003C4B38" w:rsidP="003C4B38">
      <w:pPr>
        <w:pStyle w:val="Body"/>
        <w:jc w:val="both"/>
        <w:rPr>
          <w:rFonts w:ascii="Calibri" w:hAnsi="Calibri" w:cs="Calibri"/>
          <w:b/>
          <w:bCs/>
          <w:sz w:val="21"/>
          <w:szCs w:val="21"/>
        </w:rPr>
      </w:pPr>
      <w:r w:rsidRPr="127C8566">
        <w:rPr>
          <w:rFonts w:ascii="Calibri" w:hAnsi="Calibri" w:cs="Calibri"/>
          <w:b/>
          <w:bCs/>
          <w:sz w:val="21"/>
          <w:szCs w:val="21"/>
        </w:rPr>
        <w:t>Lentelė 2. T kriterijaus papildomų/neprivalomų (ekonomiškai naudingų) parametrų sąrašas (A</w:t>
      </w:r>
      <w:r w:rsidRPr="127C8566">
        <w:rPr>
          <w:rFonts w:ascii="Calibri" w:hAnsi="Calibri" w:cs="Calibri"/>
          <w:b/>
          <w:bCs/>
          <w:sz w:val="21"/>
          <w:szCs w:val="21"/>
          <w:vertAlign w:val="subscript"/>
        </w:rPr>
        <w:t>1</w:t>
      </w:r>
      <w:r w:rsidRPr="127C8566">
        <w:rPr>
          <w:rFonts w:ascii="Calibri" w:hAnsi="Calibri" w:cs="Calibri"/>
          <w:b/>
          <w:bCs/>
          <w:sz w:val="21"/>
          <w:szCs w:val="21"/>
        </w:rPr>
        <w:t xml:space="preserve"> – A</w:t>
      </w:r>
      <w:r w:rsidRPr="127C8566">
        <w:rPr>
          <w:rFonts w:ascii="Calibri" w:hAnsi="Calibri" w:cs="Calibri"/>
          <w:b/>
          <w:bCs/>
          <w:sz w:val="21"/>
          <w:szCs w:val="21"/>
          <w:vertAlign w:val="subscript"/>
        </w:rPr>
        <w:t>9</w:t>
      </w:r>
      <w:r w:rsidRPr="127C8566">
        <w:rPr>
          <w:rFonts w:ascii="Calibri" w:hAnsi="Calibri" w:cs="Calibri"/>
          <w:b/>
          <w:bCs/>
          <w:sz w:val="21"/>
          <w:szCs w:val="21"/>
        </w:rPr>
        <w:t xml:space="preserve">). </w:t>
      </w:r>
    </w:p>
    <w:tbl>
      <w:tblPr>
        <w:tblStyle w:val="Lentelstinklelis"/>
        <w:tblW w:w="9631" w:type="dxa"/>
        <w:tblInd w:w="0" w:type="dxa"/>
        <w:tblLook w:val="04A0" w:firstRow="1" w:lastRow="0" w:firstColumn="1" w:lastColumn="0" w:noHBand="0" w:noVBand="1"/>
      </w:tblPr>
      <w:tblGrid>
        <w:gridCol w:w="6516"/>
        <w:gridCol w:w="1559"/>
        <w:gridCol w:w="1556"/>
      </w:tblGrid>
      <w:tr w:rsidR="003C4B38" w:rsidRPr="00F74671" w14:paraId="0068CA8D" w14:textId="77777777" w:rsidTr="0027602C">
        <w:trPr>
          <w:cantSplit/>
          <w:tblHeader/>
        </w:trPr>
        <w:tc>
          <w:tcPr>
            <w:tcW w:w="6516" w:type="dxa"/>
          </w:tcPr>
          <w:p w14:paraId="00B6D454"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1"/>
                <w:szCs w:val="21"/>
              </w:rPr>
            </w:pPr>
            <w:r w:rsidRPr="00F74671">
              <w:rPr>
                <w:rFonts w:ascii="Calibri" w:hAnsi="Calibri" w:cs="Calibri"/>
                <w:b/>
                <w:bCs/>
                <w:sz w:val="21"/>
                <w:szCs w:val="21"/>
              </w:rPr>
              <w:t>Ekonomiškai naudingas reikalavimas įrangai ir metodams</w:t>
            </w:r>
          </w:p>
        </w:tc>
        <w:tc>
          <w:tcPr>
            <w:tcW w:w="1559" w:type="dxa"/>
          </w:tcPr>
          <w:p w14:paraId="00FC4335"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1"/>
                <w:szCs w:val="21"/>
              </w:rPr>
            </w:pPr>
            <w:r w:rsidRPr="00F74671">
              <w:rPr>
                <w:rFonts w:ascii="Calibri" w:hAnsi="Calibri" w:cs="Calibri"/>
                <w:b/>
                <w:bCs/>
                <w:sz w:val="21"/>
                <w:szCs w:val="21"/>
              </w:rPr>
              <w:t>Skiriamų balų skaičius</w:t>
            </w:r>
          </w:p>
        </w:tc>
        <w:tc>
          <w:tcPr>
            <w:tcW w:w="1556" w:type="dxa"/>
          </w:tcPr>
          <w:p w14:paraId="68AAED91"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1"/>
                <w:szCs w:val="21"/>
              </w:rPr>
            </w:pPr>
            <w:r w:rsidRPr="00F74671">
              <w:rPr>
                <w:rFonts w:ascii="Calibri" w:hAnsi="Calibri" w:cs="Calibri"/>
                <w:b/>
                <w:bCs/>
                <w:sz w:val="21"/>
                <w:szCs w:val="21"/>
              </w:rPr>
              <w:t>T  šifras</w:t>
            </w:r>
          </w:p>
        </w:tc>
      </w:tr>
      <w:tr w:rsidR="003C4B38" w:rsidRPr="00F74671" w14:paraId="3DD9F3F9" w14:textId="77777777" w:rsidTr="0027602C">
        <w:trPr>
          <w:cantSplit/>
        </w:trPr>
        <w:tc>
          <w:tcPr>
            <w:tcW w:w="6516" w:type="dxa"/>
          </w:tcPr>
          <w:p w14:paraId="4F2F398C" w14:textId="77777777" w:rsidR="003C4B38" w:rsidRPr="00F74671" w:rsidRDefault="003C4B38" w:rsidP="0027602C">
            <w:pPr>
              <w:rPr>
                <w:rFonts w:ascii="Calibri" w:hAnsi="Calibri" w:cs="Calibri"/>
                <w:sz w:val="21"/>
                <w:szCs w:val="21"/>
              </w:rPr>
            </w:pPr>
            <w:proofErr w:type="spellStart"/>
            <w:r w:rsidRPr="00F74671">
              <w:rPr>
                <w:rFonts w:ascii="Calibri" w:hAnsi="Calibri" w:cs="Calibri"/>
                <w:sz w:val="21"/>
                <w:szCs w:val="21"/>
              </w:rPr>
              <w:t>Koaguliometrinių</w:t>
            </w:r>
            <w:proofErr w:type="spellEnd"/>
            <w:r w:rsidRPr="00F74671">
              <w:rPr>
                <w:rFonts w:ascii="Calibri" w:hAnsi="Calibri" w:cs="Calibri"/>
                <w:sz w:val="21"/>
                <w:szCs w:val="21"/>
              </w:rPr>
              <w:t xml:space="preserve"> tyrimų krešulio detekcijos principas yra elektromechaninis.</w:t>
            </w:r>
          </w:p>
        </w:tc>
        <w:tc>
          <w:tcPr>
            <w:tcW w:w="1559" w:type="dxa"/>
            <w:vAlign w:val="center"/>
          </w:tcPr>
          <w:p w14:paraId="61BF7DC9" w14:textId="77777777" w:rsidR="003C4B38" w:rsidRPr="00F74671" w:rsidRDefault="003C4B38" w:rsidP="0027602C">
            <w:pPr>
              <w:jc w:val="center"/>
              <w:rPr>
                <w:rFonts w:ascii="Calibri" w:hAnsi="Calibri" w:cs="Calibri"/>
                <w:sz w:val="21"/>
                <w:szCs w:val="21"/>
              </w:rPr>
            </w:pPr>
            <w:r w:rsidRPr="00F74671">
              <w:rPr>
                <w:rFonts w:ascii="Calibri" w:hAnsi="Calibri" w:cs="Calibri"/>
                <w:b/>
                <w:bCs/>
                <w:sz w:val="21"/>
                <w:szCs w:val="21"/>
              </w:rPr>
              <w:t>6</w:t>
            </w:r>
          </w:p>
        </w:tc>
        <w:tc>
          <w:tcPr>
            <w:tcW w:w="1556" w:type="dxa"/>
            <w:vAlign w:val="center"/>
          </w:tcPr>
          <w:p w14:paraId="0A496CA7"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1"/>
                <w:szCs w:val="21"/>
              </w:rPr>
            </w:pPr>
            <w:r w:rsidRPr="00F74671">
              <w:rPr>
                <w:rFonts w:ascii="Calibri" w:hAnsi="Calibri" w:cs="Calibri"/>
                <w:sz w:val="21"/>
                <w:szCs w:val="21"/>
              </w:rPr>
              <w:t>A</w:t>
            </w:r>
            <w:r w:rsidRPr="00F74671">
              <w:rPr>
                <w:rFonts w:ascii="Calibri" w:hAnsi="Calibri" w:cs="Calibri"/>
                <w:sz w:val="21"/>
                <w:szCs w:val="21"/>
                <w:vertAlign w:val="subscript"/>
              </w:rPr>
              <w:t>1</w:t>
            </w:r>
          </w:p>
        </w:tc>
      </w:tr>
      <w:tr w:rsidR="003C4B38" w:rsidRPr="00F74671" w14:paraId="6036C034" w14:textId="77777777" w:rsidTr="0027602C">
        <w:trPr>
          <w:cantSplit/>
        </w:trPr>
        <w:tc>
          <w:tcPr>
            <w:tcW w:w="6516" w:type="dxa"/>
          </w:tcPr>
          <w:p w14:paraId="6D715EDC" w14:textId="77777777" w:rsidR="003C4B38" w:rsidRPr="00F74671" w:rsidRDefault="003C4B38" w:rsidP="0027602C">
            <w:pPr>
              <w:rPr>
                <w:rFonts w:ascii="Calibri" w:hAnsi="Calibri" w:cs="Calibri"/>
                <w:sz w:val="21"/>
                <w:szCs w:val="21"/>
              </w:rPr>
            </w:pPr>
            <w:r w:rsidRPr="00F74671">
              <w:rPr>
                <w:rFonts w:ascii="Calibri" w:hAnsi="Calibri" w:cs="Calibri"/>
                <w:sz w:val="21"/>
                <w:szCs w:val="21"/>
              </w:rPr>
              <w:t>D-</w:t>
            </w:r>
            <w:proofErr w:type="spellStart"/>
            <w:r w:rsidRPr="00F74671">
              <w:rPr>
                <w:rFonts w:ascii="Calibri" w:hAnsi="Calibri" w:cs="Calibri"/>
                <w:sz w:val="21"/>
                <w:szCs w:val="21"/>
              </w:rPr>
              <w:t>dimerų</w:t>
            </w:r>
            <w:proofErr w:type="spellEnd"/>
            <w:r w:rsidRPr="00F74671">
              <w:rPr>
                <w:rFonts w:ascii="Calibri" w:hAnsi="Calibri" w:cs="Calibri"/>
                <w:sz w:val="21"/>
                <w:szCs w:val="21"/>
              </w:rPr>
              <w:t xml:space="preserve"> metodo specifiškumas PE** ≥75 %.</w:t>
            </w:r>
          </w:p>
        </w:tc>
        <w:tc>
          <w:tcPr>
            <w:tcW w:w="1559" w:type="dxa"/>
            <w:vAlign w:val="center"/>
          </w:tcPr>
          <w:p w14:paraId="31512219" w14:textId="77777777" w:rsidR="003C4B38" w:rsidRPr="00F74671" w:rsidRDefault="003C4B38" w:rsidP="0027602C">
            <w:pPr>
              <w:jc w:val="center"/>
              <w:rPr>
                <w:rFonts w:ascii="Calibri" w:hAnsi="Calibri" w:cs="Calibri"/>
                <w:sz w:val="21"/>
                <w:szCs w:val="21"/>
              </w:rPr>
            </w:pPr>
            <w:r w:rsidRPr="00F74671">
              <w:rPr>
                <w:rFonts w:ascii="Calibri" w:hAnsi="Calibri" w:cs="Calibri"/>
                <w:b/>
                <w:bCs/>
                <w:sz w:val="21"/>
                <w:szCs w:val="21"/>
              </w:rPr>
              <w:t>6</w:t>
            </w:r>
          </w:p>
        </w:tc>
        <w:tc>
          <w:tcPr>
            <w:tcW w:w="1556" w:type="dxa"/>
            <w:vAlign w:val="center"/>
          </w:tcPr>
          <w:p w14:paraId="1095DC72"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1"/>
                <w:szCs w:val="21"/>
              </w:rPr>
            </w:pPr>
            <w:r w:rsidRPr="00F74671">
              <w:rPr>
                <w:rFonts w:ascii="Calibri" w:hAnsi="Calibri" w:cs="Calibri"/>
                <w:sz w:val="21"/>
                <w:szCs w:val="21"/>
              </w:rPr>
              <w:t>A</w:t>
            </w:r>
            <w:r w:rsidRPr="00F74671">
              <w:rPr>
                <w:rFonts w:ascii="Calibri" w:hAnsi="Calibri" w:cs="Calibri"/>
                <w:sz w:val="21"/>
                <w:szCs w:val="21"/>
                <w:vertAlign w:val="subscript"/>
              </w:rPr>
              <w:t>2</w:t>
            </w:r>
          </w:p>
        </w:tc>
      </w:tr>
      <w:tr w:rsidR="003C4B38" w:rsidRPr="00F74671" w14:paraId="0724C190" w14:textId="77777777" w:rsidTr="0027602C">
        <w:trPr>
          <w:cantSplit/>
        </w:trPr>
        <w:tc>
          <w:tcPr>
            <w:tcW w:w="6516" w:type="dxa"/>
          </w:tcPr>
          <w:p w14:paraId="2F786CF9" w14:textId="77777777" w:rsidR="003C4B38" w:rsidRPr="00F74671" w:rsidRDefault="003C4B38" w:rsidP="0027602C">
            <w:pPr>
              <w:rPr>
                <w:rFonts w:ascii="Calibri" w:hAnsi="Calibri" w:cs="Calibri"/>
                <w:sz w:val="21"/>
                <w:szCs w:val="21"/>
              </w:rPr>
            </w:pPr>
            <w:r w:rsidRPr="00F74671">
              <w:rPr>
                <w:rFonts w:ascii="Calibri" w:hAnsi="Calibri" w:cs="Calibri"/>
                <w:sz w:val="21"/>
                <w:szCs w:val="21"/>
              </w:rPr>
              <w:t xml:space="preserve">Reagentai yra paruošti naudoti (angl. </w:t>
            </w:r>
            <w:proofErr w:type="spellStart"/>
            <w:r w:rsidRPr="00F74671">
              <w:rPr>
                <w:rFonts w:ascii="Calibri" w:hAnsi="Calibri" w:cs="Calibri"/>
                <w:i/>
                <w:iCs/>
                <w:sz w:val="21"/>
                <w:szCs w:val="21"/>
              </w:rPr>
              <w:t>ready</w:t>
            </w:r>
            <w:proofErr w:type="spellEnd"/>
            <w:r w:rsidRPr="00F74671">
              <w:rPr>
                <w:rFonts w:ascii="Calibri" w:hAnsi="Calibri" w:cs="Calibri"/>
                <w:i/>
                <w:iCs/>
                <w:sz w:val="21"/>
                <w:szCs w:val="21"/>
              </w:rPr>
              <w:t>-to-</w:t>
            </w:r>
            <w:proofErr w:type="spellStart"/>
            <w:r w:rsidRPr="00F74671">
              <w:rPr>
                <w:rFonts w:ascii="Calibri" w:hAnsi="Calibri" w:cs="Calibri"/>
                <w:i/>
                <w:iCs/>
                <w:sz w:val="21"/>
                <w:szCs w:val="21"/>
              </w:rPr>
              <w:t>use</w:t>
            </w:r>
            <w:proofErr w:type="spellEnd"/>
            <w:r w:rsidRPr="00F74671">
              <w:rPr>
                <w:rFonts w:ascii="Calibri" w:hAnsi="Calibri" w:cs="Calibri"/>
                <w:sz w:val="21"/>
                <w:szCs w:val="21"/>
              </w:rPr>
              <w:t>) arba jų paruošimas (įskaitant atšildymą ir parengimą darbui) pagal gamintojo instrukcijas trunka ne ilgiau kaip 30 minučių.</w:t>
            </w:r>
          </w:p>
        </w:tc>
        <w:tc>
          <w:tcPr>
            <w:tcW w:w="1559" w:type="dxa"/>
            <w:vAlign w:val="center"/>
          </w:tcPr>
          <w:p w14:paraId="39F95D61" w14:textId="77777777" w:rsidR="003C4B38" w:rsidRPr="00F74671" w:rsidRDefault="003C4B38" w:rsidP="0027602C">
            <w:pPr>
              <w:jc w:val="center"/>
              <w:rPr>
                <w:rFonts w:ascii="Calibri" w:hAnsi="Calibri" w:cs="Calibri"/>
                <w:sz w:val="21"/>
                <w:szCs w:val="21"/>
              </w:rPr>
            </w:pPr>
            <w:r w:rsidRPr="00F74671">
              <w:rPr>
                <w:rFonts w:ascii="Calibri" w:hAnsi="Calibri" w:cs="Calibri"/>
                <w:b/>
                <w:bCs/>
                <w:sz w:val="21"/>
                <w:szCs w:val="21"/>
              </w:rPr>
              <w:t>3</w:t>
            </w:r>
          </w:p>
        </w:tc>
        <w:tc>
          <w:tcPr>
            <w:tcW w:w="1556" w:type="dxa"/>
            <w:vAlign w:val="center"/>
          </w:tcPr>
          <w:p w14:paraId="2E8032AC"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1"/>
                <w:szCs w:val="21"/>
              </w:rPr>
            </w:pPr>
            <w:r w:rsidRPr="00F74671">
              <w:rPr>
                <w:rFonts w:ascii="Calibri" w:hAnsi="Calibri" w:cs="Calibri"/>
                <w:sz w:val="21"/>
                <w:szCs w:val="21"/>
              </w:rPr>
              <w:t>A</w:t>
            </w:r>
            <w:r w:rsidRPr="00F74671">
              <w:rPr>
                <w:rFonts w:ascii="Calibri" w:hAnsi="Calibri" w:cs="Calibri"/>
                <w:sz w:val="21"/>
                <w:szCs w:val="21"/>
                <w:vertAlign w:val="subscript"/>
              </w:rPr>
              <w:t>3</w:t>
            </w:r>
          </w:p>
        </w:tc>
      </w:tr>
      <w:tr w:rsidR="003C4B38" w:rsidRPr="00F74671" w14:paraId="77227349" w14:textId="77777777" w:rsidTr="0027602C">
        <w:trPr>
          <w:cantSplit/>
        </w:trPr>
        <w:tc>
          <w:tcPr>
            <w:tcW w:w="6516" w:type="dxa"/>
          </w:tcPr>
          <w:p w14:paraId="282252F5" w14:textId="77777777" w:rsidR="003C4B38" w:rsidRPr="00F74671" w:rsidRDefault="003C4B38" w:rsidP="0027602C">
            <w:pPr>
              <w:rPr>
                <w:rFonts w:ascii="Calibri" w:hAnsi="Calibri" w:cs="Calibri"/>
                <w:sz w:val="21"/>
                <w:szCs w:val="21"/>
              </w:rPr>
            </w:pPr>
            <w:r w:rsidRPr="00F74671">
              <w:rPr>
                <w:rFonts w:ascii="Calibri" w:hAnsi="Calibri" w:cs="Calibri"/>
                <w:sz w:val="21"/>
                <w:szCs w:val="21"/>
              </w:rPr>
              <w:t xml:space="preserve">Reagentai (įskaitant VKK medžiagas, papildomas priemones) į analizatorių dedami bet kuriuo analizatoriaus darbo metu, </w:t>
            </w:r>
            <w:proofErr w:type="spellStart"/>
            <w:r w:rsidRPr="00F74671">
              <w:rPr>
                <w:rFonts w:ascii="Calibri" w:hAnsi="Calibri" w:cs="Calibri"/>
                <w:sz w:val="21"/>
                <w:szCs w:val="21"/>
              </w:rPr>
              <w:t>t.y</w:t>
            </w:r>
            <w:proofErr w:type="spellEnd"/>
            <w:r w:rsidRPr="00F74671">
              <w:rPr>
                <w:rFonts w:ascii="Calibri" w:hAnsi="Calibri" w:cs="Calibri"/>
                <w:sz w:val="21"/>
                <w:szCs w:val="21"/>
              </w:rPr>
              <w:t>. reagentais ir priemonėmis analizatorių galima papildyti ir tuo metu, kai tyrimai yra atliekami.</w:t>
            </w:r>
          </w:p>
        </w:tc>
        <w:tc>
          <w:tcPr>
            <w:tcW w:w="1559" w:type="dxa"/>
            <w:vAlign w:val="center"/>
          </w:tcPr>
          <w:p w14:paraId="47D549D6" w14:textId="77777777" w:rsidR="003C4B38" w:rsidRPr="00F74671" w:rsidRDefault="003C4B38" w:rsidP="0027602C">
            <w:pPr>
              <w:jc w:val="center"/>
              <w:rPr>
                <w:rFonts w:ascii="Calibri" w:hAnsi="Calibri" w:cs="Calibri"/>
                <w:sz w:val="21"/>
                <w:szCs w:val="21"/>
              </w:rPr>
            </w:pPr>
            <w:r w:rsidRPr="00F74671">
              <w:rPr>
                <w:rFonts w:ascii="Calibri" w:hAnsi="Calibri" w:cs="Calibri"/>
                <w:b/>
                <w:bCs/>
                <w:sz w:val="21"/>
                <w:szCs w:val="21"/>
              </w:rPr>
              <w:t>3</w:t>
            </w:r>
          </w:p>
        </w:tc>
        <w:tc>
          <w:tcPr>
            <w:tcW w:w="1556" w:type="dxa"/>
            <w:vAlign w:val="center"/>
          </w:tcPr>
          <w:p w14:paraId="5C7E5F7F"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1"/>
                <w:szCs w:val="21"/>
              </w:rPr>
            </w:pPr>
            <w:r w:rsidRPr="00F74671">
              <w:rPr>
                <w:rFonts w:ascii="Calibri" w:hAnsi="Calibri" w:cs="Calibri"/>
                <w:sz w:val="21"/>
                <w:szCs w:val="21"/>
              </w:rPr>
              <w:t>A</w:t>
            </w:r>
            <w:r w:rsidRPr="00F74671">
              <w:rPr>
                <w:rFonts w:ascii="Calibri" w:hAnsi="Calibri" w:cs="Calibri"/>
                <w:sz w:val="21"/>
                <w:szCs w:val="21"/>
                <w:vertAlign w:val="subscript"/>
              </w:rPr>
              <w:t>4</w:t>
            </w:r>
          </w:p>
        </w:tc>
      </w:tr>
      <w:tr w:rsidR="003C4B38" w:rsidRPr="00F74671" w14:paraId="26934E0A" w14:textId="77777777" w:rsidTr="0027602C">
        <w:trPr>
          <w:cantSplit/>
        </w:trPr>
        <w:tc>
          <w:tcPr>
            <w:tcW w:w="6516" w:type="dxa"/>
          </w:tcPr>
          <w:p w14:paraId="7FADA3CA" w14:textId="77777777" w:rsidR="003C4B38" w:rsidRPr="00F74671" w:rsidRDefault="003C4B38" w:rsidP="0027602C">
            <w:pPr>
              <w:rPr>
                <w:rFonts w:ascii="Calibri" w:hAnsi="Calibri" w:cs="Calibri"/>
                <w:sz w:val="21"/>
                <w:szCs w:val="21"/>
              </w:rPr>
            </w:pPr>
            <w:r w:rsidRPr="00F74671">
              <w:rPr>
                <w:rFonts w:ascii="Calibri" w:hAnsi="Calibri" w:cs="Calibri"/>
                <w:sz w:val="21"/>
                <w:szCs w:val="21"/>
              </w:rPr>
              <w:lastRenderedPageBreak/>
              <w:t>Analizatorius užtikrina realų prioritetinį skubių (STAT/CITO) mėginių apdorojimą, leidžiant juos įdėti į bet kurią mėginių laikiklio poziciją be skaičiaus ar kanalo apribojimų, užtikrinant jų tyrimo pradžią anksčiau nei kitų tuo metu analizatoriuje esančių mėginių.</w:t>
            </w:r>
          </w:p>
        </w:tc>
        <w:tc>
          <w:tcPr>
            <w:tcW w:w="1559" w:type="dxa"/>
            <w:vAlign w:val="center"/>
          </w:tcPr>
          <w:p w14:paraId="4371685B" w14:textId="77777777" w:rsidR="003C4B38" w:rsidRPr="00F74671" w:rsidRDefault="003C4B38" w:rsidP="0027602C">
            <w:pPr>
              <w:jc w:val="center"/>
              <w:rPr>
                <w:rFonts w:ascii="Calibri" w:hAnsi="Calibri" w:cs="Calibri"/>
                <w:sz w:val="21"/>
                <w:szCs w:val="21"/>
              </w:rPr>
            </w:pPr>
            <w:r w:rsidRPr="00F74671">
              <w:rPr>
                <w:rFonts w:ascii="Calibri" w:hAnsi="Calibri" w:cs="Calibri"/>
                <w:b/>
                <w:bCs/>
                <w:sz w:val="21"/>
                <w:szCs w:val="21"/>
              </w:rPr>
              <w:t>5</w:t>
            </w:r>
          </w:p>
        </w:tc>
        <w:tc>
          <w:tcPr>
            <w:tcW w:w="1556" w:type="dxa"/>
            <w:vAlign w:val="center"/>
          </w:tcPr>
          <w:p w14:paraId="70BD3B27"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1"/>
                <w:szCs w:val="21"/>
              </w:rPr>
            </w:pPr>
            <w:r w:rsidRPr="00F74671">
              <w:rPr>
                <w:rFonts w:ascii="Calibri" w:hAnsi="Calibri" w:cs="Calibri"/>
                <w:sz w:val="21"/>
                <w:szCs w:val="21"/>
              </w:rPr>
              <w:t>A</w:t>
            </w:r>
            <w:r w:rsidRPr="00F74671">
              <w:rPr>
                <w:rFonts w:ascii="Calibri" w:hAnsi="Calibri" w:cs="Calibri"/>
                <w:sz w:val="21"/>
                <w:szCs w:val="21"/>
                <w:vertAlign w:val="subscript"/>
              </w:rPr>
              <w:t>5</w:t>
            </w:r>
          </w:p>
        </w:tc>
      </w:tr>
      <w:tr w:rsidR="003C4B38" w:rsidRPr="00F74671" w14:paraId="31996BD7" w14:textId="77777777" w:rsidTr="0027602C">
        <w:trPr>
          <w:cantSplit/>
        </w:trPr>
        <w:tc>
          <w:tcPr>
            <w:tcW w:w="6516" w:type="dxa"/>
          </w:tcPr>
          <w:p w14:paraId="7C25ADAC" w14:textId="77777777" w:rsidR="003C4B38" w:rsidRPr="00F74671" w:rsidRDefault="003C4B38" w:rsidP="0027602C">
            <w:pPr>
              <w:rPr>
                <w:rFonts w:ascii="Calibri" w:hAnsi="Calibri" w:cs="Calibri"/>
                <w:sz w:val="21"/>
                <w:szCs w:val="21"/>
              </w:rPr>
            </w:pPr>
            <w:r w:rsidRPr="00F74671">
              <w:rPr>
                <w:rFonts w:ascii="Calibri" w:hAnsi="Calibri" w:cs="Calibri"/>
                <w:sz w:val="21"/>
                <w:szCs w:val="21"/>
              </w:rPr>
              <w:t>Analizatorius turi funkcionalumą, kuriuo geba nustatyti krešulį mėginyje.</w:t>
            </w:r>
          </w:p>
        </w:tc>
        <w:tc>
          <w:tcPr>
            <w:tcW w:w="1559" w:type="dxa"/>
            <w:vAlign w:val="center"/>
          </w:tcPr>
          <w:p w14:paraId="4C8489BB" w14:textId="77777777" w:rsidR="003C4B38" w:rsidRPr="00F74671" w:rsidRDefault="003C4B38" w:rsidP="0027602C">
            <w:pPr>
              <w:jc w:val="center"/>
              <w:rPr>
                <w:rFonts w:ascii="Calibri" w:hAnsi="Calibri" w:cs="Calibri"/>
                <w:sz w:val="21"/>
                <w:szCs w:val="21"/>
              </w:rPr>
            </w:pPr>
            <w:r w:rsidRPr="00F74671">
              <w:rPr>
                <w:rFonts w:ascii="Calibri" w:hAnsi="Calibri" w:cs="Calibri"/>
                <w:b/>
                <w:bCs/>
                <w:sz w:val="21"/>
                <w:szCs w:val="21"/>
              </w:rPr>
              <w:t>3</w:t>
            </w:r>
          </w:p>
        </w:tc>
        <w:tc>
          <w:tcPr>
            <w:tcW w:w="1556" w:type="dxa"/>
            <w:vAlign w:val="center"/>
          </w:tcPr>
          <w:p w14:paraId="13A4BAA8"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1"/>
                <w:szCs w:val="21"/>
              </w:rPr>
            </w:pPr>
            <w:r w:rsidRPr="00F74671">
              <w:rPr>
                <w:rFonts w:ascii="Calibri" w:hAnsi="Calibri" w:cs="Calibri"/>
                <w:sz w:val="21"/>
                <w:szCs w:val="21"/>
              </w:rPr>
              <w:t>A</w:t>
            </w:r>
            <w:r w:rsidRPr="00F74671">
              <w:rPr>
                <w:rFonts w:ascii="Calibri" w:hAnsi="Calibri" w:cs="Calibri"/>
                <w:sz w:val="21"/>
                <w:szCs w:val="21"/>
                <w:vertAlign w:val="subscript"/>
              </w:rPr>
              <w:t>6</w:t>
            </w:r>
          </w:p>
        </w:tc>
      </w:tr>
      <w:tr w:rsidR="003C4B38" w:rsidRPr="00F74671" w14:paraId="4F0238FD" w14:textId="77777777" w:rsidTr="0027602C">
        <w:trPr>
          <w:cantSplit/>
        </w:trPr>
        <w:tc>
          <w:tcPr>
            <w:tcW w:w="6516" w:type="dxa"/>
          </w:tcPr>
          <w:p w14:paraId="65CAE268" w14:textId="77777777" w:rsidR="003C4B38" w:rsidRPr="00F74671" w:rsidRDefault="003C4B38" w:rsidP="0027602C">
            <w:pPr>
              <w:rPr>
                <w:rFonts w:ascii="Calibri" w:hAnsi="Calibri" w:cs="Calibri"/>
                <w:sz w:val="21"/>
                <w:szCs w:val="21"/>
              </w:rPr>
            </w:pPr>
            <w:r w:rsidRPr="00F74671">
              <w:rPr>
                <w:rFonts w:ascii="Calibri" w:hAnsi="Calibri" w:cs="Calibri"/>
                <w:sz w:val="21"/>
                <w:szCs w:val="21"/>
              </w:rPr>
              <w:t>HIL (</w:t>
            </w:r>
            <w:proofErr w:type="spellStart"/>
            <w:r w:rsidRPr="00F74671">
              <w:rPr>
                <w:rFonts w:ascii="Calibri" w:hAnsi="Calibri" w:cs="Calibri"/>
                <w:sz w:val="21"/>
                <w:szCs w:val="21"/>
              </w:rPr>
              <w:t>hemolizės</w:t>
            </w:r>
            <w:proofErr w:type="spellEnd"/>
            <w:r w:rsidRPr="00F74671">
              <w:rPr>
                <w:rFonts w:ascii="Calibri" w:hAnsi="Calibri" w:cs="Calibri"/>
                <w:sz w:val="21"/>
                <w:szCs w:val="21"/>
              </w:rPr>
              <w:t xml:space="preserve">, </w:t>
            </w:r>
            <w:proofErr w:type="spellStart"/>
            <w:r w:rsidRPr="00F74671">
              <w:rPr>
                <w:rFonts w:ascii="Calibri" w:hAnsi="Calibri" w:cs="Calibri"/>
                <w:sz w:val="21"/>
                <w:szCs w:val="21"/>
              </w:rPr>
              <w:t>ikterijos</w:t>
            </w:r>
            <w:proofErr w:type="spellEnd"/>
            <w:r w:rsidRPr="00F74671">
              <w:rPr>
                <w:rFonts w:ascii="Calibri" w:hAnsi="Calibri" w:cs="Calibri"/>
                <w:sz w:val="21"/>
                <w:szCs w:val="21"/>
              </w:rPr>
              <w:t xml:space="preserve">, </w:t>
            </w:r>
            <w:proofErr w:type="spellStart"/>
            <w:r w:rsidRPr="00F74671">
              <w:rPr>
                <w:rFonts w:ascii="Calibri" w:hAnsi="Calibri" w:cs="Calibri"/>
                <w:sz w:val="21"/>
                <w:szCs w:val="21"/>
              </w:rPr>
              <w:t>lipemijos</w:t>
            </w:r>
            <w:proofErr w:type="spellEnd"/>
            <w:r w:rsidRPr="00F74671">
              <w:rPr>
                <w:rFonts w:ascii="Calibri" w:hAnsi="Calibri" w:cs="Calibri"/>
                <w:sz w:val="21"/>
                <w:szCs w:val="21"/>
              </w:rPr>
              <w:t>) patikra atliekama automatiškai keliuose bangos ilgiuose, be papildomo mėginio sunaudojimo, o perspėjimai automatiškai registruojami ir saugomi kartu su tyrimų rezultatais.</w:t>
            </w:r>
          </w:p>
        </w:tc>
        <w:tc>
          <w:tcPr>
            <w:tcW w:w="1559" w:type="dxa"/>
            <w:vAlign w:val="center"/>
          </w:tcPr>
          <w:p w14:paraId="335C9EAD" w14:textId="77777777" w:rsidR="003C4B38" w:rsidRPr="00F74671" w:rsidRDefault="003C4B38" w:rsidP="0027602C">
            <w:pPr>
              <w:jc w:val="center"/>
              <w:rPr>
                <w:rFonts w:ascii="Calibri" w:hAnsi="Calibri" w:cs="Calibri"/>
                <w:sz w:val="21"/>
                <w:szCs w:val="21"/>
              </w:rPr>
            </w:pPr>
            <w:r w:rsidRPr="00F74671">
              <w:rPr>
                <w:rFonts w:ascii="Calibri" w:hAnsi="Calibri" w:cs="Calibri"/>
                <w:b/>
                <w:bCs/>
                <w:sz w:val="21"/>
                <w:szCs w:val="21"/>
              </w:rPr>
              <w:t>4</w:t>
            </w:r>
          </w:p>
        </w:tc>
        <w:tc>
          <w:tcPr>
            <w:tcW w:w="1556" w:type="dxa"/>
            <w:vAlign w:val="center"/>
          </w:tcPr>
          <w:p w14:paraId="03402619"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21"/>
                <w:szCs w:val="21"/>
              </w:rPr>
            </w:pPr>
            <w:r w:rsidRPr="00F74671">
              <w:rPr>
                <w:rFonts w:ascii="Calibri" w:hAnsi="Calibri" w:cs="Calibri"/>
                <w:sz w:val="21"/>
                <w:szCs w:val="21"/>
              </w:rPr>
              <w:t>A</w:t>
            </w:r>
            <w:r w:rsidRPr="00F74671">
              <w:rPr>
                <w:rFonts w:ascii="Calibri" w:hAnsi="Calibri" w:cs="Calibri"/>
                <w:sz w:val="21"/>
                <w:szCs w:val="21"/>
                <w:vertAlign w:val="subscript"/>
              </w:rPr>
              <w:t>7</w:t>
            </w:r>
          </w:p>
        </w:tc>
      </w:tr>
      <w:tr w:rsidR="003C4B38" w:rsidRPr="00F74671" w14:paraId="6B8090C2" w14:textId="77777777" w:rsidTr="0027602C">
        <w:trPr>
          <w:cantSplit/>
        </w:trPr>
        <w:tc>
          <w:tcPr>
            <w:tcW w:w="6516" w:type="dxa"/>
          </w:tcPr>
          <w:p w14:paraId="23512CB0" w14:textId="77777777" w:rsidR="003C4B38" w:rsidRPr="00F74671" w:rsidRDefault="003C4B38" w:rsidP="0027602C">
            <w:pPr>
              <w:rPr>
                <w:rFonts w:ascii="Calibri" w:hAnsi="Calibri" w:cs="Calibri"/>
                <w:sz w:val="21"/>
                <w:szCs w:val="21"/>
              </w:rPr>
            </w:pPr>
            <w:r w:rsidRPr="00F74671">
              <w:rPr>
                <w:rFonts w:ascii="Calibri" w:hAnsi="Calibri" w:cs="Calibri"/>
                <w:sz w:val="21"/>
                <w:szCs w:val="21"/>
              </w:rPr>
              <w:t>Kalibravimo duomenys (kalibravimo kreivės ir partijai specifiniai parametrai) automatiškai perduodami į analizatorių, sumažinant rankinio įvedimo poreikį ir klaidų riziką.</w:t>
            </w:r>
          </w:p>
        </w:tc>
        <w:tc>
          <w:tcPr>
            <w:tcW w:w="1559" w:type="dxa"/>
            <w:vAlign w:val="center"/>
          </w:tcPr>
          <w:p w14:paraId="7C2C2032" w14:textId="77777777" w:rsidR="003C4B38" w:rsidRPr="00F74671" w:rsidRDefault="003C4B38" w:rsidP="0027602C">
            <w:pPr>
              <w:jc w:val="center"/>
              <w:rPr>
                <w:rFonts w:ascii="Calibri" w:hAnsi="Calibri" w:cs="Calibri"/>
                <w:sz w:val="21"/>
                <w:szCs w:val="21"/>
              </w:rPr>
            </w:pPr>
            <w:r w:rsidRPr="00F74671">
              <w:rPr>
                <w:rFonts w:ascii="Calibri" w:hAnsi="Calibri" w:cs="Calibri"/>
                <w:b/>
                <w:bCs/>
                <w:sz w:val="21"/>
                <w:szCs w:val="21"/>
              </w:rPr>
              <w:t>3</w:t>
            </w:r>
          </w:p>
        </w:tc>
        <w:tc>
          <w:tcPr>
            <w:tcW w:w="1556" w:type="dxa"/>
            <w:vAlign w:val="center"/>
          </w:tcPr>
          <w:p w14:paraId="43DC0A36"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21"/>
                <w:szCs w:val="21"/>
              </w:rPr>
            </w:pPr>
            <w:r w:rsidRPr="00F74671">
              <w:rPr>
                <w:rFonts w:ascii="Calibri" w:hAnsi="Calibri" w:cs="Calibri"/>
                <w:sz w:val="21"/>
                <w:szCs w:val="21"/>
              </w:rPr>
              <w:t>A</w:t>
            </w:r>
            <w:r w:rsidRPr="00F74671">
              <w:rPr>
                <w:rFonts w:ascii="Calibri" w:hAnsi="Calibri" w:cs="Calibri"/>
                <w:sz w:val="21"/>
                <w:szCs w:val="21"/>
                <w:vertAlign w:val="subscript"/>
              </w:rPr>
              <w:t>8</w:t>
            </w:r>
          </w:p>
        </w:tc>
      </w:tr>
      <w:tr w:rsidR="003C4B38" w:rsidRPr="00F74671" w14:paraId="2EAF4EDE" w14:textId="77777777" w:rsidTr="0027602C">
        <w:trPr>
          <w:cantSplit/>
        </w:trPr>
        <w:tc>
          <w:tcPr>
            <w:tcW w:w="6516" w:type="dxa"/>
          </w:tcPr>
          <w:p w14:paraId="3E3E45D5" w14:textId="77777777" w:rsidR="003C4B38" w:rsidRPr="00F74671" w:rsidRDefault="003C4B38" w:rsidP="0027602C">
            <w:pPr>
              <w:rPr>
                <w:rFonts w:ascii="Calibri" w:hAnsi="Calibri" w:cs="Calibri"/>
                <w:sz w:val="21"/>
                <w:szCs w:val="21"/>
              </w:rPr>
            </w:pPr>
            <w:r w:rsidRPr="00F74671">
              <w:rPr>
                <w:rFonts w:ascii="Calibri" w:hAnsi="Calibri" w:cs="Calibri"/>
                <w:sz w:val="21"/>
                <w:szCs w:val="21"/>
              </w:rPr>
              <w:t>Analizatoriuje yra galimybė tuščias reagentų talpyklas ir kitas atliekas išimti iš jų be būtinybės pristabdyti, sustabdyti, pervesti sistemos į budėjimo režimą ar laukti, kol baigsis bet kuris analizės etapas.</w:t>
            </w:r>
          </w:p>
        </w:tc>
        <w:tc>
          <w:tcPr>
            <w:tcW w:w="1559" w:type="dxa"/>
            <w:vAlign w:val="center"/>
          </w:tcPr>
          <w:p w14:paraId="7609D0D2" w14:textId="77777777" w:rsidR="003C4B38" w:rsidRPr="00F74671" w:rsidRDefault="003C4B38" w:rsidP="0027602C">
            <w:pPr>
              <w:jc w:val="center"/>
              <w:rPr>
                <w:rFonts w:ascii="Calibri" w:hAnsi="Calibri" w:cs="Calibri"/>
                <w:b/>
                <w:bCs/>
                <w:color w:val="000000"/>
                <w:sz w:val="21"/>
                <w:szCs w:val="21"/>
              </w:rPr>
            </w:pPr>
            <w:r w:rsidRPr="00F74671">
              <w:rPr>
                <w:rFonts w:ascii="Calibri" w:hAnsi="Calibri" w:cs="Calibri"/>
                <w:b/>
                <w:bCs/>
                <w:sz w:val="21"/>
                <w:szCs w:val="21"/>
              </w:rPr>
              <w:t>2</w:t>
            </w:r>
          </w:p>
        </w:tc>
        <w:tc>
          <w:tcPr>
            <w:tcW w:w="1556" w:type="dxa"/>
            <w:vAlign w:val="center"/>
          </w:tcPr>
          <w:p w14:paraId="719CFD53"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21"/>
                <w:szCs w:val="21"/>
              </w:rPr>
            </w:pPr>
            <w:r w:rsidRPr="00F74671">
              <w:rPr>
                <w:rFonts w:ascii="Calibri" w:hAnsi="Calibri" w:cs="Calibri"/>
                <w:sz w:val="21"/>
                <w:szCs w:val="21"/>
              </w:rPr>
              <w:t>A</w:t>
            </w:r>
            <w:r w:rsidRPr="00F74671">
              <w:rPr>
                <w:rFonts w:ascii="Calibri" w:hAnsi="Calibri" w:cs="Calibri"/>
                <w:sz w:val="21"/>
                <w:szCs w:val="21"/>
                <w:vertAlign w:val="subscript"/>
              </w:rPr>
              <w:t>9</w:t>
            </w:r>
          </w:p>
        </w:tc>
      </w:tr>
      <w:tr w:rsidR="003C4B38" w:rsidRPr="00F74671" w14:paraId="0EA6678A" w14:textId="77777777" w:rsidTr="0027602C">
        <w:trPr>
          <w:cantSplit/>
        </w:trPr>
        <w:tc>
          <w:tcPr>
            <w:tcW w:w="6516" w:type="dxa"/>
          </w:tcPr>
          <w:p w14:paraId="16715BEA" w14:textId="77777777" w:rsidR="003C4B38" w:rsidRPr="00F74671" w:rsidRDefault="003C4B38" w:rsidP="0027602C">
            <w:pPr>
              <w:jc w:val="right"/>
              <w:rPr>
                <w:rFonts w:ascii="Calibri" w:hAnsi="Calibri" w:cs="Calibri"/>
                <w:b/>
                <w:bCs/>
                <w:sz w:val="21"/>
                <w:szCs w:val="21"/>
              </w:rPr>
            </w:pPr>
            <w:r w:rsidRPr="00F74671">
              <w:rPr>
                <w:rFonts w:ascii="Calibri" w:hAnsi="Calibri" w:cs="Calibri"/>
                <w:b/>
                <w:bCs/>
                <w:sz w:val="21"/>
                <w:szCs w:val="21"/>
              </w:rPr>
              <w:t>VISO:</w:t>
            </w:r>
          </w:p>
        </w:tc>
        <w:tc>
          <w:tcPr>
            <w:tcW w:w="1559" w:type="dxa"/>
          </w:tcPr>
          <w:p w14:paraId="15DFDB81"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1"/>
                <w:szCs w:val="21"/>
              </w:rPr>
            </w:pPr>
            <w:r w:rsidRPr="00F74671">
              <w:rPr>
                <w:rFonts w:ascii="Calibri" w:hAnsi="Calibri" w:cs="Calibri"/>
                <w:b/>
                <w:bCs/>
                <w:sz w:val="21"/>
                <w:szCs w:val="21"/>
              </w:rPr>
              <w:t>35</w:t>
            </w:r>
          </w:p>
        </w:tc>
        <w:tc>
          <w:tcPr>
            <w:tcW w:w="1556" w:type="dxa"/>
          </w:tcPr>
          <w:p w14:paraId="47F49FE1" w14:textId="77777777" w:rsidR="003C4B38" w:rsidRPr="00F74671" w:rsidRDefault="003C4B38" w:rsidP="0027602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sz w:val="21"/>
                <w:szCs w:val="21"/>
              </w:rPr>
            </w:pPr>
            <w:proofErr w:type="spellStart"/>
            <w:r w:rsidRPr="00F74671">
              <w:rPr>
                <w:rFonts w:ascii="Calibri" w:hAnsi="Calibri" w:cs="Calibri"/>
                <w:b/>
                <w:bCs/>
                <w:sz w:val="21"/>
                <w:szCs w:val="21"/>
              </w:rPr>
              <w:t>A</w:t>
            </w:r>
            <w:r w:rsidRPr="00F74671">
              <w:rPr>
                <w:rFonts w:ascii="Calibri" w:hAnsi="Calibri" w:cs="Calibri"/>
                <w:b/>
                <w:bCs/>
                <w:sz w:val="21"/>
                <w:szCs w:val="21"/>
                <w:vertAlign w:val="subscript"/>
              </w:rPr>
              <w:t>max</w:t>
            </w:r>
            <w:proofErr w:type="spellEnd"/>
          </w:p>
        </w:tc>
      </w:tr>
    </w:tbl>
    <w:p w14:paraId="20DEC2B8" w14:textId="671460E5" w:rsidR="003C4B38" w:rsidRDefault="000E1AE6" w:rsidP="003C4B38">
      <w:pPr>
        <w:pStyle w:val="Body"/>
        <w:jc w:val="both"/>
        <w:rPr>
          <w:rFonts w:ascii="Calibri" w:hAnsi="Calibri" w:cs="Calibri"/>
          <w:b/>
          <w:bCs/>
          <w:sz w:val="21"/>
          <w:szCs w:val="21"/>
        </w:rPr>
      </w:pPr>
      <w:r w:rsidRPr="000E1AE6">
        <w:rPr>
          <w:rFonts w:ascii="Calibri" w:hAnsi="Calibri" w:cs="Calibri"/>
          <w:b/>
          <w:bCs/>
          <w:sz w:val="21"/>
          <w:szCs w:val="21"/>
        </w:rPr>
        <w:t>** - PE - plaučių embolija.</w:t>
      </w:r>
    </w:p>
    <w:p w14:paraId="5ACB622C" w14:textId="77777777" w:rsidR="000E1AE6" w:rsidRPr="00F74671" w:rsidRDefault="000E1AE6" w:rsidP="003C4B38">
      <w:pPr>
        <w:pStyle w:val="Body"/>
        <w:jc w:val="both"/>
        <w:rPr>
          <w:rFonts w:ascii="Calibri" w:hAnsi="Calibri" w:cs="Calibri"/>
          <w:b/>
          <w:bCs/>
          <w:sz w:val="21"/>
          <w:szCs w:val="21"/>
        </w:rPr>
      </w:pPr>
    </w:p>
    <w:p w14:paraId="1CE0DF6B" w14:textId="77777777" w:rsidR="003C4B38" w:rsidRPr="00F74671" w:rsidRDefault="003C4B38" w:rsidP="003C4B38">
      <w:pPr>
        <w:pStyle w:val="Body"/>
        <w:numPr>
          <w:ilvl w:val="1"/>
          <w:numId w:val="47"/>
        </w:numPr>
        <w:jc w:val="both"/>
        <w:rPr>
          <w:rFonts w:ascii="Calibri" w:hAnsi="Calibri" w:cs="Calibri"/>
          <w:sz w:val="21"/>
          <w:szCs w:val="21"/>
        </w:rPr>
      </w:pPr>
      <w:r w:rsidRPr="00F74671">
        <w:rPr>
          <w:rFonts w:ascii="Calibri" w:hAnsi="Calibri" w:cs="Calibri"/>
          <w:b/>
          <w:bCs/>
          <w:sz w:val="21"/>
          <w:szCs w:val="21"/>
        </w:rPr>
        <w:t>Kriterijaus (T) balas</w:t>
      </w:r>
      <w:r w:rsidRPr="00F74671">
        <w:rPr>
          <w:rFonts w:ascii="Calibri" w:hAnsi="Calibri" w:cs="Calibri"/>
          <w:sz w:val="21"/>
          <w:szCs w:val="21"/>
        </w:rPr>
        <w:t xml:space="preserve"> yra apskaičiuojamas sudedant šio kriterijaus parametrų (A</w:t>
      </w:r>
      <w:r w:rsidRPr="00F74671">
        <w:rPr>
          <w:rFonts w:ascii="Calibri" w:hAnsi="Calibri" w:cs="Calibri"/>
          <w:sz w:val="21"/>
          <w:szCs w:val="21"/>
          <w:vertAlign w:val="subscript"/>
        </w:rPr>
        <w:t>1</w:t>
      </w:r>
      <w:r w:rsidRPr="00F74671">
        <w:rPr>
          <w:rFonts w:ascii="Calibri" w:hAnsi="Calibri" w:cs="Calibri"/>
          <w:sz w:val="21"/>
          <w:szCs w:val="21"/>
        </w:rPr>
        <w:t xml:space="preserve"> – A</w:t>
      </w:r>
      <w:r w:rsidRPr="00F74671">
        <w:rPr>
          <w:rFonts w:ascii="Calibri" w:hAnsi="Calibri" w:cs="Calibri"/>
          <w:sz w:val="21"/>
          <w:szCs w:val="21"/>
          <w:vertAlign w:val="subscript"/>
        </w:rPr>
        <w:t>9</w:t>
      </w:r>
      <w:r w:rsidRPr="00F74671">
        <w:rPr>
          <w:rFonts w:ascii="Calibri" w:hAnsi="Calibri" w:cs="Calibri"/>
          <w:sz w:val="21"/>
          <w:szCs w:val="21"/>
        </w:rPr>
        <w:t xml:space="preserve">) įvertinimus: </w:t>
      </w:r>
    </w:p>
    <w:p w14:paraId="79E7C5CA" w14:textId="77777777" w:rsidR="003C4B38" w:rsidRPr="00F74671" w:rsidRDefault="003C4B38" w:rsidP="003C4B38">
      <w:pPr>
        <w:pStyle w:val="Body"/>
        <w:jc w:val="both"/>
        <w:rPr>
          <w:rFonts w:ascii="Calibri" w:hAnsi="Calibri" w:cs="Calibri"/>
          <w:sz w:val="21"/>
          <w:szCs w:val="21"/>
        </w:rPr>
      </w:pPr>
      <m:oMathPara>
        <m:oMath>
          <m:r>
            <w:rPr>
              <w:rFonts w:ascii="Cambria Math" w:hAnsi="Cambria Math" w:cs="Calibri"/>
              <w:sz w:val="21"/>
              <w:szCs w:val="21"/>
            </w:rPr>
            <m:t>T=</m:t>
          </m:r>
          <m:nary>
            <m:naryPr>
              <m:chr m:val="∑"/>
              <m:limLoc m:val="undOvr"/>
              <m:supHide m:val="1"/>
              <m:ctrlPr>
                <w:rPr>
                  <w:rFonts w:ascii="Cambria Math" w:hAnsi="Cambria Math" w:cs="Calibri"/>
                  <w:i/>
                  <w:sz w:val="21"/>
                  <w:szCs w:val="21"/>
                </w:rPr>
              </m:ctrlPr>
            </m:naryPr>
            <m:sub>
              <m:r>
                <w:rPr>
                  <w:rFonts w:ascii="Cambria Math" w:hAnsi="Cambria Math" w:cs="Calibri"/>
                  <w:sz w:val="21"/>
                  <w:szCs w:val="21"/>
                </w:rPr>
                <m:t>S</m:t>
              </m:r>
            </m:sub>
            <m:sup/>
            <m:e>
              <m:sSub>
                <m:sSubPr>
                  <m:ctrlPr>
                    <w:rPr>
                      <w:rFonts w:ascii="Cambria Math" w:hAnsi="Cambria Math" w:cs="Calibri"/>
                      <w:i/>
                      <w:sz w:val="21"/>
                      <w:szCs w:val="21"/>
                    </w:rPr>
                  </m:ctrlPr>
                </m:sSubPr>
                <m:e>
                  <m:r>
                    <w:rPr>
                      <w:rFonts w:ascii="Cambria Math" w:hAnsi="Cambria Math" w:cs="Calibri"/>
                      <w:sz w:val="21"/>
                      <w:szCs w:val="21"/>
                    </w:rPr>
                    <m:t>A</m:t>
                  </m:r>
                </m:e>
                <m:sub>
                  <m:r>
                    <w:rPr>
                      <w:rFonts w:ascii="Cambria Math" w:hAnsi="Cambria Math" w:cs="Calibri"/>
                      <w:sz w:val="21"/>
                      <w:szCs w:val="21"/>
                    </w:rPr>
                    <m:t>S</m:t>
                  </m:r>
                </m:sub>
              </m:sSub>
            </m:e>
          </m:nary>
        </m:oMath>
      </m:oMathPara>
    </w:p>
    <w:p w14:paraId="4B9BBFE2" w14:textId="77777777" w:rsidR="003C4B38" w:rsidRPr="00F74671" w:rsidRDefault="003C4B38" w:rsidP="003C4B38">
      <w:pPr>
        <w:pStyle w:val="Body"/>
        <w:jc w:val="both"/>
        <w:rPr>
          <w:rFonts w:ascii="Calibri" w:hAnsi="Calibri" w:cs="Calibri"/>
          <w:sz w:val="21"/>
          <w:szCs w:val="21"/>
        </w:rPr>
      </w:pPr>
    </w:p>
    <w:p w14:paraId="311D115A" w14:textId="77777777" w:rsidR="003C4B38" w:rsidRPr="00F74671" w:rsidRDefault="003C4B38" w:rsidP="003C4B38">
      <w:pPr>
        <w:pStyle w:val="Body"/>
        <w:ind w:left="792"/>
        <w:jc w:val="both"/>
        <w:rPr>
          <w:rFonts w:ascii="Calibri" w:hAnsi="Calibri" w:cs="Calibri"/>
          <w:sz w:val="21"/>
          <w:szCs w:val="21"/>
        </w:rPr>
      </w:pPr>
      <w:r w:rsidRPr="00F74671">
        <w:rPr>
          <w:rFonts w:ascii="Calibri" w:hAnsi="Calibri" w:cs="Calibri"/>
          <w:sz w:val="21"/>
          <w:szCs w:val="21"/>
        </w:rPr>
        <w:t>Tiekėjo pasiūlyti parametrai A</w:t>
      </w:r>
      <w:r w:rsidRPr="00F74671">
        <w:rPr>
          <w:rFonts w:ascii="Calibri" w:hAnsi="Calibri" w:cs="Calibri"/>
          <w:sz w:val="21"/>
          <w:szCs w:val="21"/>
          <w:vertAlign w:val="subscript"/>
        </w:rPr>
        <w:t>1</w:t>
      </w:r>
      <w:r w:rsidRPr="00F74671">
        <w:rPr>
          <w:rFonts w:ascii="Calibri" w:hAnsi="Calibri" w:cs="Calibri"/>
          <w:sz w:val="21"/>
          <w:szCs w:val="21"/>
        </w:rPr>
        <w:t xml:space="preserve"> – A</w:t>
      </w:r>
      <w:r w:rsidRPr="00F74671">
        <w:rPr>
          <w:rFonts w:ascii="Calibri" w:hAnsi="Calibri" w:cs="Calibri"/>
          <w:sz w:val="21"/>
          <w:szCs w:val="21"/>
          <w:vertAlign w:val="subscript"/>
        </w:rPr>
        <w:t>9</w:t>
      </w:r>
      <w:r w:rsidRPr="00F74671">
        <w:rPr>
          <w:rFonts w:ascii="Calibri" w:hAnsi="Calibri" w:cs="Calibri"/>
          <w:sz w:val="21"/>
          <w:szCs w:val="21"/>
        </w:rPr>
        <w:t xml:space="preserve"> vertinami balais. Jei parametrai atitinka keliamus reikalavimus, skiriamų balų skaičius kiekvienam iš parametrų nurodytas 2 lentelėje. Priešingu atveju parametrams suteikiama 0 balų.</w:t>
      </w:r>
    </w:p>
    <w:p w14:paraId="432F71C7" w14:textId="77777777" w:rsidR="003C4B38" w:rsidRPr="00F74671" w:rsidRDefault="003C4B38" w:rsidP="003C4B38">
      <w:pPr>
        <w:pStyle w:val="Body"/>
        <w:jc w:val="both"/>
        <w:rPr>
          <w:rFonts w:ascii="Calibri" w:hAnsi="Calibri" w:cs="Calibri"/>
          <w:sz w:val="21"/>
          <w:szCs w:val="21"/>
        </w:rPr>
      </w:pPr>
    </w:p>
    <w:p w14:paraId="0E2CAF18" w14:textId="77777777" w:rsidR="003C4B38" w:rsidRPr="00F74671" w:rsidRDefault="003C4B38" w:rsidP="003C4B38">
      <w:pPr>
        <w:pStyle w:val="Body"/>
        <w:numPr>
          <w:ilvl w:val="0"/>
          <w:numId w:val="47"/>
        </w:numPr>
        <w:jc w:val="both"/>
        <w:rPr>
          <w:rFonts w:ascii="Calibri" w:hAnsi="Calibri" w:cs="Calibri"/>
          <w:sz w:val="21"/>
          <w:szCs w:val="21"/>
        </w:rPr>
      </w:pPr>
      <w:r w:rsidRPr="00F74671">
        <w:rPr>
          <w:rFonts w:ascii="Calibri" w:hAnsi="Calibri" w:cs="Calibri"/>
          <w:sz w:val="21"/>
          <w:szCs w:val="21"/>
        </w:rPr>
        <w:t>Tiekėjų surinkti ekonominio naudingumo balai bus perskaičiuojami, jei tiekėjo pasiūlymas, kurio pirkimo metu nustatyto parametro reikšmė buvo geriausia ir su ja buvo lyginamos kitų dalyvių parametrų reikšmės:</w:t>
      </w:r>
    </w:p>
    <w:p w14:paraId="6345F05A" w14:textId="77777777" w:rsidR="003C4B38" w:rsidRPr="00F74671" w:rsidRDefault="003C4B38" w:rsidP="003C4B38">
      <w:pPr>
        <w:pStyle w:val="Body"/>
        <w:numPr>
          <w:ilvl w:val="2"/>
          <w:numId w:val="47"/>
        </w:numPr>
        <w:jc w:val="both"/>
        <w:rPr>
          <w:rFonts w:ascii="Calibri" w:hAnsi="Calibri" w:cs="Calibri"/>
          <w:sz w:val="21"/>
          <w:szCs w:val="21"/>
        </w:rPr>
      </w:pPr>
      <w:r w:rsidRPr="00F74671">
        <w:rPr>
          <w:rFonts w:ascii="Calibri" w:hAnsi="Calibri" w:cs="Calibri"/>
          <w:sz w:val="21"/>
          <w:szCs w:val="21"/>
        </w:rPr>
        <w:t>yra atmetamas;</w:t>
      </w:r>
    </w:p>
    <w:p w14:paraId="0D229539" w14:textId="77777777" w:rsidR="003C4B38" w:rsidRPr="00F74671" w:rsidRDefault="003C4B38" w:rsidP="003C4B38">
      <w:pPr>
        <w:pStyle w:val="Body"/>
        <w:numPr>
          <w:ilvl w:val="2"/>
          <w:numId w:val="47"/>
        </w:numPr>
        <w:jc w:val="both"/>
        <w:rPr>
          <w:rFonts w:ascii="Calibri" w:hAnsi="Calibri" w:cs="Calibri"/>
          <w:sz w:val="21"/>
          <w:szCs w:val="21"/>
        </w:rPr>
      </w:pPr>
      <w:r w:rsidRPr="00F74671">
        <w:rPr>
          <w:rFonts w:ascii="Calibri" w:hAnsi="Calibri" w:cs="Calibri"/>
          <w:sz w:val="21"/>
          <w:szCs w:val="21"/>
        </w:rPr>
        <w:t>tiekėjas atšaukia savo pasiūlymą.</w:t>
      </w:r>
    </w:p>
    <w:p w14:paraId="02C36E19" w14:textId="77777777" w:rsidR="003C4B38" w:rsidRPr="00F74671" w:rsidRDefault="003C4B38" w:rsidP="003C4B38">
      <w:pPr>
        <w:pStyle w:val="Body"/>
        <w:numPr>
          <w:ilvl w:val="1"/>
          <w:numId w:val="47"/>
        </w:numPr>
        <w:jc w:val="both"/>
        <w:rPr>
          <w:rFonts w:ascii="Calibri" w:hAnsi="Calibri" w:cs="Calibri"/>
          <w:sz w:val="21"/>
          <w:szCs w:val="21"/>
        </w:rPr>
      </w:pPr>
      <w:r w:rsidRPr="00F74671">
        <w:rPr>
          <w:rFonts w:ascii="Calibri" w:hAnsi="Calibri" w:cs="Calibri"/>
          <w:sz w:val="21"/>
          <w:szCs w:val="21"/>
        </w:rPr>
        <w:t>Kriterijų balai apvalinami paliekant 2 (du) skaitmenis po kablelio.</w:t>
      </w:r>
    </w:p>
    <w:p w14:paraId="1E636603" w14:textId="77777777" w:rsidR="003C4B38" w:rsidRPr="00F74671" w:rsidRDefault="003C4B38" w:rsidP="003C4B38">
      <w:pPr>
        <w:pStyle w:val="Body"/>
        <w:jc w:val="both"/>
        <w:rPr>
          <w:rFonts w:ascii="Calibri" w:hAnsi="Calibri" w:cs="Calibri"/>
          <w:sz w:val="21"/>
          <w:szCs w:val="21"/>
        </w:rPr>
      </w:pPr>
    </w:p>
    <w:p w14:paraId="664D4C05" w14:textId="77777777" w:rsidR="003C4B38" w:rsidRPr="00F74671" w:rsidRDefault="003C4B38" w:rsidP="003C4B38">
      <w:pPr>
        <w:pStyle w:val="Body"/>
        <w:numPr>
          <w:ilvl w:val="0"/>
          <w:numId w:val="47"/>
        </w:numPr>
        <w:jc w:val="both"/>
        <w:rPr>
          <w:rFonts w:ascii="Calibri" w:hAnsi="Calibri" w:cs="Calibri"/>
          <w:sz w:val="21"/>
          <w:szCs w:val="21"/>
        </w:rPr>
      </w:pPr>
      <w:r w:rsidRPr="00F74671">
        <w:rPr>
          <w:rFonts w:ascii="Calibri" w:hAnsi="Calibri" w:cs="Calibri"/>
          <w:sz w:val="21"/>
          <w:szCs w:val="21"/>
        </w:rPr>
        <w:t>Tais atvejais, kai kelių dalyvių pasiūlymų ekonominis naudingumas yra vienodas, nustatant pasiūlymų eilę, pirmesnis į šią eilę įrašomas tiekėjas, kurio pasiūlymas pateiktas anksčiausiai.</w:t>
      </w:r>
    </w:p>
    <w:p w14:paraId="4D32244C" w14:textId="3FE0DBA8" w:rsidR="00D33821" w:rsidRPr="00682B25" w:rsidRDefault="00D33821" w:rsidP="00D33821">
      <w:pPr>
        <w:jc w:val="center"/>
        <w:rPr>
          <w:rFonts w:cstheme="minorHAnsi"/>
          <w:b/>
          <w:bCs/>
          <w:smallCaps/>
          <w:sz w:val="22"/>
          <w:szCs w:val="22"/>
        </w:rPr>
      </w:pPr>
      <w:r w:rsidRPr="00682B25">
        <w:rPr>
          <w:rFonts w:cstheme="minorHAnsi"/>
          <w:sz w:val="22"/>
          <w:szCs w:val="22"/>
        </w:rPr>
        <w:t>________</w:t>
      </w:r>
      <w:bookmarkEnd w:id="65"/>
      <w:bookmarkEnd w:id="66"/>
      <w:bookmarkEnd w:id="67"/>
    </w:p>
    <w:sectPr w:rsidR="00D33821"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F73CC" w14:textId="77777777" w:rsidR="00EA54C1" w:rsidRDefault="00EA54C1" w:rsidP="00D05666">
      <w:r>
        <w:separator/>
      </w:r>
    </w:p>
  </w:endnote>
  <w:endnote w:type="continuationSeparator" w:id="0">
    <w:p w14:paraId="703B08B8" w14:textId="77777777" w:rsidR="00EA54C1" w:rsidRDefault="00EA54C1" w:rsidP="00D05666">
      <w:r>
        <w:continuationSeparator/>
      </w:r>
    </w:p>
  </w:endnote>
  <w:endnote w:type="continuationNotice" w:id="1">
    <w:p w14:paraId="2835F72D" w14:textId="77777777" w:rsidR="00EA54C1" w:rsidRDefault="00EA54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A73A" w14:textId="77777777" w:rsidR="00EA54C1" w:rsidRDefault="00EA54C1" w:rsidP="00D05666">
      <w:r>
        <w:separator/>
      </w:r>
    </w:p>
  </w:footnote>
  <w:footnote w:type="continuationSeparator" w:id="0">
    <w:p w14:paraId="4D169EFF" w14:textId="77777777" w:rsidR="00EA54C1" w:rsidRDefault="00EA54C1" w:rsidP="00D05666">
      <w:r>
        <w:continuationSeparator/>
      </w:r>
    </w:p>
  </w:footnote>
  <w:footnote w:type="continuationNotice" w:id="1">
    <w:p w14:paraId="2EAA3E84" w14:textId="77777777" w:rsidR="00EA54C1" w:rsidRDefault="00EA54C1">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5124E90"/>
    <w:multiLevelType w:val="multilevel"/>
    <w:tmpl w:val="08029530"/>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AA3E9DF0"/>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4"/>
  </w:num>
  <w:num w:numId="6" w16cid:durableId="1484615006">
    <w:abstractNumId w:val="37"/>
  </w:num>
  <w:num w:numId="7" w16cid:durableId="607934237">
    <w:abstractNumId w:val="29"/>
  </w:num>
  <w:num w:numId="8" w16cid:durableId="408162091">
    <w:abstractNumId w:val="44"/>
  </w:num>
  <w:num w:numId="9" w16cid:durableId="12269543">
    <w:abstractNumId w:val="42"/>
  </w:num>
  <w:num w:numId="10" w16cid:durableId="749809940">
    <w:abstractNumId w:val="3"/>
  </w:num>
  <w:num w:numId="11" w16cid:durableId="412043720">
    <w:abstractNumId w:val="43"/>
  </w:num>
  <w:num w:numId="12" w16cid:durableId="1996449446">
    <w:abstractNumId w:val="39"/>
  </w:num>
  <w:num w:numId="13" w16cid:durableId="1482305889">
    <w:abstractNumId w:val="36"/>
  </w:num>
  <w:num w:numId="14" w16cid:durableId="32313854">
    <w:abstractNumId w:val="21"/>
  </w:num>
  <w:num w:numId="15" w16cid:durableId="1318921492">
    <w:abstractNumId w:val="28"/>
  </w:num>
  <w:num w:numId="16" w16cid:durableId="1864435576">
    <w:abstractNumId w:val="38"/>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3"/>
  </w:num>
  <w:num w:numId="22" w16cid:durableId="1683705037">
    <w:abstractNumId w:val="8"/>
  </w:num>
  <w:num w:numId="23" w16cid:durableId="256863186">
    <w:abstractNumId w:val="5"/>
  </w:num>
  <w:num w:numId="24" w16cid:durableId="1419787664">
    <w:abstractNumId w:val="45"/>
  </w:num>
  <w:num w:numId="25" w16cid:durableId="328021677">
    <w:abstractNumId w:val="32"/>
  </w:num>
  <w:num w:numId="26" w16cid:durableId="913508862">
    <w:abstractNumId w:val="41"/>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1"/>
  </w:num>
  <w:num w:numId="39" w16cid:durableId="878519037">
    <w:abstractNumId w:val="4"/>
  </w:num>
  <w:num w:numId="40" w16cid:durableId="1032220187">
    <w:abstractNumId w:val="27"/>
  </w:num>
  <w:num w:numId="41" w16cid:durableId="752580688">
    <w:abstractNumId w:val="40"/>
  </w:num>
  <w:num w:numId="42" w16cid:durableId="1229463082">
    <w:abstractNumId w:val="9"/>
  </w:num>
  <w:num w:numId="43" w16cid:durableId="252469303">
    <w:abstractNumId w:val="11"/>
  </w:num>
  <w:num w:numId="44" w16cid:durableId="131945100">
    <w:abstractNumId w:val="35"/>
  </w:num>
  <w:num w:numId="45" w16cid:durableId="796070810">
    <w:abstractNumId w:val="24"/>
  </w:num>
  <w:num w:numId="46" w16cid:durableId="723064401">
    <w:abstractNumId w:val="23"/>
  </w:num>
  <w:num w:numId="47" w16cid:durableId="297228436">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C06"/>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93"/>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4F58"/>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AE6"/>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5CB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7EB"/>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BF5"/>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5E3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1F7D12"/>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AC"/>
    <w:rsid w:val="00225BEF"/>
    <w:rsid w:val="002267DE"/>
    <w:rsid w:val="00226AD0"/>
    <w:rsid w:val="002279BC"/>
    <w:rsid w:val="00230678"/>
    <w:rsid w:val="002306AB"/>
    <w:rsid w:val="00230E27"/>
    <w:rsid w:val="00231166"/>
    <w:rsid w:val="002314BC"/>
    <w:rsid w:val="0023232F"/>
    <w:rsid w:val="00232A75"/>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379B"/>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55C"/>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6F9"/>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2C"/>
    <w:rsid w:val="00294F5D"/>
    <w:rsid w:val="00295209"/>
    <w:rsid w:val="002955C5"/>
    <w:rsid w:val="00295881"/>
    <w:rsid w:val="00295D03"/>
    <w:rsid w:val="002960E2"/>
    <w:rsid w:val="00297040"/>
    <w:rsid w:val="002970CF"/>
    <w:rsid w:val="002971AA"/>
    <w:rsid w:val="00297490"/>
    <w:rsid w:val="002974D4"/>
    <w:rsid w:val="002A00F8"/>
    <w:rsid w:val="002A08C3"/>
    <w:rsid w:val="002A16BF"/>
    <w:rsid w:val="002A1EB6"/>
    <w:rsid w:val="002A25D9"/>
    <w:rsid w:val="002A2E1C"/>
    <w:rsid w:val="002A32E8"/>
    <w:rsid w:val="002A3B3E"/>
    <w:rsid w:val="002A3C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574"/>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4E32"/>
    <w:rsid w:val="002F5129"/>
    <w:rsid w:val="002F536E"/>
    <w:rsid w:val="002F5A85"/>
    <w:rsid w:val="002F5E32"/>
    <w:rsid w:val="002F5EE2"/>
    <w:rsid w:val="002F5F47"/>
    <w:rsid w:val="002F5F8E"/>
    <w:rsid w:val="002F62A3"/>
    <w:rsid w:val="002F667E"/>
    <w:rsid w:val="002F67FD"/>
    <w:rsid w:val="002F6C93"/>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07E92"/>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63EB"/>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998"/>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1B8"/>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85E"/>
    <w:rsid w:val="00360DB9"/>
    <w:rsid w:val="00360F9B"/>
    <w:rsid w:val="00361525"/>
    <w:rsid w:val="003617F1"/>
    <w:rsid w:val="00362114"/>
    <w:rsid w:val="003625CD"/>
    <w:rsid w:val="00362719"/>
    <w:rsid w:val="00362B3A"/>
    <w:rsid w:val="00363134"/>
    <w:rsid w:val="00363505"/>
    <w:rsid w:val="00363D95"/>
    <w:rsid w:val="00365384"/>
    <w:rsid w:val="003659F9"/>
    <w:rsid w:val="003660B8"/>
    <w:rsid w:val="00366FC8"/>
    <w:rsid w:val="003671C3"/>
    <w:rsid w:val="003671CF"/>
    <w:rsid w:val="00370489"/>
    <w:rsid w:val="00370682"/>
    <w:rsid w:val="00370850"/>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56A"/>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BBD"/>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124"/>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B38"/>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057"/>
    <w:rsid w:val="003F3C34"/>
    <w:rsid w:val="003F3EFE"/>
    <w:rsid w:val="003F3FC9"/>
    <w:rsid w:val="003F4245"/>
    <w:rsid w:val="003F4C28"/>
    <w:rsid w:val="003F5265"/>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11E"/>
    <w:rsid w:val="0041525C"/>
    <w:rsid w:val="00415593"/>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5F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70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87BB0"/>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12C"/>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0740"/>
    <w:rsid w:val="004D1010"/>
    <w:rsid w:val="004D248A"/>
    <w:rsid w:val="004D2D25"/>
    <w:rsid w:val="004D3703"/>
    <w:rsid w:val="004D3BE3"/>
    <w:rsid w:val="004D416B"/>
    <w:rsid w:val="004D459D"/>
    <w:rsid w:val="004D4796"/>
    <w:rsid w:val="004D4C7B"/>
    <w:rsid w:val="004D57E9"/>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276"/>
    <w:rsid w:val="004F6FEF"/>
    <w:rsid w:val="004F7943"/>
    <w:rsid w:val="004F7A7D"/>
    <w:rsid w:val="005002B8"/>
    <w:rsid w:val="005003B7"/>
    <w:rsid w:val="00500818"/>
    <w:rsid w:val="00501200"/>
    <w:rsid w:val="00501215"/>
    <w:rsid w:val="00501783"/>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38F"/>
    <w:rsid w:val="005464B7"/>
    <w:rsid w:val="005466FD"/>
    <w:rsid w:val="005470C2"/>
    <w:rsid w:val="00547265"/>
    <w:rsid w:val="00547443"/>
    <w:rsid w:val="00547FB2"/>
    <w:rsid w:val="005505A6"/>
    <w:rsid w:val="005505BF"/>
    <w:rsid w:val="00550B41"/>
    <w:rsid w:val="00550CF7"/>
    <w:rsid w:val="00551B0D"/>
    <w:rsid w:val="00551FA7"/>
    <w:rsid w:val="005521BA"/>
    <w:rsid w:val="00553286"/>
    <w:rsid w:val="00553E2C"/>
    <w:rsid w:val="0055471D"/>
    <w:rsid w:val="0055476C"/>
    <w:rsid w:val="00554794"/>
    <w:rsid w:val="00554E38"/>
    <w:rsid w:val="00555961"/>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130"/>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4DCE"/>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0FD0"/>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5B"/>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A2F"/>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0FF"/>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1ED6"/>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25B"/>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19E"/>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4DD"/>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179"/>
    <w:rsid w:val="00680281"/>
    <w:rsid w:val="00680777"/>
    <w:rsid w:val="00680A28"/>
    <w:rsid w:val="00681B90"/>
    <w:rsid w:val="00681CDE"/>
    <w:rsid w:val="00681E77"/>
    <w:rsid w:val="006824FC"/>
    <w:rsid w:val="00682B25"/>
    <w:rsid w:val="00683104"/>
    <w:rsid w:val="006831DB"/>
    <w:rsid w:val="006837D6"/>
    <w:rsid w:val="00683A19"/>
    <w:rsid w:val="0068448B"/>
    <w:rsid w:val="0068485B"/>
    <w:rsid w:val="00684A39"/>
    <w:rsid w:val="00684E3B"/>
    <w:rsid w:val="00685538"/>
    <w:rsid w:val="00685C49"/>
    <w:rsid w:val="00685F30"/>
    <w:rsid w:val="00685F98"/>
    <w:rsid w:val="006864E5"/>
    <w:rsid w:val="0068660C"/>
    <w:rsid w:val="006869E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0F53"/>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04F"/>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4DA2"/>
    <w:rsid w:val="006F506C"/>
    <w:rsid w:val="006F5A9F"/>
    <w:rsid w:val="006F5B33"/>
    <w:rsid w:val="006F631C"/>
    <w:rsid w:val="006F6DAA"/>
    <w:rsid w:val="006F70B9"/>
    <w:rsid w:val="006F7115"/>
    <w:rsid w:val="006F7206"/>
    <w:rsid w:val="006F7318"/>
    <w:rsid w:val="006F7CD3"/>
    <w:rsid w:val="006F7E59"/>
    <w:rsid w:val="00700404"/>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2D63"/>
    <w:rsid w:val="00723157"/>
    <w:rsid w:val="00723211"/>
    <w:rsid w:val="007233E8"/>
    <w:rsid w:val="007233EE"/>
    <w:rsid w:val="00723492"/>
    <w:rsid w:val="00723BB5"/>
    <w:rsid w:val="00723BBB"/>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8F2"/>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7BD"/>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129"/>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26"/>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B02"/>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78B"/>
    <w:rsid w:val="00822F6E"/>
    <w:rsid w:val="00822FE2"/>
    <w:rsid w:val="00823B5F"/>
    <w:rsid w:val="00823BF2"/>
    <w:rsid w:val="00823EAC"/>
    <w:rsid w:val="0082502F"/>
    <w:rsid w:val="008253EC"/>
    <w:rsid w:val="0082571E"/>
    <w:rsid w:val="00825FEE"/>
    <w:rsid w:val="0082692A"/>
    <w:rsid w:val="00826A7E"/>
    <w:rsid w:val="00826BCB"/>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4DD1"/>
    <w:rsid w:val="00835378"/>
    <w:rsid w:val="008358C9"/>
    <w:rsid w:val="00835AA5"/>
    <w:rsid w:val="0083631C"/>
    <w:rsid w:val="00836AC1"/>
    <w:rsid w:val="00837056"/>
    <w:rsid w:val="008370DC"/>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3F9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5B6"/>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3B1A"/>
    <w:rsid w:val="0088491E"/>
    <w:rsid w:val="00884B13"/>
    <w:rsid w:val="00884D1B"/>
    <w:rsid w:val="0088536D"/>
    <w:rsid w:val="00885BCC"/>
    <w:rsid w:val="0088693C"/>
    <w:rsid w:val="008877C1"/>
    <w:rsid w:val="00887B5D"/>
    <w:rsid w:val="00887DF1"/>
    <w:rsid w:val="008905E4"/>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5FC3"/>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6588"/>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5CF1"/>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56F"/>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4798B"/>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924"/>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41C"/>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F9E"/>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28"/>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3EA8"/>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47"/>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568"/>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1A4"/>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36B"/>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2B"/>
    <w:rsid w:val="00A45433"/>
    <w:rsid w:val="00A4580A"/>
    <w:rsid w:val="00A45986"/>
    <w:rsid w:val="00A45994"/>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5A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AA2"/>
    <w:rsid w:val="00AC4D1F"/>
    <w:rsid w:val="00AC52F4"/>
    <w:rsid w:val="00AC6541"/>
    <w:rsid w:val="00AC69AA"/>
    <w:rsid w:val="00AC6CCC"/>
    <w:rsid w:val="00AC6F14"/>
    <w:rsid w:val="00AC7575"/>
    <w:rsid w:val="00AC7C29"/>
    <w:rsid w:val="00AD010C"/>
    <w:rsid w:val="00AD0319"/>
    <w:rsid w:val="00AD0431"/>
    <w:rsid w:val="00AD049D"/>
    <w:rsid w:val="00AD04EB"/>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A28"/>
    <w:rsid w:val="00AD7C0D"/>
    <w:rsid w:val="00AD7D83"/>
    <w:rsid w:val="00AE0545"/>
    <w:rsid w:val="00AE0668"/>
    <w:rsid w:val="00AE1244"/>
    <w:rsid w:val="00AE1C59"/>
    <w:rsid w:val="00AE1C5F"/>
    <w:rsid w:val="00AE2B70"/>
    <w:rsid w:val="00AE2EDC"/>
    <w:rsid w:val="00AE31FC"/>
    <w:rsid w:val="00AE3439"/>
    <w:rsid w:val="00AE422D"/>
    <w:rsid w:val="00AE49FC"/>
    <w:rsid w:val="00AE4BFA"/>
    <w:rsid w:val="00AE55E5"/>
    <w:rsid w:val="00AE60D1"/>
    <w:rsid w:val="00AE6BCB"/>
    <w:rsid w:val="00AE7624"/>
    <w:rsid w:val="00AE7C48"/>
    <w:rsid w:val="00AF01AB"/>
    <w:rsid w:val="00AF0A85"/>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6EE"/>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7E5"/>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0B"/>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982"/>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3E86"/>
    <w:rsid w:val="00BA4ACB"/>
    <w:rsid w:val="00BA4D96"/>
    <w:rsid w:val="00BA4E9E"/>
    <w:rsid w:val="00BA5479"/>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4C9"/>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2CE"/>
    <w:rsid w:val="00BD359C"/>
    <w:rsid w:val="00BD3C64"/>
    <w:rsid w:val="00BD41D7"/>
    <w:rsid w:val="00BD4544"/>
    <w:rsid w:val="00BD498D"/>
    <w:rsid w:val="00BD49DA"/>
    <w:rsid w:val="00BD584D"/>
    <w:rsid w:val="00BD5C33"/>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EF4"/>
    <w:rsid w:val="00BF2F5C"/>
    <w:rsid w:val="00BF386F"/>
    <w:rsid w:val="00BF4236"/>
    <w:rsid w:val="00BF4594"/>
    <w:rsid w:val="00BF4890"/>
    <w:rsid w:val="00BF49C7"/>
    <w:rsid w:val="00BF5928"/>
    <w:rsid w:val="00BF5AEB"/>
    <w:rsid w:val="00BF61CB"/>
    <w:rsid w:val="00BF66C9"/>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719"/>
    <w:rsid w:val="00C41F75"/>
    <w:rsid w:val="00C42A0E"/>
    <w:rsid w:val="00C43547"/>
    <w:rsid w:val="00C438F5"/>
    <w:rsid w:val="00C4393C"/>
    <w:rsid w:val="00C43FFF"/>
    <w:rsid w:val="00C441D7"/>
    <w:rsid w:val="00C4463D"/>
    <w:rsid w:val="00C447D2"/>
    <w:rsid w:val="00C44B47"/>
    <w:rsid w:val="00C454E5"/>
    <w:rsid w:val="00C456B1"/>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0FC"/>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3769"/>
    <w:rsid w:val="00C742CB"/>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3F43"/>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4F87"/>
    <w:rsid w:val="00CF6185"/>
    <w:rsid w:val="00CF63E5"/>
    <w:rsid w:val="00CF66FF"/>
    <w:rsid w:val="00CF705D"/>
    <w:rsid w:val="00CF7B33"/>
    <w:rsid w:val="00D00392"/>
    <w:rsid w:val="00D00870"/>
    <w:rsid w:val="00D00B14"/>
    <w:rsid w:val="00D00CE9"/>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1DD"/>
    <w:rsid w:val="00D17273"/>
    <w:rsid w:val="00D1737C"/>
    <w:rsid w:val="00D174EE"/>
    <w:rsid w:val="00D17945"/>
    <w:rsid w:val="00D17972"/>
    <w:rsid w:val="00D17DBE"/>
    <w:rsid w:val="00D202BA"/>
    <w:rsid w:val="00D20B5F"/>
    <w:rsid w:val="00D217E7"/>
    <w:rsid w:val="00D22226"/>
    <w:rsid w:val="00D22DC3"/>
    <w:rsid w:val="00D232F1"/>
    <w:rsid w:val="00D23C27"/>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37A6A"/>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46"/>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9FE"/>
    <w:rsid w:val="00D53BF4"/>
    <w:rsid w:val="00D53F79"/>
    <w:rsid w:val="00D5428E"/>
    <w:rsid w:val="00D54476"/>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56E"/>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8FF"/>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2EE"/>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8E8"/>
    <w:rsid w:val="00DE0954"/>
    <w:rsid w:val="00DE0A53"/>
    <w:rsid w:val="00DE0AF9"/>
    <w:rsid w:val="00DE1720"/>
    <w:rsid w:val="00DE18FF"/>
    <w:rsid w:val="00DE2046"/>
    <w:rsid w:val="00DE290C"/>
    <w:rsid w:val="00DE29F0"/>
    <w:rsid w:val="00DE2BA5"/>
    <w:rsid w:val="00DE34A5"/>
    <w:rsid w:val="00DE36F4"/>
    <w:rsid w:val="00DE37BE"/>
    <w:rsid w:val="00DE3BC4"/>
    <w:rsid w:val="00DE3BF2"/>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F3"/>
    <w:rsid w:val="00DF75AC"/>
    <w:rsid w:val="00DF7D38"/>
    <w:rsid w:val="00DF7FC3"/>
    <w:rsid w:val="00E00853"/>
    <w:rsid w:val="00E0152E"/>
    <w:rsid w:val="00E01599"/>
    <w:rsid w:val="00E0179C"/>
    <w:rsid w:val="00E019C3"/>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54"/>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47C15"/>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9ED"/>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4CAA"/>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CC4"/>
    <w:rsid w:val="00EA4E23"/>
    <w:rsid w:val="00EA5129"/>
    <w:rsid w:val="00EA526A"/>
    <w:rsid w:val="00EA54C1"/>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606"/>
    <w:rsid w:val="00EC0799"/>
    <w:rsid w:val="00EC121F"/>
    <w:rsid w:val="00EC1554"/>
    <w:rsid w:val="00EC1B6F"/>
    <w:rsid w:val="00EC214E"/>
    <w:rsid w:val="00EC3339"/>
    <w:rsid w:val="00EC3D6D"/>
    <w:rsid w:val="00EC3E8D"/>
    <w:rsid w:val="00EC42F8"/>
    <w:rsid w:val="00EC489F"/>
    <w:rsid w:val="00EC4989"/>
    <w:rsid w:val="00EC4A1B"/>
    <w:rsid w:val="00EC4CB7"/>
    <w:rsid w:val="00EC4EBE"/>
    <w:rsid w:val="00EC5275"/>
    <w:rsid w:val="00EC76CF"/>
    <w:rsid w:val="00EC77B6"/>
    <w:rsid w:val="00EC7920"/>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1F3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8B"/>
    <w:rsid w:val="00EE7654"/>
    <w:rsid w:val="00EE7BB8"/>
    <w:rsid w:val="00EE7CE7"/>
    <w:rsid w:val="00EF0784"/>
    <w:rsid w:val="00EF13E9"/>
    <w:rsid w:val="00EF15D4"/>
    <w:rsid w:val="00EF1BD4"/>
    <w:rsid w:val="00EF1C22"/>
    <w:rsid w:val="00EF22B7"/>
    <w:rsid w:val="00EF2C7C"/>
    <w:rsid w:val="00EF393F"/>
    <w:rsid w:val="00EF39AA"/>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01F"/>
    <w:rsid w:val="00F23501"/>
    <w:rsid w:val="00F2352E"/>
    <w:rsid w:val="00F235F7"/>
    <w:rsid w:val="00F23899"/>
    <w:rsid w:val="00F23D3F"/>
    <w:rsid w:val="00F24122"/>
    <w:rsid w:val="00F2421D"/>
    <w:rsid w:val="00F25241"/>
    <w:rsid w:val="00F272C0"/>
    <w:rsid w:val="00F27304"/>
    <w:rsid w:val="00F27B38"/>
    <w:rsid w:val="00F27E08"/>
    <w:rsid w:val="00F27F9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F6"/>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671"/>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0D5"/>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68C"/>
    <w:rsid w:val="00FD0898"/>
    <w:rsid w:val="00FD0E37"/>
    <w:rsid w:val="00FD1465"/>
    <w:rsid w:val="00FD1A28"/>
    <w:rsid w:val="00FD1C4D"/>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59B014"/>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C856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12EC76"/>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4D1AE9"/>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60841F"/>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9AB0F12-E38E-4D52-8976-B3DF2B2B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Body">
    <w:name w:val="Body"/>
    <w:rsid w:val="003C4B3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2"/>
      <w:szCs w:val="22"/>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73BF5D48-87E7-4B8C-B3C5-C0ACAE855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4275</Words>
  <Characters>30997</Characters>
  <Application>Microsoft Office Word</Application>
  <DocSecurity>0</DocSecurity>
  <Lines>659</Lines>
  <Paragraphs>291</Paragraphs>
  <ScaleCrop>false</ScaleCrop>
  <Company/>
  <LinksUpToDate>false</LinksUpToDate>
  <CharactersWithSpaces>34981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1754</cp:revision>
  <cp:lastPrinted>2025-03-02T11:45:00Z</cp:lastPrinted>
  <dcterms:created xsi:type="dcterms:W3CDTF">2026-02-12T07:45:00Z</dcterms:created>
  <dcterms:modified xsi:type="dcterms:W3CDTF">2026-04-22T12:12:00Z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