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EB8" w14:textId="1C98F7C2" w:rsidR="009D4042" w:rsidRPr="00F40691" w:rsidRDefault="00C1185F" w:rsidP="00A97603">
      <w:pPr>
        <w:spacing w:after="0" w:line="240" w:lineRule="auto"/>
        <w:rPr>
          <w:rFonts w:ascii="Arial" w:hAnsi="Arial" w:cs="Arial"/>
        </w:rPr>
      </w:pPr>
      <w:r w:rsidRPr="00F40691">
        <w:rPr>
          <w:rFonts w:ascii="Arial" w:hAnsi="Arial" w:cs="Arial"/>
        </w:rPr>
        <w:t xml:space="preserve"> </w:t>
      </w:r>
    </w:p>
    <w:p w14:paraId="05E04DD0" w14:textId="5106983E" w:rsidR="005F7CE3" w:rsidRPr="00F40691" w:rsidRDefault="005F7CE3" w:rsidP="00A97603">
      <w:pPr>
        <w:tabs>
          <w:tab w:val="left" w:pos="3402"/>
        </w:tabs>
        <w:spacing w:after="0" w:line="240" w:lineRule="auto"/>
        <w:rPr>
          <w:rFonts w:ascii="Arial" w:hAnsi="Arial" w:cs="Arial"/>
        </w:rPr>
      </w:pPr>
      <w:r w:rsidRPr="00F40691">
        <w:rPr>
          <w:rStyle w:val="normaltextrun"/>
          <w:rFonts w:ascii="Arial" w:hAnsi="Arial" w:cs="Arial"/>
          <w:color w:val="333333"/>
          <w:u w:val="single"/>
          <w:shd w:val="clear" w:color="auto" w:fill="FFFFFF"/>
        </w:rPr>
        <w:t>Pranešimo tekstas suinteresuotiems tiekėjams</w:t>
      </w:r>
      <w:r w:rsidRPr="00F40691">
        <w:rPr>
          <w:rFonts w:ascii="Arial" w:hAnsi="Arial" w:cs="Arial"/>
        </w:rPr>
        <w:t xml:space="preserve">                                                        2026-0</w:t>
      </w:r>
      <w:r w:rsidR="00FA2638" w:rsidRPr="00F40691">
        <w:rPr>
          <w:rFonts w:ascii="Arial" w:hAnsi="Arial" w:cs="Arial"/>
        </w:rPr>
        <w:t>4</w:t>
      </w:r>
      <w:r w:rsidRPr="00F40691">
        <w:rPr>
          <w:rFonts w:ascii="Arial" w:hAnsi="Arial" w:cs="Arial"/>
        </w:rPr>
        <w:t>-</w:t>
      </w:r>
      <w:r w:rsidR="00F95F7A" w:rsidRPr="00F40691">
        <w:rPr>
          <w:rFonts w:ascii="Arial" w:hAnsi="Arial" w:cs="Arial"/>
        </w:rPr>
        <w:t>22</w:t>
      </w:r>
    </w:p>
    <w:p w14:paraId="0915C768" w14:textId="77777777" w:rsidR="005F7CE3" w:rsidRPr="00F40691" w:rsidRDefault="005F7CE3" w:rsidP="00A97603">
      <w:pPr>
        <w:spacing w:after="0" w:line="240" w:lineRule="auto"/>
        <w:rPr>
          <w:rFonts w:ascii="Arial" w:hAnsi="Arial" w:cs="Arial"/>
          <w:i/>
          <w:u w:val="single"/>
        </w:rPr>
      </w:pPr>
      <w:r w:rsidRPr="00F40691">
        <w:rPr>
          <w:rFonts w:ascii="Arial" w:hAnsi="Arial" w:cs="Arial"/>
          <w:i/>
          <w:u w:val="single"/>
        </w:rPr>
        <w:t>(Siunčiama CVP IS elektroninėmis priemonėmis)</w:t>
      </w:r>
    </w:p>
    <w:p w14:paraId="238FA604" w14:textId="77777777" w:rsidR="005F7CE3" w:rsidRPr="00F40691" w:rsidRDefault="005F7CE3" w:rsidP="00A97603">
      <w:pPr>
        <w:pStyle w:val="Pavadinimas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58E0BAFF" w14:textId="77777777" w:rsidR="005F7CE3" w:rsidRPr="00F40691" w:rsidRDefault="005F7CE3" w:rsidP="00A97603">
      <w:pPr>
        <w:pStyle w:val="Pavadinimas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4072B6C8" w14:textId="541D8B0E" w:rsidR="005F7CE3" w:rsidRPr="00F40691" w:rsidRDefault="005F7CE3" w:rsidP="00A97603">
      <w:pPr>
        <w:pStyle w:val="Pavadinimas"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40691">
        <w:rPr>
          <w:rFonts w:ascii="Arial" w:hAnsi="Arial" w:cs="Arial"/>
          <w:b/>
          <w:bCs/>
          <w:sz w:val="22"/>
          <w:szCs w:val="22"/>
        </w:rPr>
        <w:t>DĖL</w:t>
      </w:r>
      <w:r w:rsidRPr="00F40691">
        <w:rPr>
          <w:rFonts w:ascii="Arial" w:hAnsi="Arial" w:cs="Arial"/>
          <w:b/>
          <w:bCs/>
          <w:iCs/>
          <w:sz w:val="22"/>
          <w:szCs w:val="22"/>
        </w:rPr>
        <w:t xml:space="preserve"> ATSAKYM</w:t>
      </w:r>
      <w:r w:rsidR="002962A2" w:rsidRPr="00F40691">
        <w:rPr>
          <w:rFonts w:ascii="Arial" w:hAnsi="Arial" w:cs="Arial"/>
          <w:b/>
          <w:bCs/>
          <w:iCs/>
          <w:sz w:val="22"/>
          <w:szCs w:val="22"/>
        </w:rPr>
        <w:t>Ų</w:t>
      </w:r>
      <w:r w:rsidRPr="00F40691">
        <w:rPr>
          <w:rFonts w:ascii="Arial" w:hAnsi="Arial" w:cs="Arial"/>
          <w:b/>
          <w:bCs/>
          <w:iCs/>
          <w:sz w:val="22"/>
          <w:szCs w:val="22"/>
        </w:rPr>
        <w:t xml:space="preserve"> Į </w:t>
      </w:r>
      <w:r w:rsidR="007B3953" w:rsidRPr="00F40691">
        <w:rPr>
          <w:rFonts w:ascii="Arial" w:hAnsi="Arial" w:cs="Arial"/>
          <w:b/>
          <w:bCs/>
          <w:iCs/>
          <w:sz w:val="22"/>
          <w:szCs w:val="22"/>
        </w:rPr>
        <w:t xml:space="preserve">TIEKĖJŲ </w:t>
      </w:r>
      <w:r w:rsidRPr="00F40691">
        <w:rPr>
          <w:rFonts w:ascii="Arial" w:hAnsi="Arial" w:cs="Arial"/>
          <w:b/>
          <w:bCs/>
          <w:iCs/>
          <w:sz w:val="22"/>
          <w:szCs w:val="22"/>
        </w:rPr>
        <w:t>PATEIKT</w:t>
      </w:r>
      <w:r w:rsidR="00070C6C" w:rsidRPr="00F40691">
        <w:rPr>
          <w:rFonts w:ascii="Arial" w:hAnsi="Arial" w:cs="Arial"/>
          <w:b/>
          <w:bCs/>
          <w:iCs/>
          <w:sz w:val="22"/>
          <w:szCs w:val="22"/>
        </w:rPr>
        <w:t>US</w:t>
      </w:r>
      <w:r w:rsidRPr="00F40691">
        <w:rPr>
          <w:rFonts w:ascii="Arial" w:hAnsi="Arial" w:cs="Arial"/>
          <w:b/>
          <w:bCs/>
          <w:iCs/>
          <w:sz w:val="22"/>
          <w:szCs w:val="22"/>
        </w:rPr>
        <w:t xml:space="preserve"> KLAUSIM</w:t>
      </w:r>
      <w:r w:rsidR="002962A2" w:rsidRPr="00F40691">
        <w:rPr>
          <w:rFonts w:ascii="Arial" w:hAnsi="Arial" w:cs="Arial"/>
          <w:b/>
          <w:bCs/>
          <w:iCs/>
          <w:sz w:val="22"/>
          <w:szCs w:val="22"/>
        </w:rPr>
        <w:t>US</w:t>
      </w:r>
      <w:r w:rsidRPr="00F40691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BDAF0F3" w14:textId="77777777" w:rsidR="005F7CE3" w:rsidRPr="00F40691" w:rsidRDefault="005F7CE3" w:rsidP="00A97603">
      <w:pPr>
        <w:spacing w:after="0" w:line="240" w:lineRule="auto"/>
        <w:jc w:val="both"/>
        <w:rPr>
          <w:rFonts w:ascii="Arial" w:hAnsi="Arial" w:cs="Arial"/>
          <w:iCs/>
        </w:rPr>
      </w:pPr>
    </w:p>
    <w:p w14:paraId="695A4908" w14:textId="185944CC" w:rsidR="005F7CE3" w:rsidRPr="00F40691" w:rsidRDefault="005F7CE3" w:rsidP="00A9760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40691">
        <w:rPr>
          <w:rFonts w:ascii="Arial" w:hAnsi="Arial" w:cs="Arial"/>
        </w:rPr>
        <w:t xml:space="preserve">AB „Miesto gijos“  toliau – </w:t>
      </w:r>
      <w:r w:rsidRPr="00F40691">
        <w:rPr>
          <w:rFonts w:ascii="Arial" w:hAnsi="Arial" w:cs="Arial"/>
          <w:b/>
          <w:bCs/>
        </w:rPr>
        <w:t>Perkantysis subjektas</w:t>
      </w:r>
      <w:r w:rsidRPr="00F40691">
        <w:rPr>
          <w:rFonts w:ascii="Arial" w:hAnsi="Arial" w:cs="Arial"/>
        </w:rPr>
        <w:t xml:space="preserve">) vykdo </w:t>
      </w:r>
      <w:r w:rsidR="008A2326" w:rsidRPr="00F40691">
        <w:rPr>
          <w:rFonts w:ascii="Arial" w:hAnsi="Arial" w:cs="Arial"/>
        </w:rPr>
        <w:t>supaprastintas skelbiamas derybas „</w:t>
      </w:r>
      <w:r w:rsidR="00146BE8" w:rsidRPr="00F40691">
        <w:rPr>
          <w:rStyle w:val="Laukeliai"/>
          <w:rFonts w:cs="Arial"/>
          <w:b/>
          <w:bCs/>
          <w:sz w:val="22"/>
        </w:rPr>
        <w:t xml:space="preserve">Tinklo siurblių kompensatorių </w:t>
      </w:r>
      <w:r w:rsidR="00E76B6D" w:rsidRPr="00F40691">
        <w:rPr>
          <w:rStyle w:val="Laukeliai"/>
          <w:rFonts w:cs="Arial"/>
          <w:b/>
          <w:bCs/>
          <w:sz w:val="22"/>
        </w:rPr>
        <w:t>keitimas“,</w:t>
      </w:r>
      <w:r w:rsidR="00E76B6D" w:rsidRPr="00F40691">
        <w:rPr>
          <w:rFonts w:ascii="Arial" w:hAnsi="Arial" w:cs="Arial"/>
          <w:iCs/>
        </w:rPr>
        <w:t xml:space="preserve"> Centrinėje </w:t>
      </w:r>
      <w:r w:rsidRPr="00F40691">
        <w:rPr>
          <w:rFonts w:ascii="Arial" w:hAnsi="Arial" w:cs="Arial"/>
          <w:iCs/>
        </w:rPr>
        <w:t xml:space="preserve">viešųjų pirkimų </w:t>
      </w:r>
      <w:r w:rsidR="00E76B6D" w:rsidRPr="00F40691">
        <w:rPr>
          <w:rFonts w:ascii="Arial" w:hAnsi="Arial" w:cs="Arial"/>
          <w:iCs/>
        </w:rPr>
        <w:t xml:space="preserve">informacinėje sistemoje </w:t>
      </w:r>
      <w:r w:rsidRPr="00F40691">
        <w:rPr>
          <w:rFonts w:ascii="Arial" w:hAnsi="Arial" w:cs="Arial"/>
          <w:iCs/>
        </w:rPr>
        <w:t>(toliau – CVP IS) pirkimo ID</w:t>
      </w:r>
      <w:r w:rsidR="006A0AE0" w:rsidRPr="00F40691">
        <w:rPr>
          <w:rFonts w:ascii="Arial" w:hAnsi="Arial" w:cs="Arial"/>
          <w:iCs/>
        </w:rPr>
        <w:t xml:space="preserve"> </w:t>
      </w:r>
      <w:r w:rsidR="00575001" w:rsidRPr="00F40691">
        <w:rPr>
          <w:rFonts w:ascii="Arial" w:hAnsi="Arial" w:cs="Arial"/>
          <w:b/>
          <w:bCs/>
          <w:iCs/>
        </w:rPr>
        <w:t>7174910</w:t>
      </w:r>
      <w:r w:rsidRPr="00F40691">
        <w:rPr>
          <w:rFonts w:ascii="Arial" w:hAnsi="Arial" w:cs="Arial"/>
          <w:iCs/>
        </w:rPr>
        <w:t xml:space="preserve">, toliau (tekste – </w:t>
      </w:r>
      <w:r w:rsidRPr="00F40691">
        <w:rPr>
          <w:rFonts w:ascii="Arial" w:hAnsi="Arial" w:cs="Arial"/>
          <w:b/>
          <w:bCs/>
          <w:iCs/>
        </w:rPr>
        <w:t>Pirkimas</w:t>
      </w:r>
      <w:r w:rsidRPr="00F40691">
        <w:rPr>
          <w:rFonts w:ascii="Arial" w:hAnsi="Arial" w:cs="Arial"/>
          <w:iCs/>
        </w:rPr>
        <w:t>).</w:t>
      </w:r>
    </w:p>
    <w:p w14:paraId="1C8DA951" w14:textId="77777777" w:rsidR="00E76B6D" w:rsidRPr="00F40691" w:rsidRDefault="00E76B6D" w:rsidP="00A97603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DCE074C" w14:textId="263F9CB6" w:rsidR="005F7CE3" w:rsidRPr="00F40691" w:rsidRDefault="005F7CE3" w:rsidP="00A97603">
      <w:pPr>
        <w:spacing w:after="0" w:line="240" w:lineRule="auto"/>
        <w:ind w:firstLine="567"/>
        <w:jc w:val="both"/>
        <w:rPr>
          <w:rFonts w:ascii="Arial" w:hAnsi="Arial" w:cs="Arial"/>
          <w:lang w:eastAsia="lt-LT"/>
        </w:rPr>
      </w:pPr>
      <w:r w:rsidRPr="00F40691">
        <w:rPr>
          <w:rFonts w:ascii="Arial" w:hAnsi="Arial" w:cs="Arial"/>
        </w:rPr>
        <w:t xml:space="preserve">Perkantysis subjektas, vadovaudamasis </w:t>
      </w:r>
      <w:r w:rsidRPr="00F40691">
        <w:rPr>
          <w:rFonts w:ascii="Arial" w:hAnsi="Arial" w:cs="Arial"/>
          <w:iCs/>
        </w:rPr>
        <w:t>Pirkimo Bendrųjų sąlygų 3.1. punktu „</w:t>
      </w:r>
      <w:r w:rsidRPr="00F40691">
        <w:rPr>
          <w:rFonts w:ascii="Arial" w:hAnsi="Arial" w:cs="Arial"/>
          <w:i/>
          <w:iCs/>
        </w:rPr>
        <w:t>Pirkimo dokumentai tiekėjų iniciatyva gali būti paaiškinami/patikslinami jiems CVP IS susirašinėjimo priemonėmis kreipiantis į Perkantįjį subjektą.</w:t>
      </w:r>
      <w:r w:rsidRPr="00F40691">
        <w:rPr>
          <w:rFonts w:ascii="Arial" w:hAnsi="Arial" w:cs="Arial"/>
          <w:lang w:eastAsia="lt-LT"/>
        </w:rPr>
        <w:t>“, atsako į suinteresuot</w:t>
      </w:r>
      <w:r w:rsidR="004C470D">
        <w:rPr>
          <w:rFonts w:ascii="Arial" w:hAnsi="Arial" w:cs="Arial"/>
          <w:lang w:eastAsia="lt-LT"/>
        </w:rPr>
        <w:t>o</w:t>
      </w:r>
      <w:r w:rsidRPr="00F40691">
        <w:rPr>
          <w:rFonts w:ascii="Arial" w:hAnsi="Arial" w:cs="Arial"/>
          <w:lang w:eastAsia="lt-LT"/>
        </w:rPr>
        <w:t xml:space="preserve"> </w:t>
      </w:r>
      <w:r w:rsidR="007C798F" w:rsidRPr="00F40691">
        <w:rPr>
          <w:rFonts w:ascii="Arial" w:hAnsi="Arial" w:cs="Arial"/>
          <w:lang w:eastAsia="lt-LT"/>
        </w:rPr>
        <w:t>tiekėj</w:t>
      </w:r>
      <w:r w:rsidR="004C470D">
        <w:rPr>
          <w:rFonts w:ascii="Arial" w:hAnsi="Arial" w:cs="Arial"/>
          <w:lang w:eastAsia="lt-LT"/>
        </w:rPr>
        <w:t>o</w:t>
      </w:r>
      <w:r w:rsidR="007C798F" w:rsidRPr="00F40691">
        <w:rPr>
          <w:rFonts w:ascii="Arial" w:hAnsi="Arial" w:cs="Arial"/>
          <w:lang w:eastAsia="lt-LT"/>
        </w:rPr>
        <w:t xml:space="preserve"> </w:t>
      </w:r>
      <w:r w:rsidRPr="00F40691">
        <w:rPr>
          <w:rFonts w:ascii="Arial" w:hAnsi="Arial" w:cs="Arial"/>
          <w:u w:val="single"/>
        </w:rPr>
        <w:t>2026-0</w:t>
      </w:r>
      <w:r w:rsidR="008B04AD" w:rsidRPr="00F40691">
        <w:rPr>
          <w:rFonts w:ascii="Arial" w:hAnsi="Arial" w:cs="Arial"/>
          <w:u w:val="single"/>
        </w:rPr>
        <w:t>4</w:t>
      </w:r>
      <w:r w:rsidRPr="00F40691">
        <w:rPr>
          <w:rFonts w:ascii="Arial" w:hAnsi="Arial" w:cs="Arial"/>
          <w:u w:val="single"/>
        </w:rPr>
        <w:t>-</w:t>
      </w:r>
      <w:r w:rsidR="00232519" w:rsidRPr="00F40691">
        <w:rPr>
          <w:rFonts w:ascii="Arial" w:hAnsi="Arial" w:cs="Arial"/>
          <w:u w:val="single"/>
        </w:rPr>
        <w:t>16</w:t>
      </w:r>
      <w:r w:rsidR="00B8627B" w:rsidRPr="00F40691">
        <w:rPr>
          <w:rFonts w:ascii="Arial" w:hAnsi="Arial" w:cs="Arial"/>
          <w:u w:val="single"/>
        </w:rPr>
        <w:t xml:space="preserve"> ir </w:t>
      </w:r>
      <w:r w:rsidR="00604422" w:rsidRPr="00F40691">
        <w:rPr>
          <w:rFonts w:ascii="Arial" w:hAnsi="Arial" w:cs="Arial"/>
          <w:u w:val="single"/>
        </w:rPr>
        <w:t xml:space="preserve">                      </w:t>
      </w:r>
      <w:r w:rsidR="00B8627B" w:rsidRPr="00F40691">
        <w:rPr>
          <w:rFonts w:ascii="Arial" w:hAnsi="Arial" w:cs="Arial"/>
          <w:u w:val="single"/>
        </w:rPr>
        <w:t>2026-04-</w:t>
      </w:r>
      <w:r w:rsidR="00232519" w:rsidRPr="00F40691">
        <w:rPr>
          <w:rFonts w:ascii="Arial" w:hAnsi="Arial" w:cs="Arial"/>
          <w:u w:val="single"/>
        </w:rPr>
        <w:t>17</w:t>
      </w:r>
      <w:r w:rsidRPr="00F40691">
        <w:rPr>
          <w:rFonts w:ascii="Arial" w:hAnsi="Arial" w:cs="Arial"/>
          <w:u w:val="single"/>
        </w:rPr>
        <w:t xml:space="preserve"> </w:t>
      </w:r>
      <w:r w:rsidRPr="00F40691">
        <w:rPr>
          <w:rFonts w:ascii="Arial" w:hAnsi="Arial" w:cs="Arial"/>
        </w:rPr>
        <w:t xml:space="preserve">CVP IS </w:t>
      </w:r>
      <w:r w:rsidRPr="00F40691">
        <w:rPr>
          <w:rFonts w:ascii="Arial" w:hAnsi="Arial" w:cs="Arial"/>
          <w:lang w:eastAsia="lt-LT"/>
        </w:rPr>
        <w:t>prašym</w:t>
      </w:r>
      <w:r w:rsidR="00B8627B" w:rsidRPr="00F40691">
        <w:rPr>
          <w:rFonts w:ascii="Arial" w:hAnsi="Arial" w:cs="Arial"/>
          <w:lang w:eastAsia="lt-LT"/>
        </w:rPr>
        <w:t>uose</w:t>
      </w:r>
      <w:r w:rsidRPr="00F40691">
        <w:rPr>
          <w:rFonts w:ascii="Arial" w:hAnsi="Arial" w:cs="Arial"/>
          <w:lang w:eastAsia="lt-LT"/>
        </w:rPr>
        <w:t xml:space="preserve"> pateikt</w:t>
      </w:r>
      <w:r w:rsidR="00B8627B" w:rsidRPr="00F40691">
        <w:rPr>
          <w:rFonts w:ascii="Arial" w:hAnsi="Arial" w:cs="Arial"/>
          <w:lang w:eastAsia="lt-LT"/>
        </w:rPr>
        <w:t>us</w:t>
      </w:r>
      <w:r w:rsidRPr="00F40691">
        <w:rPr>
          <w:rFonts w:ascii="Arial" w:hAnsi="Arial" w:cs="Arial"/>
          <w:lang w:eastAsia="lt-LT"/>
        </w:rPr>
        <w:t xml:space="preserve"> klausim</w:t>
      </w:r>
      <w:r w:rsidR="00B8627B" w:rsidRPr="00F40691">
        <w:rPr>
          <w:rFonts w:ascii="Arial" w:hAnsi="Arial" w:cs="Arial"/>
          <w:lang w:eastAsia="lt-LT"/>
        </w:rPr>
        <w:t>us</w:t>
      </w:r>
      <w:r w:rsidR="00177CAD" w:rsidRPr="00F40691">
        <w:rPr>
          <w:rFonts w:ascii="Arial" w:hAnsi="Arial" w:cs="Arial"/>
          <w:lang w:eastAsia="lt-LT"/>
        </w:rPr>
        <w:t xml:space="preserve"> (</w:t>
      </w:r>
      <w:r w:rsidR="009A1839" w:rsidRPr="00F40691">
        <w:rPr>
          <w:rFonts w:ascii="Arial" w:hAnsi="Arial" w:cs="Arial"/>
          <w:lang w:eastAsia="lt-LT"/>
        </w:rPr>
        <w:t>pateikt</w:t>
      </w:r>
      <w:r w:rsidR="00B8627B" w:rsidRPr="00F40691">
        <w:rPr>
          <w:rFonts w:ascii="Arial" w:hAnsi="Arial" w:cs="Arial"/>
          <w:lang w:eastAsia="lt-LT"/>
        </w:rPr>
        <w:t>us</w:t>
      </w:r>
      <w:r w:rsidR="009A1839" w:rsidRPr="00F40691">
        <w:rPr>
          <w:rFonts w:ascii="Arial" w:hAnsi="Arial" w:cs="Arial"/>
          <w:lang w:eastAsia="lt-LT"/>
        </w:rPr>
        <w:t xml:space="preserve"> </w:t>
      </w:r>
      <w:r w:rsidR="00177CAD" w:rsidRPr="00F40691">
        <w:rPr>
          <w:rFonts w:ascii="Arial" w:hAnsi="Arial" w:cs="Arial"/>
          <w:lang w:eastAsia="lt-LT"/>
        </w:rPr>
        <w:t>lentelėje):</w:t>
      </w:r>
    </w:p>
    <w:p w14:paraId="3AB5B6FB" w14:textId="77777777" w:rsidR="00FC1F1B" w:rsidRPr="00F40691" w:rsidRDefault="00FC1F1B" w:rsidP="00A97603">
      <w:pPr>
        <w:spacing w:after="0" w:line="240" w:lineRule="auto"/>
        <w:ind w:firstLine="567"/>
        <w:jc w:val="both"/>
        <w:rPr>
          <w:rFonts w:ascii="Arial" w:hAnsi="Arial" w:cs="Arial"/>
          <w:u w:val="single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94"/>
        <w:gridCol w:w="4163"/>
        <w:gridCol w:w="4677"/>
      </w:tblGrid>
      <w:tr w:rsidR="00BE3F72" w:rsidRPr="00F40691" w14:paraId="065BFDA8" w14:textId="77777777" w:rsidTr="00604422">
        <w:tc>
          <w:tcPr>
            <w:tcW w:w="794" w:type="dxa"/>
          </w:tcPr>
          <w:p w14:paraId="60D156B6" w14:textId="4C164400" w:rsidR="00BE3F72" w:rsidRPr="00F40691" w:rsidRDefault="00BE3F72" w:rsidP="00A97603">
            <w:pPr>
              <w:rPr>
                <w:rFonts w:ascii="Arial" w:hAnsi="Arial" w:cs="Arial"/>
                <w:b/>
                <w:bCs/>
              </w:rPr>
            </w:pPr>
            <w:r w:rsidRPr="00F40691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163" w:type="dxa"/>
          </w:tcPr>
          <w:p w14:paraId="551BBD21" w14:textId="0B6323D2" w:rsidR="001515E4" w:rsidRPr="00F40691" w:rsidRDefault="00BE3F72" w:rsidP="00A97603">
            <w:pPr>
              <w:ind w:firstLine="230"/>
              <w:jc w:val="center"/>
              <w:rPr>
                <w:rFonts w:ascii="Arial" w:hAnsi="Arial" w:cs="Arial"/>
                <w:b/>
                <w:bCs/>
              </w:rPr>
            </w:pPr>
            <w:r w:rsidRPr="00F40691">
              <w:rPr>
                <w:rFonts w:ascii="Arial" w:hAnsi="Arial" w:cs="Arial"/>
                <w:b/>
                <w:bCs/>
              </w:rPr>
              <w:t>Tiekėj</w:t>
            </w:r>
            <w:r w:rsidR="001515E4" w:rsidRPr="00F40691">
              <w:rPr>
                <w:rFonts w:ascii="Arial" w:hAnsi="Arial" w:cs="Arial"/>
                <w:b/>
                <w:bCs/>
              </w:rPr>
              <w:t>ų</w:t>
            </w:r>
            <w:r w:rsidRPr="00F40691">
              <w:rPr>
                <w:rFonts w:ascii="Arial" w:hAnsi="Arial" w:cs="Arial"/>
                <w:b/>
                <w:bCs/>
              </w:rPr>
              <w:t xml:space="preserve"> klausima</w:t>
            </w:r>
            <w:r w:rsidR="001515E4" w:rsidRPr="00F40691">
              <w:rPr>
                <w:rFonts w:ascii="Arial" w:hAnsi="Arial" w:cs="Arial"/>
                <w:b/>
                <w:bCs/>
              </w:rPr>
              <w:t>i</w:t>
            </w:r>
            <w:r w:rsidR="00433743" w:rsidRPr="00F4069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9F86F7D" w14:textId="0D216491" w:rsidR="00BE3F72" w:rsidRPr="00F40691" w:rsidRDefault="00433743" w:rsidP="00A97603">
            <w:pPr>
              <w:ind w:firstLine="230"/>
              <w:jc w:val="center"/>
              <w:rPr>
                <w:rFonts w:ascii="Arial" w:hAnsi="Arial" w:cs="Arial"/>
                <w:b/>
                <w:bCs/>
              </w:rPr>
            </w:pPr>
            <w:r w:rsidRPr="00F40691">
              <w:rPr>
                <w:rFonts w:ascii="Arial" w:hAnsi="Arial" w:cs="Arial"/>
                <w:i/>
                <w:iCs/>
              </w:rPr>
              <w:t>(tekstas neredaguotas</w:t>
            </w:r>
            <w:r w:rsidR="00C25AE6" w:rsidRPr="00F40691">
              <w:rPr>
                <w:rFonts w:ascii="Arial" w:hAnsi="Arial" w:cs="Arial"/>
                <w:i/>
                <w:iCs/>
              </w:rPr>
              <w:t>)</w:t>
            </w:r>
            <w:r w:rsidR="00BE3F72" w:rsidRPr="00F40691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677" w:type="dxa"/>
          </w:tcPr>
          <w:p w14:paraId="2AD9F36A" w14:textId="1994A9D3" w:rsidR="00BE3F72" w:rsidRPr="00F40691" w:rsidRDefault="00BE3F72" w:rsidP="00A97603">
            <w:pPr>
              <w:ind w:firstLine="230"/>
              <w:jc w:val="both"/>
              <w:rPr>
                <w:rFonts w:ascii="Arial" w:hAnsi="Arial" w:cs="Arial"/>
                <w:b/>
                <w:bCs/>
              </w:rPr>
            </w:pPr>
            <w:r w:rsidRPr="00F40691">
              <w:rPr>
                <w:rFonts w:ascii="Arial" w:hAnsi="Arial" w:cs="Arial"/>
                <w:b/>
                <w:bCs/>
              </w:rPr>
              <w:t>Perkančiojo subjekto atsakymas:</w:t>
            </w:r>
          </w:p>
        </w:tc>
      </w:tr>
      <w:tr w:rsidR="00BE3F72" w:rsidRPr="00F40691" w14:paraId="4EABE950" w14:textId="77777777" w:rsidTr="00604422">
        <w:tc>
          <w:tcPr>
            <w:tcW w:w="794" w:type="dxa"/>
          </w:tcPr>
          <w:p w14:paraId="121EC8D6" w14:textId="50B6CC04" w:rsidR="00BE3F72" w:rsidRPr="00F40691" w:rsidRDefault="00BE3F72" w:rsidP="00A97603">
            <w:pPr>
              <w:jc w:val="center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</w:rPr>
              <w:t>1.</w:t>
            </w:r>
          </w:p>
        </w:tc>
        <w:tc>
          <w:tcPr>
            <w:tcW w:w="4163" w:type="dxa"/>
          </w:tcPr>
          <w:p w14:paraId="4AD02372" w14:textId="77777777" w:rsidR="00E822C1" w:rsidRPr="00F40691" w:rsidRDefault="00FB68C0" w:rsidP="00A97603">
            <w:pPr>
              <w:ind w:firstLine="230"/>
              <w:jc w:val="both"/>
              <w:rPr>
                <w:rFonts w:ascii="Arial" w:hAnsi="Arial" w:cs="Arial"/>
                <w:bCs/>
                <w:iCs/>
              </w:rPr>
            </w:pPr>
            <w:r w:rsidRPr="00F40691">
              <w:rPr>
                <w:rFonts w:ascii="Arial" w:hAnsi="Arial" w:cs="Arial"/>
                <w:bCs/>
                <w:iCs/>
              </w:rPr>
              <w:t>Pagal 2026-04-16 pateiktus atsakymus į klausimus nurodoma, kad nerūdijantis plienas yra nelygiavertis. Nerūdijančio plieno kompensatoriai yra aukštesnės klasės nei nurodoma specifikacijoje. Prašome nurodyti kodėl negalima naudoti nerūdijančio plieno kompensatorių?</w:t>
            </w:r>
            <w:r w:rsidR="00E822C1" w:rsidRPr="00F40691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420B7310" w14:textId="3BAF2FF8" w:rsidR="00BE3F72" w:rsidRPr="00F40691" w:rsidRDefault="00E822C1" w:rsidP="00A97603">
            <w:pPr>
              <w:ind w:firstLine="230"/>
              <w:jc w:val="both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  <w:bCs/>
                <w:iCs/>
              </w:rPr>
              <w:t>Laba diena, papildome savo paskutinį klausimą kompensatoriaus brėžiniu.</w:t>
            </w:r>
          </w:p>
        </w:tc>
        <w:tc>
          <w:tcPr>
            <w:tcW w:w="4677" w:type="dxa"/>
          </w:tcPr>
          <w:p w14:paraId="78B40C8D" w14:textId="2E52647A" w:rsidR="006538B0" w:rsidRPr="00F40691" w:rsidRDefault="00CF3838" w:rsidP="00E77691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</w:rPr>
              <w:t xml:space="preserve">Perkantysis subjektas </w:t>
            </w:r>
            <w:r w:rsidR="00742F1D" w:rsidRPr="00F40691">
              <w:rPr>
                <w:rFonts w:ascii="Arial" w:hAnsi="Arial" w:cs="Arial"/>
              </w:rPr>
              <w:t>2026-04-16 raštu „</w:t>
            </w:r>
            <w:r w:rsidR="00370549" w:rsidRPr="00F40691">
              <w:rPr>
                <w:rFonts w:ascii="Arial" w:hAnsi="Arial" w:cs="Arial"/>
              </w:rPr>
              <w:t xml:space="preserve">Dėl atsakymų į tiekėjų pateiktus klausimus (CVP IS 2026-04-16 pranešimo ID </w:t>
            </w:r>
            <w:r w:rsidR="00AC7A8C" w:rsidRPr="00F40691">
              <w:rPr>
                <w:rFonts w:ascii="Arial" w:hAnsi="Arial" w:cs="Arial"/>
              </w:rPr>
              <w:t>611716) į 6 klausimą pateikė atsakymą</w:t>
            </w:r>
            <w:r w:rsidR="006538B0" w:rsidRPr="00F40691">
              <w:rPr>
                <w:rFonts w:ascii="Arial" w:hAnsi="Arial" w:cs="Arial"/>
              </w:rPr>
              <w:t>:</w:t>
            </w:r>
            <w:r w:rsidR="00AC7A8C" w:rsidRPr="00F40691">
              <w:rPr>
                <w:rFonts w:ascii="Arial" w:hAnsi="Arial" w:cs="Arial"/>
              </w:rPr>
              <w:t xml:space="preserve"> </w:t>
            </w:r>
          </w:p>
          <w:p w14:paraId="271B2880" w14:textId="1AEFB308" w:rsidR="00E77691" w:rsidRPr="00F40691" w:rsidRDefault="00E77691" w:rsidP="00E77691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F40691">
              <w:rPr>
                <w:rFonts w:ascii="Arial" w:hAnsi="Arial" w:cs="Arial"/>
              </w:rPr>
              <w:t>„</w:t>
            </w:r>
            <w:r w:rsidRPr="00F40691">
              <w:rPr>
                <w:rFonts w:ascii="Arial" w:hAnsi="Arial" w:cs="Arial"/>
                <w:i/>
                <w:iCs/>
              </w:rPr>
              <w:t xml:space="preserve">Priedo Nr. 1 lentelės Eil. Nr. 2 stulpelyje „Medžiagos, pastabos“ nuodytas kompensatorių plienas P265GH arba lygiavertis. </w:t>
            </w:r>
          </w:p>
          <w:p w14:paraId="7BC847A7" w14:textId="6C81BB83" w:rsidR="00AC7A8C" w:rsidRPr="00F40691" w:rsidRDefault="00E77691" w:rsidP="00E77691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  <w:i/>
                <w:iCs/>
              </w:rPr>
              <w:t>Jūsų siūlomas nerūdijančio plieno kompensatorius nėra lygiavertis nurodytam</w:t>
            </w:r>
            <w:r w:rsidRPr="00F40691">
              <w:rPr>
                <w:rFonts w:ascii="Arial" w:hAnsi="Arial" w:cs="Arial"/>
              </w:rPr>
              <w:t>.</w:t>
            </w:r>
            <w:r w:rsidR="006538B0" w:rsidRPr="00F40691">
              <w:rPr>
                <w:rFonts w:ascii="Arial" w:hAnsi="Arial" w:cs="Arial"/>
              </w:rPr>
              <w:t>“</w:t>
            </w:r>
            <w:r w:rsidRPr="00F40691">
              <w:rPr>
                <w:rFonts w:ascii="Arial" w:hAnsi="Arial" w:cs="Arial"/>
              </w:rPr>
              <w:t xml:space="preserve"> </w:t>
            </w:r>
          </w:p>
          <w:p w14:paraId="49CB6508" w14:textId="77777777" w:rsidR="006538B0" w:rsidRPr="00F40691" w:rsidRDefault="006538B0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</w:p>
          <w:p w14:paraId="4F2A2D74" w14:textId="657C5EF3" w:rsidR="00AC7A8C" w:rsidRPr="00F40691" w:rsidRDefault="00A97603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</w:rPr>
              <w:t xml:space="preserve">Išnagrinėjęs </w:t>
            </w:r>
            <w:r w:rsidR="00AC7A8C" w:rsidRPr="00F40691">
              <w:rPr>
                <w:rFonts w:ascii="Arial" w:hAnsi="Arial" w:cs="Arial"/>
              </w:rPr>
              <w:t xml:space="preserve">tiekėjo </w:t>
            </w:r>
            <w:r w:rsidR="00CC0BA4" w:rsidRPr="00F40691">
              <w:rPr>
                <w:rFonts w:ascii="Arial" w:hAnsi="Arial" w:cs="Arial"/>
              </w:rPr>
              <w:t xml:space="preserve">papildomą klausimą, </w:t>
            </w:r>
            <w:r w:rsidR="00287FA8" w:rsidRPr="00F40691">
              <w:rPr>
                <w:rFonts w:ascii="Arial" w:hAnsi="Arial" w:cs="Arial"/>
              </w:rPr>
              <w:t xml:space="preserve">Perkantysis subjektas koreguoja </w:t>
            </w:r>
            <w:r w:rsidR="00CC0BA4" w:rsidRPr="00F40691">
              <w:rPr>
                <w:rFonts w:ascii="Arial" w:hAnsi="Arial" w:cs="Arial"/>
              </w:rPr>
              <w:t xml:space="preserve">savo </w:t>
            </w:r>
            <w:r w:rsidR="00287FA8" w:rsidRPr="00F40691">
              <w:rPr>
                <w:rFonts w:ascii="Arial" w:hAnsi="Arial" w:cs="Arial"/>
              </w:rPr>
              <w:t>atsakymą:</w:t>
            </w:r>
          </w:p>
          <w:p w14:paraId="7415F16A" w14:textId="77777777" w:rsidR="00287FA8" w:rsidRPr="00F40691" w:rsidRDefault="00287FA8" w:rsidP="00287FA8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F40691">
              <w:rPr>
                <w:rFonts w:ascii="Arial" w:hAnsi="Arial" w:cs="Arial"/>
              </w:rPr>
              <w:t>„</w:t>
            </w:r>
            <w:r w:rsidRPr="00F40691">
              <w:rPr>
                <w:rFonts w:ascii="Arial" w:hAnsi="Arial" w:cs="Arial"/>
                <w:i/>
                <w:iCs/>
              </w:rPr>
              <w:t xml:space="preserve">Priedo Nr. 1 lentelės Eil. Nr. 2 stulpelyje „Medžiagos, pastabos“ nuodytas kompensatorių plienas P265GH arba lygiavertis. </w:t>
            </w:r>
          </w:p>
          <w:p w14:paraId="4FD617E6" w14:textId="31FD3908" w:rsidR="00AC7A8C" w:rsidRPr="00F40691" w:rsidRDefault="00CB1189" w:rsidP="00287FA8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F40691">
              <w:rPr>
                <w:rFonts w:ascii="Arial" w:hAnsi="Arial" w:cs="Arial"/>
                <w:i/>
                <w:iCs/>
              </w:rPr>
              <w:t>Atsižvelgiant į tai, kad</w:t>
            </w:r>
            <w:r w:rsidR="00287FA8" w:rsidRPr="00F40691">
              <w:rPr>
                <w:rFonts w:ascii="Arial" w:hAnsi="Arial" w:cs="Arial"/>
                <w:i/>
                <w:iCs/>
              </w:rPr>
              <w:t xml:space="preserve"> nerūd</w:t>
            </w:r>
            <w:r w:rsidR="00FD71DF" w:rsidRPr="00F40691">
              <w:rPr>
                <w:rFonts w:ascii="Arial" w:hAnsi="Arial" w:cs="Arial"/>
                <w:i/>
                <w:iCs/>
              </w:rPr>
              <w:t>i</w:t>
            </w:r>
            <w:r w:rsidR="00287FA8" w:rsidRPr="00F40691">
              <w:rPr>
                <w:rFonts w:ascii="Arial" w:hAnsi="Arial" w:cs="Arial"/>
                <w:i/>
                <w:iCs/>
              </w:rPr>
              <w:t xml:space="preserve">jantis plienas </w:t>
            </w:r>
            <w:r w:rsidR="00FD71DF" w:rsidRPr="00F40691">
              <w:rPr>
                <w:rFonts w:ascii="Arial" w:hAnsi="Arial" w:cs="Arial"/>
                <w:i/>
                <w:iCs/>
              </w:rPr>
              <w:t xml:space="preserve">pagal savo funkcines savybes </w:t>
            </w:r>
            <w:r w:rsidR="00F55B40" w:rsidRPr="00F40691">
              <w:rPr>
                <w:rFonts w:ascii="Arial" w:hAnsi="Arial" w:cs="Arial"/>
                <w:i/>
                <w:iCs/>
              </w:rPr>
              <w:t>yra geresnių s</w:t>
            </w:r>
            <w:r w:rsidR="00ED0681" w:rsidRPr="00F40691">
              <w:rPr>
                <w:rFonts w:ascii="Arial" w:hAnsi="Arial" w:cs="Arial"/>
                <w:i/>
                <w:iCs/>
              </w:rPr>
              <w:t>a</w:t>
            </w:r>
            <w:r w:rsidR="00F55B40" w:rsidRPr="00F40691">
              <w:rPr>
                <w:rFonts w:ascii="Arial" w:hAnsi="Arial" w:cs="Arial"/>
                <w:i/>
                <w:iCs/>
              </w:rPr>
              <w:t xml:space="preserve">vybių nei </w:t>
            </w:r>
            <w:r w:rsidRPr="00F40691">
              <w:rPr>
                <w:rFonts w:ascii="Arial" w:hAnsi="Arial" w:cs="Arial"/>
                <w:i/>
                <w:iCs/>
              </w:rPr>
              <w:t xml:space="preserve">reikalaujamas </w:t>
            </w:r>
            <w:r w:rsidR="0065509B" w:rsidRPr="00F40691">
              <w:rPr>
                <w:rFonts w:ascii="Arial" w:hAnsi="Arial" w:cs="Arial"/>
                <w:i/>
                <w:iCs/>
              </w:rPr>
              <w:t>plienas, jis b</w:t>
            </w:r>
            <w:r w:rsidR="00226D63" w:rsidRPr="00F40691">
              <w:rPr>
                <w:rFonts w:ascii="Arial" w:hAnsi="Arial" w:cs="Arial"/>
                <w:i/>
                <w:iCs/>
              </w:rPr>
              <w:t>us</w:t>
            </w:r>
            <w:r w:rsidR="0065509B" w:rsidRPr="00F40691">
              <w:rPr>
                <w:rFonts w:ascii="Arial" w:hAnsi="Arial" w:cs="Arial"/>
                <w:i/>
                <w:iCs/>
              </w:rPr>
              <w:t xml:space="preserve"> laikomas </w:t>
            </w:r>
            <w:r w:rsidR="00B37EBF" w:rsidRPr="00F40691">
              <w:rPr>
                <w:rFonts w:ascii="Arial" w:hAnsi="Arial" w:cs="Arial"/>
                <w:i/>
                <w:iCs/>
              </w:rPr>
              <w:t>atitinkančiu plienui</w:t>
            </w:r>
            <w:r w:rsidR="00CD30DD" w:rsidRPr="00F40691">
              <w:rPr>
                <w:rFonts w:ascii="Arial" w:hAnsi="Arial" w:cs="Arial"/>
                <w:i/>
                <w:iCs/>
              </w:rPr>
              <w:t xml:space="preserve"> P265GH</w:t>
            </w:r>
            <w:r w:rsidR="0065509B" w:rsidRPr="00F40691">
              <w:rPr>
                <w:rFonts w:ascii="Arial" w:hAnsi="Arial" w:cs="Arial"/>
                <w:i/>
                <w:iCs/>
              </w:rPr>
              <w:t>.</w:t>
            </w:r>
            <w:r w:rsidR="00D21E10" w:rsidRPr="00F40691">
              <w:rPr>
                <w:rFonts w:ascii="Arial" w:hAnsi="Arial" w:cs="Arial"/>
                <w:i/>
                <w:iCs/>
              </w:rPr>
              <w:t xml:space="preserve"> </w:t>
            </w:r>
            <w:r w:rsidR="009D3D04" w:rsidRPr="00F40691">
              <w:rPr>
                <w:rFonts w:ascii="Arial" w:hAnsi="Arial" w:cs="Arial"/>
                <w:i/>
                <w:iCs/>
              </w:rPr>
              <w:t>Pats kompensatorius gali būti ir iš nerūdijančio plieno, bet privirinimo galai iš plieno P265GH.</w:t>
            </w:r>
          </w:p>
          <w:p w14:paraId="009B0198" w14:textId="371CD828" w:rsidR="00382068" w:rsidRPr="00F40691" w:rsidRDefault="00382068" w:rsidP="00287FA8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  <w:i/>
                <w:iCs/>
              </w:rPr>
              <w:t xml:space="preserve">Tačiau atkreipiame dėmesį, kad </w:t>
            </w:r>
            <w:r w:rsidR="00211DED" w:rsidRPr="00F40691">
              <w:rPr>
                <w:rFonts w:ascii="Arial" w:hAnsi="Arial" w:cs="Arial"/>
                <w:i/>
                <w:iCs/>
              </w:rPr>
              <w:t>siūlomi gaminiai turi atitikti kitus Techninės specifikacijos reikalavimus.</w:t>
            </w:r>
            <w:r w:rsidR="00CC0BA4" w:rsidRPr="00F40691">
              <w:rPr>
                <w:rFonts w:ascii="Arial" w:hAnsi="Arial" w:cs="Arial"/>
              </w:rPr>
              <w:t>“</w:t>
            </w:r>
          </w:p>
          <w:p w14:paraId="7EFA08A3" w14:textId="77777777" w:rsidR="00287FA8" w:rsidRPr="00F40691" w:rsidRDefault="00287FA8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</w:p>
          <w:p w14:paraId="416C2107" w14:textId="770E2A3D" w:rsidR="00F40691" w:rsidRPr="00F40691" w:rsidRDefault="00F40691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</w:rPr>
              <w:t xml:space="preserve">Primename, kad Techninės specifikacijos 3.3. punkte nustatyta „3.3. </w:t>
            </w:r>
            <w:r w:rsidRPr="00F40691">
              <w:rPr>
                <w:rStyle w:val="eop"/>
                <w:rFonts w:ascii="Arial" w:eastAsia="Times New Roman" w:hAnsi="Arial" w:cs="Arial"/>
                <w:lang w:eastAsia="lt-LT"/>
              </w:rPr>
              <w:t>Rangovas gali naudoti ir kitas lygiavertes medžiagas nurodytoms 1 priede. Lygiaverčių medžiagų atitikimas Techninės specifikacijos reikalavimams turi būti pagrįstas įrodančiais dokumentais, pateikiamais kartu su pasiūlymu“.</w:t>
            </w:r>
          </w:p>
          <w:p w14:paraId="02672D8E" w14:textId="77777777" w:rsidR="00F40691" w:rsidRPr="00F40691" w:rsidRDefault="00F40691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</w:p>
          <w:p w14:paraId="4C4A04EE" w14:textId="0FEEC7D0" w:rsidR="00022339" w:rsidRPr="00F40691" w:rsidRDefault="00E822C1" w:rsidP="00A97603">
            <w:pPr>
              <w:tabs>
                <w:tab w:val="left" w:pos="426"/>
                <w:tab w:val="left" w:pos="709"/>
                <w:tab w:val="left" w:pos="993"/>
              </w:tabs>
              <w:suppressAutoHyphens/>
              <w:autoSpaceDN w:val="0"/>
              <w:ind w:firstLine="230"/>
              <w:jc w:val="both"/>
              <w:textAlignment w:val="baseline"/>
              <w:rPr>
                <w:rFonts w:ascii="Arial" w:hAnsi="Arial" w:cs="Arial"/>
              </w:rPr>
            </w:pPr>
            <w:r w:rsidRPr="00F40691">
              <w:rPr>
                <w:rFonts w:ascii="Arial" w:hAnsi="Arial" w:cs="Arial"/>
              </w:rPr>
              <w:lastRenderedPageBreak/>
              <w:t xml:space="preserve">Atkreipiame dėmesį, kad </w:t>
            </w:r>
            <w:r w:rsidR="00D01DFD" w:rsidRPr="00F40691">
              <w:rPr>
                <w:rFonts w:ascii="Arial" w:hAnsi="Arial" w:cs="Arial"/>
              </w:rPr>
              <w:t xml:space="preserve">šiame pirkimo etape </w:t>
            </w:r>
            <w:r w:rsidRPr="00F40691">
              <w:rPr>
                <w:rFonts w:ascii="Arial" w:hAnsi="Arial" w:cs="Arial"/>
              </w:rPr>
              <w:t xml:space="preserve">tiekėjo pateiktas </w:t>
            </w:r>
            <w:r w:rsidR="0068220F" w:rsidRPr="00F40691">
              <w:rPr>
                <w:rFonts w:ascii="Arial" w:hAnsi="Arial" w:cs="Arial"/>
              </w:rPr>
              <w:t xml:space="preserve">kompensatoriaus </w:t>
            </w:r>
            <w:r w:rsidRPr="00F40691">
              <w:rPr>
                <w:rFonts w:ascii="Arial" w:hAnsi="Arial" w:cs="Arial"/>
              </w:rPr>
              <w:t>brėžinys</w:t>
            </w:r>
            <w:r w:rsidR="009D3D04" w:rsidRPr="00F40691">
              <w:rPr>
                <w:rFonts w:ascii="Arial" w:hAnsi="Arial" w:cs="Arial"/>
              </w:rPr>
              <w:t xml:space="preserve"> nevertinamas ir</w:t>
            </w:r>
            <w:r w:rsidRPr="00F40691">
              <w:rPr>
                <w:rFonts w:ascii="Arial" w:hAnsi="Arial" w:cs="Arial"/>
              </w:rPr>
              <w:t xml:space="preserve"> </w:t>
            </w:r>
            <w:r w:rsidR="0068220F" w:rsidRPr="00F40691">
              <w:rPr>
                <w:rFonts w:ascii="Arial" w:hAnsi="Arial" w:cs="Arial"/>
              </w:rPr>
              <w:t xml:space="preserve">prie atsakymo neteikiamas, nes </w:t>
            </w:r>
            <w:r w:rsidR="00CF3838" w:rsidRPr="00F40691">
              <w:rPr>
                <w:rFonts w:ascii="Arial" w:hAnsi="Arial" w:cs="Arial"/>
                <w:bCs/>
                <w:iCs/>
              </w:rPr>
              <w:t>tai yra konkretaus gamintojo informacija.</w:t>
            </w:r>
          </w:p>
        </w:tc>
      </w:tr>
    </w:tbl>
    <w:p w14:paraId="39743358" w14:textId="77777777" w:rsidR="00232519" w:rsidRPr="00F40691" w:rsidRDefault="00232519" w:rsidP="00A97603">
      <w:pPr>
        <w:spacing w:after="0" w:line="240" w:lineRule="auto"/>
        <w:rPr>
          <w:rFonts w:ascii="Arial" w:hAnsi="Arial" w:cs="Arial"/>
        </w:rPr>
      </w:pPr>
    </w:p>
    <w:p w14:paraId="1B872520" w14:textId="77777777" w:rsidR="00E04918" w:rsidRPr="00F40691" w:rsidRDefault="00E04918" w:rsidP="00A97603">
      <w:pPr>
        <w:spacing w:after="0" w:line="240" w:lineRule="auto"/>
        <w:ind w:firstLine="567"/>
        <w:rPr>
          <w:rFonts w:ascii="Arial" w:hAnsi="Arial" w:cs="Arial"/>
        </w:rPr>
      </w:pPr>
    </w:p>
    <w:p w14:paraId="39F65E08" w14:textId="5AD29AB5" w:rsidR="009830B5" w:rsidRPr="00F40691" w:rsidRDefault="009830B5" w:rsidP="00A97603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F40691">
        <w:rPr>
          <w:rFonts w:ascii="Arial" w:hAnsi="Arial" w:cs="Arial"/>
          <w:bCs/>
          <w:iCs/>
        </w:rPr>
        <w:t xml:space="preserve">Vadovaujantis </w:t>
      </w:r>
      <w:r w:rsidR="007C798F" w:rsidRPr="00F40691">
        <w:rPr>
          <w:rFonts w:ascii="Arial" w:hAnsi="Arial" w:cs="Arial"/>
          <w:bCs/>
          <w:iCs/>
        </w:rPr>
        <w:t>Pirkimo</w:t>
      </w:r>
      <w:r w:rsidRPr="00F40691">
        <w:rPr>
          <w:rFonts w:ascii="Arial" w:hAnsi="Arial" w:cs="Arial"/>
          <w:bCs/>
          <w:iCs/>
        </w:rPr>
        <w:t xml:space="preserve"> Bendrųjų sąlygų 3.2.2 punktu: </w:t>
      </w:r>
      <w:r w:rsidRPr="00F40691">
        <w:rPr>
          <w:rFonts w:ascii="Arial" w:hAnsi="Arial" w:cs="Arial"/>
          <w:bCs/>
          <w:i/>
        </w:rPr>
        <w:t>„</w:t>
      </w:r>
      <w:r w:rsidRPr="00F40691">
        <w:rPr>
          <w:rFonts w:ascii="Arial" w:hAnsi="Arial" w:cs="Arial"/>
          <w:i/>
          <w:lang w:eastAsia="lt-LT"/>
        </w:rPr>
        <w:t xml:space="preserve">pirkimo dokumentų paaiškinimas/patikslinimas pateikiamas visiems tiekėjams ne vėliau kaip 4 (keturios) dienos iki pasiūlymų pateikimo termino pabaigos“ </w:t>
      </w:r>
      <w:r w:rsidR="009A162C" w:rsidRPr="00F40691">
        <w:rPr>
          <w:rFonts w:ascii="Arial" w:hAnsi="Arial" w:cs="Arial"/>
          <w:i/>
          <w:lang w:eastAsia="lt-LT"/>
        </w:rPr>
        <w:t xml:space="preserve">“ </w:t>
      </w:r>
      <w:r w:rsidR="009A162C" w:rsidRPr="00F40691">
        <w:rPr>
          <w:rFonts w:ascii="Arial" w:hAnsi="Arial" w:cs="Arial"/>
          <w:iCs/>
          <w:lang w:eastAsia="lt-LT"/>
        </w:rPr>
        <w:t>pirminių</w:t>
      </w:r>
      <w:r w:rsidR="009A162C" w:rsidRPr="00F40691">
        <w:rPr>
          <w:rFonts w:ascii="Arial" w:hAnsi="Arial" w:cs="Arial"/>
          <w:bCs/>
          <w:iCs/>
        </w:rPr>
        <w:t xml:space="preserve"> pasiūlymų pateikimo </w:t>
      </w:r>
      <w:r w:rsidR="00D0308A" w:rsidRPr="00F40691">
        <w:rPr>
          <w:rFonts w:ascii="Arial" w:hAnsi="Arial" w:cs="Arial"/>
          <w:bCs/>
          <w:iCs/>
        </w:rPr>
        <w:t xml:space="preserve">nukeliamas iš </w:t>
      </w:r>
      <w:r w:rsidR="009A162C" w:rsidRPr="00F40691">
        <w:rPr>
          <w:rFonts w:ascii="Arial" w:hAnsi="Arial" w:cs="Arial"/>
          <w:b/>
          <w:iCs/>
        </w:rPr>
        <w:t>2026-04-2</w:t>
      </w:r>
      <w:r w:rsidR="00F95F7A" w:rsidRPr="00F40691">
        <w:rPr>
          <w:rFonts w:ascii="Arial" w:hAnsi="Arial" w:cs="Arial"/>
          <w:b/>
          <w:iCs/>
        </w:rPr>
        <w:t>3</w:t>
      </w:r>
      <w:r w:rsidR="007B57AC" w:rsidRPr="00F40691">
        <w:rPr>
          <w:rFonts w:ascii="Arial" w:hAnsi="Arial" w:cs="Arial"/>
          <w:b/>
          <w:iCs/>
        </w:rPr>
        <w:t>,</w:t>
      </w:r>
      <w:r w:rsidR="00CB6E3D" w:rsidRPr="00F40691">
        <w:rPr>
          <w:rFonts w:ascii="Arial" w:hAnsi="Arial" w:cs="Arial"/>
          <w:b/>
          <w:iCs/>
        </w:rPr>
        <w:t xml:space="preserve"> </w:t>
      </w:r>
      <w:r w:rsidR="009A162C" w:rsidRPr="00F40691">
        <w:rPr>
          <w:rFonts w:ascii="Arial" w:hAnsi="Arial" w:cs="Arial"/>
          <w:b/>
          <w:iCs/>
        </w:rPr>
        <w:t>10:00 val.</w:t>
      </w:r>
      <w:r w:rsidR="00D0308A" w:rsidRPr="00F40691">
        <w:rPr>
          <w:rFonts w:ascii="Arial" w:hAnsi="Arial" w:cs="Arial"/>
          <w:b/>
          <w:iCs/>
        </w:rPr>
        <w:t xml:space="preserve"> į 2026-04-2</w:t>
      </w:r>
      <w:r w:rsidR="00F95F7A" w:rsidRPr="00F40691">
        <w:rPr>
          <w:rFonts w:ascii="Arial" w:hAnsi="Arial" w:cs="Arial"/>
          <w:b/>
          <w:iCs/>
        </w:rPr>
        <w:t>8</w:t>
      </w:r>
      <w:r w:rsidR="00B05262" w:rsidRPr="00F40691">
        <w:rPr>
          <w:rFonts w:ascii="Arial" w:hAnsi="Arial" w:cs="Arial"/>
          <w:b/>
          <w:iCs/>
        </w:rPr>
        <w:t xml:space="preserve"> 10:00 val.</w:t>
      </w:r>
    </w:p>
    <w:p w14:paraId="5AB4D624" w14:textId="77777777" w:rsidR="00022339" w:rsidRPr="00F40691" w:rsidRDefault="00022339" w:rsidP="00A9760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p w14:paraId="3A220F28" w14:textId="77777777" w:rsidR="00022339" w:rsidRPr="00F40691" w:rsidRDefault="00022339" w:rsidP="00A9760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p w14:paraId="58CF6278" w14:textId="77777777" w:rsidR="00022339" w:rsidRPr="00F40691" w:rsidRDefault="00022339" w:rsidP="00A9760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p w14:paraId="5ACE6048" w14:textId="180D7F0A" w:rsidR="004E528D" w:rsidRPr="00F40691" w:rsidRDefault="004E528D" w:rsidP="00A9760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F40691">
        <w:rPr>
          <w:rFonts w:ascii="Arial" w:hAnsi="Arial" w:cs="Arial"/>
        </w:rPr>
        <w:t>Pagarbiai</w:t>
      </w:r>
    </w:p>
    <w:p w14:paraId="78B65E43" w14:textId="0CD3D1EA" w:rsidR="004E528D" w:rsidRPr="00F40691" w:rsidRDefault="004E528D" w:rsidP="00A9760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F40691">
        <w:rPr>
          <w:rFonts w:ascii="Arial" w:hAnsi="Arial" w:cs="Arial"/>
        </w:rPr>
        <w:t xml:space="preserve">Pirkimo </w:t>
      </w:r>
      <w:r w:rsidR="004E2345" w:rsidRPr="00F40691">
        <w:rPr>
          <w:rFonts w:ascii="Arial" w:hAnsi="Arial" w:cs="Arial"/>
        </w:rPr>
        <w:t>komisija</w:t>
      </w:r>
      <w:r w:rsidRPr="00F40691">
        <w:rPr>
          <w:rFonts w:ascii="Arial" w:hAnsi="Arial" w:cs="Arial"/>
        </w:rPr>
        <w:t>.</w:t>
      </w:r>
    </w:p>
    <w:sectPr w:rsidR="004E528D" w:rsidRPr="00F4069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D01A" w14:textId="77777777" w:rsidR="00B902A1" w:rsidRDefault="00B902A1" w:rsidP="00A14D4E">
      <w:pPr>
        <w:spacing w:after="0" w:line="240" w:lineRule="auto"/>
      </w:pPr>
      <w:r>
        <w:separator/>
      </w:r>
    </w:p>
  </w:endnote>
  <w:endnote w:type="continuationSeparator" w:id="0">
    <w:p w14:paraId="1C847B58" w14:textId="77777777" w:rsidR="00B902A1" w:rsidRDefault="00B902A1" w:rsidP="00A1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B6B0" w14:textId="77777777" w:rsidR="00B902A1" w:rsidRDefault="00B902A1" w:rsidP="00A14D4E">
      <w:pPr>
        <w:spacing w:after="0" w:line="240" w:lineRule="auto"/>
      </w:pPr>
      <w:r>
        <w:separator/>
      </w:r>
    </w:p>
  </w:footnote>
  <w:footnote w:type="continuationSeparator" w:id="0">
    <w:p w14:paraId="2851E1C1" w14:textId="77777777" w:rsidR="00B902A1" w:rsidRDefault="00B902A1" w:rsidP="00A1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55C4" w14:textId="6B896C0F" w:rsidR="00A14D4E" w:rsidRDefault="00A14D4E">
    <w:pPr>
      <w:pStyle w:val="Antrats"/>
    </w:pPr>
    <w:r w:rsidRPr="008874EB">
      <w:rPr>
        <w:rFonts w:ascii="Arial" w:hAnsi="Arial" w:cs="Arial"/>
        <w:noProof/>
      </w:rPr>
      <w:drawing>
        <wp:inline distT="0" distB="0" distL="0" distR="0" wp14:anchorId="12036480" wp14:editId="27334F74">
          <wp:extent cx="1048385" cy="501650"/>
          <wp:effectExtent l="0" t="0" r="0" b="0"/>
          <wp:docPr id="714880237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2089"/>
    <w:multiLevelType w:val="hybridMultilevel"/>
    <w:tmpl w:val="3A286936"/>
    <w:lvl w:ilvl="0" w:tplc="3E581C3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9E1"/>
    <w:multiLevelType w:val="hybridMultilevel"/>
    <w:tmpl w:val="853CE0EC"/>
    <w:lvl w:ilvl="0" w:tplc="CF4A069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C3E3139"/>
    <w:multiLevelType w:val="multilevel"/>
    <w:tmpl w:val="2DC43E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31064444">
    <w:abstractNumId w:val="3"/>
  </w:num>
  <w:num w:numId="2" w16cid:durableId="730268249">
    <w:abstractNumId w:val="2"/>
  </w:num>
  <w:num w:numId="3" w16cid:durableId="2135127237">
    <w:abstractNumId w:val="1"/>
  </w:num>
  <w:num w:numId="4" w16cid:durableId="3608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62"/>
    <w:rsid w:val="00001DCF"/>
    <w:rsid w:val="0001152A"/>
    <w:rsid w:val="00017BEB"/>
    <w:rsid w:val="00022339"/>
    <w:rsid w:val="00034265"/>
    <w:rsid w:val="00035100"/>
    <w:rsid w:val="000505B7"/>
    <w:rsid w:val="00052B13"/>
    <w:rsid w:val="00070C6C"/>
    <w:rsid w:val="0007225C"/>
    <w:rsid w:val="00086C6F"/>
    <w:rsid w:val="000A0C34"/>
    <w:rsid w:val="000A52CD"/>
    <w:rsid w:val="000B0782"/>
    <w:rsid w:val="000B3434"/>
    <w:rsid w:val="000D3118"/>
    <w:rsid w:val="000D673D"/>
    <w:rsid w:val="000D74A1"/>
    <w:rsid w:val="000E08F2"/>
    <w:rsid w:val="000F021A"/>
    <w:rsid w:val="000F0237"/>
    <w:rsid w:val="000F0C9C"/>
    <w:rsid w:val="000F7F5B"/>
    <w:rsid w:val="0010336B"/>
    <w:rsid w:val="0010422F"/>
    <w:rsid w:val="00104FB1"/>
    <w:rsid w:val="001110C4"/>
    <w:rsid w:val="00126B0A"/>
    <w:rsid w:val="00132AF9"/>
    <w:rsid w:val="00134681"/>
    <w:rsid w:val="00134E93"/>
    <w:rsid w:val="00137B40"/>
    <w:rsid w:val="00140A1A"/>
    <w:rsid w:val="00144983"/>
    <w:rsid w:val="00146BE8"/>
    <w:rsid w:val="001515E4"/>
    <w:rsid w:val="00155961"/>
    <w:rsid w:val="00162A1F"/>
    <w:rsid w:val="00171A49"/>
    <w:rsid w:val="00172D82"/>
    <w:rsid w:val="00177CAD"/>
    <w:rsid w:val="00183DA9"/>
    <w:rsid w:val="00186CD3"/>
    <w:rsid w:val="0018779C"/>
    <w:rsid w:val="00187A38"/>
    <w:rsid w:val="0019586A"/>
    <w:rsid w:val="00195C61"/>
    <w:rsid w:val="001A1A76"/>
    <w:rsid w:val="001B7603"/>
    <w:rsid w:val="001C1AAA"/>
    <w:rsid w:val="001C7116"/>
    <w:rsid w:val="001E1D62"/>
    <w:rsid w:val="001F1C96"/>
    <w:rsid w:val="001F6CC2"/>
    <w:rsid w:val="00210196"/>
    <w:rsid w:val="00211DED"/>
    <w:rsid w:val="00220916"/>
    <w:rsid w:val="00222438"/>
    <w:rsid w:val="00226D63"/>
    <w:rsid w:val="00232519"/>
    <w:rsid w:val="00232B74"/>
    <w:rsid w:val="0023384E"/>
    <w:rsid w:val="00235873"/>
    <w:rsid w:val="0023636E"/>
    <w:rsid w:val="00244965"/>
    <w:rsid w:val="0025309F"/>
    <w:rsid w:val="00263AFC"/>
    <w:rsid w:val="00271A29"/>
    <w:rsid w:val="00287FA8"/>
    <w:rsid w:val="002962A2"/>
    <w:rsid w:val="002C45B2"/>
    <w:rsid w:val="002C76C4"/>
    <w:rsid w:val="002D1ACA"/>
    <w:rsid w:val="002D4304"/>
    <w:rsid w:val="002E0FB4"/>
    <w:rsid w:val="002E2C19"/>
    <w:rsid w:val="002E6999"/>
    <w:rsid w:val="002F1774"/>
    <w:rsid w:val="002F2ABD"/>
    <w:rsid w:val="00303810"/>
    <w:rsid w:val="00314044"/>
    <w:rsid w:val="00324462"/>
    <w:rsid w:val="0032582A"/>
    <w:rsid w:val="0032643A"/>
    <w:rsid w:val="003317B7"/>
    <w:rsid w:val="0033361B"/>
    <w:rsid w:val="003426E4"/>
    <w:rsid w:val="00351C65"/>
    <w:rsid w:val="00354CFA"/>
    <w:rsid w:val="00361B44"/>
    <w:rsid w:val="00365272"/>
    <w:rsid w:val="00370549"/>
    <w:rsid w:val="00376D7F"/>
    <w:rsid w:val="00376E90"/>
    <w:rsid w:val="00382068"/>
    <w:rsid w:val="00384A64"/>
    <w:rsid w:val="00393BB6"/>
    <w:rsid w:val="00397C57"/>
    <w:rsid w:val="003C7BC0"/>
    <w:rsid w:val="003D212B"/>
    <w:rsid w:val="003D3D1E"/>
    <w:rsid w:val="003E105E"/>
    <w:rsid w:val="003E2158"/>
    <w:rsid w:val="003E23A2"/>
    <w:rsid w:val="003E650C"/>
    <w:rsid w:val="003F20CC"/>
    <w:rsid w:val="00402D79"/>
    <w:rsid w:val="00403A07"/>
    <w:rsid w:val="00404581"/>
    <w:rsid w:val="0041283C"/>
    <w:rsid w:val="0042028A"/>
    <w:rsid w:val="00427890"/>
    <w:rsid w:val="0043079C"/>
    <w:rsid w:val="00432F6F"/>
    <w:rsid w:val="00433743"/>
    <w:rsid w:val="00451B57"/>
    <w:rsid w:val="0046393A"/>
    <w:rsid w:val="004A04B6"/>
    <w:rsid w:val="004A22D5"/>
    <w:rsid w:val="004B1EEC"/>
    <w:rsid w:val="004B3F0F"/>
    <w:rsid w:val="004C40D1"/>
    <w:rsid w:val="004C470D"/>
    <w:rsid w:val="004D07A8"/>
    <w:rsid w:val="004E2345"/>
    <w:rsid w:val="004E492C"/>
    <w:rsid w:val="004E528D"/>
    <w:rsid w:val="004F5B86"/>
    <w:rsid w:val="004F7919"/>
    <w:rsid w:val="0050068E"/>
    <w:rsid w:val="005155D1"/>
    <w:rsid w:val="00520C2C"/>
    <w:rsid w:val="00524A50"/>
    <w:rsid w:val="00541F9B"/>
    <w:rsid w:val="005504B0"/>
    <w:rsid w:val="0055624C"/>
    <w:rsid w:val="0056306C"/>
    <w:rsid w:val="005672E7"/>
    <w:rsid w:val="005718D2"/>
    <w:rsid w:val="00574447"/>
    <w:rsid w:val="00575001"/>
    <w:rsid w:val="00576BEA"/>
    <w:rsid w:val="00577ACE"/>
    <w:rsid w:val="00587448"/>
    <w:rsid w:val="00593A3A"/>
    <w:rsid w:val="005A1264"/>
    <w:rsid w:val="005A4D7F"/>
    <w:rsid w:val="005C71E4"/>
    <w:rsid w:val="005D31EC"/>
    <w:rsid w:val="005D3CD2"/>
    <w:rsid w:val="005D3DCF"/>
    <w:rsid w:val="005D41EB"/>
    <w:rsid w:val="005D4CF6"/>
    <w:rsid w:val="005E5139"/>
    <w:rsid w:val="005E5163"/>
    <w:rsid w:val="005E5C4B"/>
    <w:rsid w:val="005F7CE3"/>
    <w:rsid w:val="00603C5D"/>
    <w:rsid w:val="00604422"/>
    <w:rsid w:val="006112CB"/>
    <w:rsid w:val="00613E9E"/>
    <w:rsid w:val="00620FB3"/>
    <w:rsid w:val="00625550"/>
    <w:rsid w:val="006306FA"/>
    <w:rsid w:val="006359C5"/>
    <w:rsid w:val="00637849"/>
    <w:rsid w:val="00640D2B"/>
    <w:rsid w:val="00643670"/>
    <w:rsid w:val="006538B0"/>
    <w:rsid w:val="0065509B"/>
    <w:rsid w:val="00664F97"/>
    <w:rsid w:val="006706AA"/>
    <w:rsid w:val="00674311"/>
    <w:rsid w:val="006773F0"/>
    <w:rsid w:val="0068220F"/>
    <w:rsid w:val="006A0AE0"/>
    <w:rsid w:val="006A32EF"/>
    <w:rsid w:val="006B021E"/>
    <w:rsid w:val="006D0CB1"/>
    <w:rsid w:val="006D36AD"/>
    <w:rsid w:val="006D3C87"/>
    <w:rsid w:val="006D775B"/>
    <w:rsid w:val="006E025B"/>
    <w:rsid w:val="006E14B6"/>
    <w:rsid w:val="006E7129"/>
    <w:rsid w:val="006F1E6B"/>
    <w:rsid w:val="006F67F9"/>
    <w:rsid w:val="00706CED"/>
    <w:rsid w:val="00726E74"/>
    <w:rsid w:val="00742F1D"/>
    <w:rsid w:val="00750DC8"/>
    <w:rsid w:val="00751132"/>
    <w:rsid w:val="0075131C"/>
    <w:rsid w:val="0075264C"/>
    <w:rsid w:val="00754EEA"/>
    <w:rsid w:val="00754F0E"/>
    <w:rsid w:val="0075738A"/>
    <w:rsid w:val="007615B1"/>
    <w:rsid w:val="00765466"/>
    <w:rsid w:val="007709C6"/>
    <w:rsid w:val="0078038C"/>
    <w:rsid w:val="007843C2"/>
    <w:rsid w:val="007871DF"/>
    <w:rsid w:val="00790829"/>
    <w:rsid w:val="00793D19"/>
    <w:rsid w:val="007A058B"/>
    <w:rsid w:val="007A1FEB"/>
    <w:rsid w:val="007B0AFE"/>
    <w:rsid w:val="007B174F"/>
    <w:rsid w:val="007B3953"/>
    <w:rsid w:val="007B3B7A"/>
    <w:rsid w:val="007B57AC"/>
    <w:rsid w:val="007C40B6"/>
    <w:rsid w:val="007C798F"/>
    <w:rsid w:val="007D4955"/>
    <w:rsid w:val="007D5443"/>
    <w:rsid w:val="007D5E57"/>
    <w:rsid w:val="007E68CB"/>
    <w:rsid w:val="007F34DB"/>
    <w:rsid w:val="007F3812"/>
    <w:rsid w:val="00800CD8"/>
    <w:rsid w:val="008021E5"/>
    <w:rsid w:val="00807E1A"/>
    <w:rsid w:val="00825142"/>
    <w:rsid w:val="00832747"/>
    <w:rsid w:val="00840771"/>
    <w:rsid w:val="00844DFD"/>
    <w:rsid w:val="008479BF"/>
    <w:rsid w:val="008529E0"/>
    <w:rsid w:val="00854FA5"/>
    <w:rsid w:val="00884E6C"/>
    <w:rsid w:val="00896487"/>
    <w:rsid w:val="008A2326"/>
    <w:rsid w:val="008A6256"/>
    <w:rsid w:val="008B04AD"/>
    <w:rsid w:val="008B4ADE"/>
    <w:rsid w:val="008B7BC0"/>
    <w:rsid w:val="008D1CAF"/>
    <w:rsid w:val="008D3D8D"/>
    <w:rsid w:val="008D51F5"/>
    <w:rsid w:val="008F08C0"/>
    <w:rsid w:val="008F08E6"/>
    <w:rsid w:val="008F19A3"/>
    <w:rsid w:val="00903323"/>
    <w:rsid w:val="00911917"/>
    <w:rsid w:val="00915EB3"/>
    <w:rsid w:val="0093126C"/>
    <w:rsid w:val="00931593"/>
    <w:rsid w:val="00932056"/>
    <w:rsid w:val="00944ABB"/>
    <w:rsid w:val="009511E4"/>
    <w:rsid w:val="009520E2"/>
    <w:rsid w:val="00952903"/>
    <w:rsid w:val="009614DE"/>
    <w:rsid w:val="00970FD8"/>
    <w:rsid w:val="00977B4E"/>
    <w:rsid w:val="009830B5"/>
    <w:rsid w:val="009865E8"/>
    <w:rsid w:val="00986BBF"/>
    <w:rsid w:val="00990241"/>
    <w:rsid w:val="009A162C"/>
    <w:rsid w:val="009A1839"/>
    <w:rsid w:val="009A1BE8"/>
    <w:rsid w:val="009B04BF"/>
    <w:rsid w:val="009B649D"/>
    <w:rsid w:val="009C557B"/>
    <w:rsid w:val="009C6637"/>
    <w:rsid w:val="009D08D6"/>
    <w:rsid w:val="009D3D04"/>
    <w:rsid w:val="009D4042"/>
    <w:rsid w:val="009D6F2C"/>
    <w:rsid w:val="009E30DE"/>
    <w:rsid w:val="009F1CBC"/>
    <w:rsid w:val="009F23DF"/>
    <w:rsid w:val="009F7112"/>
    <w:rsid w:val="009F7B1B"/>
    <w:rsid w:val="00A00B18"/>
    <w:rsid w:val="00A14D4E"/>
    <w:rsid w:val="00A15658"/>
    <w:rsid w:val="00A169F7"/>
    <w:rsid w:val="00A203E8"/>
    <w:rsid w:val="00A21C6C"/>
    <w:rsid w:val="00A23D54"/>
    <w:rsid w:val="00A27325"/>
    <w:rsid w:val="00A32D2D"/>
    <w:rsid w:val="00A525B3"/>
    <w:rsid w:val="00A531B3"/>
    <w:rsid w:val="00A56E7D"/>
    <w:rsid w:val="00A63ABA"/>
    <w:rsid w:val="00A70990"/>
    <w:rsid w:val="00A97603"/>
    <w:rsid w:val="00AA1877"/>
    <w:rsid w:val="00AA3569"/>
    <w:rsid w:val="00AA6FF6"/>
    <w:rsid w:val="00AB064E"/>
    <w:rsid w:val="00AB145B"/>
    <w:rsid w:val="00AB6D5B"/>
    <w:rsid w:val="00AC4F34"/>
    <w:rsid w:val="00AC7A8C"/>
    <w:rsid w:val="00AD69E1"/>
    <w:rsid w:val="00AF0CB6"/>
    <w:rsid w:val="00B0200D"/>
    <w:rsid w:val="00B05262"/>
    <w:rsid w:val="00B059BF"/>
    <w:rsid w:val="00B14E47"/>
    <w:rsid w:val="00B178B8"/>
    <w:rsid w:val="00B17BFC"/>
    <w:rsid w:val="00B37A8D"/>
    <w:rsid w:val="00B37EBF"/>
    <w:rsid w:val="00B40ADD"/>
    <w:rsid w:val="00B5337F"/>
    <w:rsid w:val="00B57930"/>
    <w:rsid w:val="00B62ABF"/>
    <w:rsid w:val="00B62D81"/>
    <w:rsid w:val="00B7354B"/>
    <w:rsid w:val="00B76A77"/>
    <w:rsid w:val="00B82CA1"/>
    <w:rsid w:val="00B82E89"/>
    <w:rsid w:val="00B8627B"/>
    <w:rsid w:val="00B902A1"/>
    <w:rsid w:val="00B9202A"/>
    <w:rsid w:val="00B95448"/>
    <w:rsid w:val="00B955CE"/>
    <w:rsid w:val="00B96209"/>
    <w:rsid w:val="00BB1610"/>
    <w:rsid w:val="00BC3558"/>
    <w:rsid w:val="00BC3A5A"/>
    <w:rsid w:val="00BC593B"/>
    <w:rsid w:val="00BC5B69"/>
    <w:rsid w:val="00BD1569"/>
    <w:rsid w:val="00BE0E74"/>
    <w:rsid w:val="00BE3F72"/>
    <w:rsid w:val="00BE6B12"/>
    <w:rsid w:val="00BF6941"/>
    <w:rsid w:val="00BF7239"/>
    <w:rsid w:val="00C03721"/>
    <w:rsid w:val="00C04095"/>
    <w:rsid w:val="00C1185F"/>
    <w:rsid w:val="00C241A1"/>
    <w:rsid w:val="00C25AE6"/>
    <w:rsid w:val="00C263C0"/>
    <w:rsid w:val="00C26575"/>
    <w:rsid w:val="00C37502"/>
    <w:rsid w:val="00C42FBC"/>
    <w:rsid w:val="00C449AF"/>
    <w:rsid w:val="00C56C0F"/>
    <w:rsid w:val="00C57E25"/>
    <w:rsid w:val="00C70279"/>
    <w:rsid w:val="00C8667C"/>
    <w:rsid w:val="00C95D48"/>
    <w:rsid w:val="00CA4ED9"/>
    <w:rsid w:val="00CA6F2E"/>
    <w:rsid w:val="00CB05B8"/>
    <w:rsid w:val="00CB1189"/>
    <w:rsid w:val="00CB27D8"/>
    <w:rsid w:val="00CB5A83"/>
    <w:rsid w:val="00CB6E3D"/>
    <w:rsid w:val="00CB78BA"/>
    <w:rsid w:val="00CC0BA4"/>
    <w:rsid w:val="00CD30DD"/>
    <w:rsid w:val="00CD5608"/>
    <w:rsid w:val="00CE3A68"/>
    <w:rsid w:val="00CE3B74"/>
    <w:rsid w:val="00CE6F25"/>
    <w:rsid w:val="00CF3838"/>
    <w:rsid w:val="00D01DFD"/>
    <w:rsid w:val="00D023DF"/>
    <w:rsid w:val="00D0308A"/>
    <w:rsid w:val="00D1449C"/>
    <w:rsid w:val="00D15785"/>
    <w:rsid w:val="00D15EEF"/>
    <w:rsid w:val="00D21E10"/>
    <w:rsid w:val="00D24FFA"/>
    <w:rsid w:val="00D31F63"/>
    <w:rsid w:val="00D322AC"/>
    <w:rsid w:val="00D41A4E"/>
    <w:rsid w:val="00D65B4E"/>
    <w:rsid w:val="00D66AD4"/>
    <w:rsid w:val="00D7073E"/>
    <w:rsid w:val="00D7703C"/>
    <w:rsid w:val="00D82BBE"/>
    <w:rsid w:val="00D95395"/>
    <w:rsid w:val="00DB14B5"/>
    <w:rsid w:val="00DB3B71"/>
    <w:rsid w:val="00DE1AD6"/>
    <w:rsid w:val="00E04918"/>
    <w:rsid w:val="00E14915"/>
    <w:rsid w:val="00E37D5C"/>
    <w:rsid w:val="00E428E5"/>
    <w:rsid w:val="00E46DA8"/>
    <w:rsid w:val="00E472DB"/>
    <w:rsid w:val="00E507A5"/>
    <w:rsid w:val="00E54230"/>
    <w:rsid w:val="00E559A9"/>
    <w:rsid w:val="00E577FA"/>
    <w:rsid w:val="00E66C8C"/>
    <w:rsid w:val="00E76603"/>
    <w:rsid w:val="00E76B6D"/>
    <w:rsid w:val="00E77691"/>
    <w:rsid w:val="00E77C75"/>
    <w:rsid w:val="00E822C1"/>
    <w:rsid w:val="00EA2023"/>
    <w:rsid w:val="00EA3EAD"/>
    <w:rsid w:val="00EA5AB4"/>
    <w:rsid w:val="00EB783B"/>
    <w:rsid w:val="00EC2BDE"/>
    <w:rsid w:val="00ED020E"/>
    <w:rsid w:val="00ED0681"/>
    <w:rsid w:val="00ED7838"/>
    <w:rsid w:val="00EE45AB"/>
    <w:rsid w:val="00EE68FB"/>
    <w:rsid w:val="00F16BA3"/>
    <w:rsid w:val="00F37899"/>
    <w:rsid w:val="00F40691"/>
    <w:rsid w:val="00F40714"/>
    <w:rsid w:val="00F43E85"/>
    <w:rsid w:val="00F45AB9"/>
    <w:rsid w:val="00F55B40"/>
    <w:rsid w:val="00F61EBA"/>
    <w:rsid w:val="00F6295E"/>
    <w:rsid w:val="00F71719"/>
    <w:rsid w:val="00F7419C"/>
    <w:rsid w:val="00F95F7A"/>
    <w:rsid w:val="00F97621"/>
    <w:rsid w:val="00FA0763"/>
    <w:rsid w:val="00FA2638"/>
    <w:rsid w:val="00FA34BC"/>
    <w:rsid w:val="00FA5E91"/>
    <w:rsid w:val="00FB68C0"/>
    <w:rsid w:val="00FB6D70"/>
    <w:rsid w:val="00FC1F1B"/>
    <w:rsid w:val="00FD71DF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7F1A"/>
  <w15:chartTrackingRefBased/>
  <w15:docId w15:val="{1A781A89-CBA3-4B23-BF64-1BA8D361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1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1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1D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1D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1D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1D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1D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1D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E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E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1D62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AS,Lentele,Lente"/>
    <w:basedOn w:val="prastasis"/>
    <w:link w:val="SraopastraipaDiagrama"/>
    <w:uiPriority w:val="34"/>
    <w:qFormat/>
    <w:rsid w:val="001E1D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1D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1D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1D6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E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41A4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41A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1A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1A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1A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1A4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14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D4E"/>
  </w:style>
  <w:style w:type="paragraph" w:styleId="Porat">
    <w:name w:val="footer"/>
    <w:basedOn w:val="prastasis"/>
    <w:link w:val="PoratDiagrama"/>
    <w:uiPriority w:val="99"/>
    <w:unhideWhenUsed/>
    <w:rsid w:val="00A14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D4E"/>
  </w:style>
  <w:style w:type="character" w:customStyle="1" w:styleId="normaltextrun">
    <w:name w:val="normaltextrun"/>
    <w:basedOn w:val="Numatytasispastraiposriftas"/>
    <w:rsid w:val="005F7CE3"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9830B5"/>
  </w:style>
  <w:style w:type="character" w:customStyle="1" w:styleId="Laukeliai">
    <w:name w:val="Laukeliai"/>
    <w:basedOn w:val="Numatytasispastraiposriftas"/>
    <w:uiPriority w:val="1"/>
    <w:rsid w:val="0056306C"/>
    <w:rPr>
      <w:rFonts w:ascii="Arial" w:hAnsi="Arial"/>
      <w:sz w:val="20"/>
    </w:rPr>
  </w:style>
  <w:style w:type="character" w:customStyle="1" w:styleId="eop">
    <w:name w:val="eop"/>
    <w:basedOn w:val="Numatytasispastraiposriftas"/>
    <w:rsid w:val="00F4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AA46-F707-4C97-BB43-25BB1A17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2549</Characters>
  <Application>Microsoft Office Word</Application>
  <DocSecurity>0</DocSecurity>
  <Lines>85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5</cp:revision>
  <dcterms:created xsi:type="dcterms:W3CDTF">2026-04-22T12:09:00Z</dcterms:created>
  <dcterms:modified xsi:type="dcterms:W3CDTF">2026-04-22T12:18:00Z</dcterms:modified>
</cp:coreProperties>
</file>