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1B18F" w14:textId="77777777" w:rsidR="005F3E88" w:rsidRPr="009C5047" w:rsidRDefault="005F3E88" w:rsidP="005F3E88">
      <w:pPr>
        <w:spacing w:after="240"/>
        <w:jc w:val="center"/>
        <w:rPr>
          <w:rFonts w:ascii="Tahoma" w:eastAsia="Arial" w:hAnsi="Tahoma" w:cs="Tahoma"/>
          <w:smallCaps/>
          <w:color w:val="404040"/>
          <w:sz w:val="22"/>
          <w:szCs w:val="22"/>
        </w:rPr>
      </w:pPr>
      <w:r>
        <w:rPr>
          <w:rFonts w:ascii="Tahoma" w:hAnsi="Tahoma"/>
          <w:smallCaps/>
          <w:color w:val="404040"/>
          <w:sz w:val="22"/>
        </w:rPr>
        <w:t>QUALIFICATION CRITERIA FOR TENDERERS</w:t>
      </w:r>
    </w:p>
    <w:p w14:paraId="4185928A" w14:textId="5304D7AA" w:rsidR="005F3E88" w:rsidRPr="009D345E" w:rsidRDefault="00000000" w:rsidP="00B56465">
      <w:pPr>
        <w:ind w:firstLine="567"/>
        <w:rPr>
          <w:rFonts w:ascii="Tahoma" w:eastAsia="Arial" w:hAnsi="Tahoma" w:cs="Tahoma"/>
          <w:sz w:val="22"/>
          <w:szCs w:val="22"/>
        </w:rPr>
      </w:pPr>
      <w:sdt>
        <w:sdtPr>
          <w:rPr>
            <w:rFonts w:ascii="Tahoma" w:hAnsi="Tahoma" w:cs="Tahoma"/>
            <w:sz w:val="22"/>
            <w:szCs w:val="22"/>
          </w:rPr>
          <w:tag w:val="goog_rdk_129"/>
          <w:id w:val="-1599392971"/>
          <w:placeholder>
            <w:docPart w:val="4BEF8F7768F04133BCD43F09B3BA5CA1"/>
          </w:placeholder>
        </w:sdtPr>
        <w:sdtContent>
          <w:r w:rsidR="00D658C7">
            <w:rPr>
              <w:rFonts w:ascii="Tahoma" w:hAnsi="Tahoma"/>
              <w:sz w:val="22"/>
            </w:rPr>
            <w:t>1.</w:t>
          </w:r>
        </w:sdtContent>
      </w:sdt>
      <w:r w:rsidR="00D943AA">
        <w:rPr>
          <w:rFonts w:ascii="Tahoma" w:hAnsi="Tahoma" w:cs="Tahoma"/>
          <w:sz w:val="22"/>
          <w:szCs w:val="22"/>
        </w:rPr>
        <w:t xml:space="preserve"> </w:t>
      </w:r>
      <w:r w:rsidR="00D658C7">
        <w:rPr>
          <w:rFonts w:ascii="Tahoma" w:hAnsi="Tahoma"/>
          <w:sz w:val="22"/>
        </w:rPr>
        <w:t xml:space="preserve">The Tenderer’s qualifications shall comply with the qualification criteria set out in this Annex. If the tenderer’s qualifications with regard to the right to pursue the activity in question are not fully verified, the tenderer shall ensure to the </w:t>
      </w:r>
      <w:r w:rsidR="00F90784">
        <w:rPr>
          <w:rFonts w:ascii="Tahoma" w:hAnsi="Tahoma"/>
          <w:sz w:val="22"/>
        </w:rPr>
        <w:t>C</w:t>
      </w:r>
      <w:r w:rsidR="00D658C7">
        <w:rPr>
          <w:rFonts w:ascii="Tahoma" w:hAnsi="Tahoma"/>
          <w:sz w:val="22"/>
        </w:rPr>
        <w:t xml:space="preserve">ontracting </w:t>
      </w:r>
      <w:r w:rsidR="00F90784">
        <w:rPr>
          <w:rFonts w:ascii="Tahoma" w:hAnsi="Tahoma"/>
          <w:sz w:val="22"/>
        </w:rPr>
        <w:t>A</w:t>
      </w:r>
      <w:r w:rsidR="00D658C7">
        <w:rPr>
          <w:rFonts w:ascii="Tahoma" w:hAnsi="Tahoma"/>
          <w:sz w:val="22"/>
        </w:rPr>
        <w:t xml:space="preserve">uthority that the contract </w:t>
      </w:r>
      <w:r w:rsidR="00F90784">
        <w:rPr>
          <w:rFonts w:ascii="Tahoma" w:hAnsi="Tahoma"/>
          <w:sz w:val="22"/>
        </w:rPr>
        <w:t>is</w:t>
      </w:r>
      <w:r w:rsidR="00D658C7">
        <w:rPr>
          <w:rFonts w:ascii="Tahoma" w:hAnsi="Tahoma"/>
          <w:sz w:val="22"/>
        </w:rPr>
        <w:t xml:space="preserve"> performed only by persons who are qualified to pursue the activity in question.</w:t>
      </w:r>
    </w:p>
    <w:p w14:paraId="5848B989" w14:textId="0017A71B" w:rsidR="00B56465" w:rsidRPr="009D345E" w:rsidRDefault="00B56465" w:rsidP="00B56465">
      <w:pPr>
        <w:ind w:firstLine="589"/>
        <w:rPr>
          <w:rFonts w:ascii="Tahoma" w:hAnsi="Tahoma" w:cs="Tahoma"/>
          <w:iCs/>
          <w:color w:val="000000"/>
          <w:sz w:val="22"/>
          <w:szCs w:val="22"/>
        </w:rPr>
      </w:pPr>
      <w:r>
        <w:rPr>
          <w:rFonts w:ascii="Tahoma" w:hAnsi="Tahoma"/>
          <w:color w:val="000000"/>
          <w:sz w:val="22"/>
        </w:rPr>
        <w:t xml:space="preserve">1.1. If </w:t>
      </w:r>
      <w:r w:rsidR="00F90784">
        <w:rPr>
          <w:rFonts w:ascii="Tahoma" w:hAnsi="Tahoma"/>
          <w:color w:val="000000"/>
          <w:sz w:val="22"/>
        </w:rPr>
        <w:t xml:space="preserve">a </w:t>
      </w:r>
      <w:r>
        <w:rPr>
          <w:rFonts w:ascii="Tahoma" w:hAnsi="Tahoma"/>
          <w:color w:val="000000"/>
          <w:sz w:val="22"/>
        </w:rPr>
        <w:t>tender</w:t>
      </w:r>
      <w:r w:rsidR="00F90784">
        <w:rPr>
          <w:rFonts w:ascii="Tahoma" w:hAnsi="Tahoma"/>
          <w:color w:val="000000"/>
          <w:sz w:val="22"/>
        </w:rPr>
        <w:t xml:space="preserve"> bid is</w:t>
      </w:r>
      <w:r>
        <w:rPr>
          <w:rFonts w:ascii="Tahoma" w:hAnsi="Tahoma"/>
          <w:color w:val="000000"/>
          <w:sz w:val="22"/>
        </w:rPr>
        <w:t xml:space="preserve"> submitted by a group of economic operators, the requirement must be met by </w:t>
      </w:r>
      <w:r w:rsidR="00F90784">
        <w:rPr>
          <w:rFonts w:ascii="Tahoma" w:hAnsi="Tahoma"/>
          <w:color w:val="000000"/>
          <w:sz w:val="22"/>
        </w:rPr>
        <w:t>each</w:t>
      </w:r>
      <w:r>
        <w:rPr>
          <w:rFonts w:ascii="Tahoma" w:hAnsi="Tahoma"/>
          <w:color w:val="000000"/>
          <w:sz w:val="22"/>
        </w:rPr>
        <w:t xml:space="preserve"> member(s) of the group of economic operators, taking according to their commitments to perform the contract;</w:t>
      </w:r>
    </w:p>
    <w:p w14:paraId="79029508" w14:textId="36A9629C" w:rsidR="00B56465" w:rsidRPr="009D345E" w:rsidRDefault="00B56465" w:rsidP="00B56465">
      <w:pPr>
        <w:ind w:firstLine="589"/>
        <w:rPr>
          <w:rFonts w:ascii="Tahoma" w:hAnsi="Tahoma" w:cs="Tahoma"/>
          <w:color w:val="000000"/>
          <w:sz w:val="22"/>
          <w:szCs w:val="22"/>
        </w:rPr>
      </w:pPr>
      <w:r>
        <w:rPr>
          <w:rFonts w:ascii="Tahoma" w:hAnsi="Tahoma"/>
          <w:color w:val="000000"/>
          <w:sz w:val="22"/>
        </w:rPr>
        <w:t>1.2. A tenderer may rely on the capacities of other economic operators only if the operators whose capacities have been relied on will themselves supply the goods, services or works for which their capacities are required;</w:t>
      </w:r>
    </w:p>
    <w:p w14:paraId="6F0518C1" w14:textId="3571BD1E" w:rsidR="005F3E88" w:rsidRPr="009D345E" w:rsidRDefault="00B56465" w:rsidP="00B56465">
      <w:pPr>
        <w:pStyle w:val="Sraopastraipa"/>
        <w:tabs>
          <w:tab w:val="left" w:pos="851"/>
        </w:tabs>
        <w:ind w:left="0" w:firstLine="567"/>
        <w:rPr>
          <w:rFonts w:ascii="Tahoma" w:eastAsiaTheme="minorHAnsi" w:hAnsi="Tahoma" w:cs="Tahoma"/>
          <w:sz w:val="22"/>
          <w:szCs w:val="22"/>
        </w:rPr>
      </w:pPr>
      <w:r>
        <w:rPr>
          <w:rFonts w:ascii="Tahoma" w:hAnsi="Tahoma"/>
          <w:color w:val="000000"/>
          <w:sz w:val="22"/>
        </w:rPr>
        <w:t>1.3. The sub</w:t>
      </w:r>
      <w:r w:rsidR="00866BA2">
        <w:rPr>
          <w:rFonts w:ascii="Tahoma" w:hAnsi="Tahoma"/>
          <w:color w:val="000000"/>
          <w:sz w:val="22"/>
        </w:rPr>
        <w:t>-provider</w:t>
      </w:r>
      <w:r>
        <w:rPr>
          <w:rFonts w:ascii="Tahoma" w:hAnsi="Tahoma"/>
          <w:color w:val="000000"/>
          <w:sz w:val="22"/>
        </w:rPr>
        <w:t xml:space="preserve">s that the tenderer will use to perform the contract (but whom the tenderer does not rely on to meet the qualification criteria set out in the </w:t>
      </w:r>
      <w:r w:rsidR="00F90784">
        <w:rPr>
          <w:rFonts w:ascii="Tahoma" w:hAnsi="Tahoma"/>
          <w:color w:val="000000"/>
          <w:sz w:val="22"/>
        </w:rPr>
        <w:t>procurement</w:t>
      </w:r>
      <w:r>
        <w:rPr>
          <w:rFonts w:ascii="Tahoma" w:hAnsi="Tahoma"/>
          <w:color w:val="000000"/>
          <w:sz w:val="22"/>
        </w:rPr>
        <w:t xml:space="preserve"> documents) must have the right to engage in the activity for which they are being used. The Tenderer undertakes that the contract will be performed only by persons qualified to do so, and that, at the request of the Contracting Authority, the Tenderer shall be required to provide documents proving the sub</w:t>
      </w:r>
      <w:r w:rsidR="00866BA2">
        <w:rPr>
          <w:rFonts w:ascii="Tahoma" w:hAnsi="Tahoma"/>
          <w:color w:val="000000"/>
          <w:sz w:val="22"/>
        </w:rPr>
        <w:t>-provider</w:t>
      </w:r>
      <w:r>
        <w:rPr>
          <w:rFonts w:ascii="Tahoma" w:hAnsi="Tahoma"/>
          <w:color w:val="000000"/>
          <w:sz w:val="22"/>
        </w:rPr>
        <w:t>’s entitlement to engage in the activity in question for which it is being engaged.</w:t>
      </w:r>
    </w:p>
    <w:p w14:paraId="59D31020" w14:textId="79433626" w:rsidR="002A7375" w:rsidRPr="005F3E88" w:rsidRDefault="005F3E88" w:rsidP="005F3E88">
      <w:pPr>
        <w:jc w:val="right"/>
        <w:rPr>
          <w:rFonts w:ascii="Tahoma" w:hAnsi="Tahoma" w:cs="Tahoma"/>
          <w:sz w:val="22"/>
          <w:szCs w:val="22"/>
        </w:rPr>
      </w:pPr>
      <w:r>
        <w:rPr>
          <w:rFonts w:ascii="Tahoma" w:hAnsi="Tahoma"/>
          <w:sz w:val="22"/>
        </w:rPr>
        <w:t>Table 1.</w:t>
      </w:r>
    </w:p>
    <w:p w14:paraId="56C76463" w14:textId="77777777" w:rsidR="005F3E88" w:rsidRDefault="005F3E88" w:rsidP="005F3E88">
      <w:pPr>
        <w:jc w:val="right"/>
        <w:rPr>
          <w:rFonts w:ascii="Tahoma" w:hAnsi="Tahoma" w:cs="Tahoma"/>
          <w:sz w:val="22"/>
          <w:szCs w:val="22"/>
        </w:rPr>
      </w:pPr>
    </w:p>
    <w:tbl>
      <w:tblPr>
        <w:tblStyle w:val="Lentelstinklelis"/>
        <w:tblW w:w="9776" w:type="dxa"/>
        <w:tblLayout w:type="fixed"/>
        <w:tblLook w:val="04A0" w:firstRow="1" w:lastRow="0" w:firstColumn="1" w:lastColumn="0" w:noHBand="0" w:noVBand="1"/>
      </w:tblPr>
      <w:tblGrid>
        <w:gridCol w:w="599"/>
        <w:gridCol w:w="3791"/>
        <w:gridCol w:w="3689"/>
        <w:gridCol w:w="1697"/>
      </w:tblGrid>
      <w:tr w:rsidR="005F3E88" w14:paraId="563625D4" w14:textId="77777777" w:rsidTr="005F583C">
        <w:tc>
          <w:tcPr>
            <w:tcW w:w="599" w:type="dxa"/>
            <w:shd w:val="clear" w:color="auto" w:fill="D9E2F3" w:themeFill="accent5" w:themeFillTint="33"/>
          </w:tcPr>
          <w:p w14:paraId="74787C8F" w14:textId="03E8944C" w:rsidR="005F3E88" w:rsidRPr="005F3E88" w:rsidRDefault="005F3E88" w:rsidP="00D943AA">
            <w:pPr>
              <w:ind w:left="-108" w:right="-75" w:firstLine="0"/>
              <w:jc w:val="center"/>
              <w:rPr>
                <w:rFonts w:ascii="Tahoma" w:hAnsi="Tahoma" w:cs="Tahoma"/>
                <w:b/>
                <w:bCs/>
                <w:sz w:val="22"/>
                <w:szCs w:val="22"/>
              </w:rPr>
            </w:pPr>
            <w:r>
              <w:rPr>
                <w:rFonts w:ascii="Tahoma" w:hAnsi="Tahoma"/>
                <w:b/>
                <w:sz w:val="22"/>
              </w:rPr>
              <w:t>No</w:t>
            </w:r>
          </w:p>
        </w:tc>
        <w:tc>
          <w:tcPr>
            <w:tcW w:w="3791" w:type="dxa"/>
            <w:shd w:val="clear" w:color="auto" w:fill="D9E2F3" w:themeFill="accent5" w:themeFillTint="33"/>
          </w:tcPr>
          <w:p w14:paraId="4D4F6240" w14:textId="28BD1879" w:rsidR="005F3E88" w:rsidRPr="005F3E88" w:rsidRDefault="005F3E88" w:rsidP="00D943AA">
            <w:pPr>
              <w:ind w:left="-108" w:right="-75" w:firstLine="0"/>
              <w:jc w:val="center"/>
              <w:rPr>
                <w:rFonts w:ascii="Tahoma" w:hAnsi="Tahoma" w:cs="Tahoma"/>
                <w:b/>
                <w:bCs/>
                <w:sz w:val="22"/>
                <w:szCs w:val="22"/>
              </w:rPr>
            </w:pPr>
            <w:r>
              <w:rPr>
                <w:rFonts w:ascii="Tahoma" w:hAnsi="Tahoma"/>
                <w:b/>
                <w:sz w:val="22"/>
              </w:rPr>
              <w:t>Qualification requirement</w:t>
            </w:r>
          </w:p>
        </w:tc>
        <w:tc>
          <w:tcPr>
            <w:tcW w:w="3689" w:type="dxa"/>
            <w:shd w:val="clear" w:color="auto" w:fill="D9E2F3" w:themeFill="accent5" w:themeFillTint="33"/>
          </w:tcPr>
          <w:p w14:paraId="79790517" w14:textId="4493BF2D" w:rsidR="005F3E88" w:rsidRPr="005F3E88" w:rsidRDefault="005F3E88" w:rsidP="00D943AA">
            <w:pPr>
              <w:ind w:left="-108" w:right="-75" w:firstLine="0"/>
              <w:jc w:val="center"/>
              <w:rPr>
                <w:rFonts w:ascii="Tahoma" w:hAnsi="Tahoma" w:cs="Tahoma"/>
                <w:b/>
                <w:bCs/>
                <w:sz w:val="22"/>
                <w:szCs w:val="22"/>
              </w:rPr>
            </w:pPr>
            <w:r>
              <w:rPr>
                <w:rFonts w:ascii="Tahoma" w:hAnsi="Tahoma"/>
                <w:b/>
                <w:sz w:val="22"/>
              </w:rPr>
              <w:t xml:space="preserve">Documents supporting conformity to </w:t>
            </w:r>
            <w:r w:rsidR="0098772D">
              <w:rPr>
                <w:rFonts w:ascii="Tahoma" w:hAnsi="Tahoma"/>
                <w:b/>
                <w:sz w:val="22"/>
              </w:rPr>
              <w:t xml:space="preserve">the </w:t>
            </w:r>
            <w:r>
              <w:rPr>
                <w:rFonts w:ascii="Tahoma" w:hAnsi="Tahoma"/>
                <w:b/>
                <w:sz w:val="22"/>
              </w:rPr>
              <w:t>requirement</w:t>
            </w:r>
          </w:p>
        </w:tc>
        <w:tc>
          <w:tcPr>
            <w:tcW w:w="1697" w:type="dxa"/>
            <w:shd w:val="clear" w:color="auto" w:fill="D9E2F3" w:themeFill="accent5" w:themeFillTint="33"/>
          </w:tcPr>
          <w:p w14:paraId="32C54D60" w14:textId="7047B223" w:rsidR="005F3E88" w:rsidRPr="005F3E88" w:rsidRDefault="005F3E88" w:rsidP="00D943AA">
            <w:pPr>
              <w:ind w:left="-108" w:right="-75" w:firstLine="0"/>
              <w:jc w:val="center"/>
              <w:rPr>
                <w:rFonts w:ascii="Tahoma" w:hAnsi="Tahoma" w:cs="Tahoma"/>
                <w:b/>
                <w:bCs/>
                <w:sz w:val="22"/>
                <w:szCs w:val="22"/>
              </w:rPr>
            </w:pPr>
            <w:r>
              <w:rPr>
                <w:rFonts w:ascii="Tahoma" w:hAnsi="Tahoma"/>
                <w:b/>
                <w:sz w:val="22"/>
              </w:rPr>
              <w:t>Entity expected to conform to the requirement</w:t>
            </w:r>
          </w:p>
        </w:tc>
      </w:tr>
      <w:tr w:rsidR="005F3E88" w:rsidRPr="005F3E88" w14:paraId="6FF71525" w14:textId="77777777" w:rsidTr="005F583C">
        <w:tc>
          <w:tcPr>
            <w:tcW w:w="599" w:type="dxa"/>
          </w:tcPr>
          <w:p w14:paraId="76561A91" w14:textId="70CD1E1B" w:rsidR="005F3E88" w:rsidRPr="005F3E88" w:rsidRDefault="005F3E88" w:rsidP="005F3E88">
            <w:pPr>
              <w:ind w:firstLine="0"/>
              <w:jc w:val="right"/>
              <w:rPr>
                <w:rFonts w:ascii="Tahoma" w:hAnsi="Tahoma" w:cs="Tahoma"/>
                <w:b/>
                <w:bCs/>
                <w:sz w:val="22"/>
                <w:szCs w:val="22"/>
              </w:rPr>
            </w:pPr>
            <w:r>
              <w:rPr>
                <w:rFonts w:ascii="Tahoma" w:hAnsi="Tahoma"/>
                <w:b/>
                <w:sz w:val="22"/>
              </w:rPr>
              <w:t>1.</w:t>
            </w:r>
          </w:p>
        </w:tc>
        <w:tc>
          <w:tcPr>
            <w:tcW w:w="9177" w:type="dxa"/>
            <w:gridSpan w:val="3"/>
          </w:tcPr>
          <w:p w14:paraId="0F634FBF" w14:textId="177EEE80" w:rsidR="005F3E88" w:rsidRPr="005F3E88" w:rsidRDefault="005F3E88" w:rsidP="005F3E88">
            <w:pPr>
              <w:ind w:firstLine="0"/>
              <w:jc w:val="left"/>
              <w:rPr>
                <w:rFonts w:ascii="Tahoma" w:hAnsi="Tahoma" w:cs="Tahoma"/>
                <w:b/>
                <w:bCs/>
                <w:sz w:val="22"/>
                <w:szCs w:val="22"/>
              </w:rPr>
            </w:pPr>
            <w:r>
              <w:rPr>
                <w:rFonts w:ascii="Tahoma" w:hAnsi="Tahoma"/>
                <w:b/>
                <w:sz w:val="22"/>
              </w:rPr>
              <w:t>Right to engage in activity</w:t>
            </w:r>
          </w:p>
        </w:tc>
      </w:tr>
      <w:tr w:rsidR="005F3E88" w14:paraId="2CED09D0" w14:textId="77777777" w:rsidTr="005F583C">
        <w:tc>
          <w:tcPr>
            <w:tcW w:w="599" w:type="dxa"/>
          </w:tcPr>
          <w:p w14:paraId="74F32692" w14:textId="0EC48FC4" w:rsidR="005F3E88" w:rsidRDefault="005F3E88" w:rsidP="005F3E88">
            <w:pPr>
              <w:ind w:firstLine="0"/>
              <w:jc w:val="right"/>
              <w:rPr>
                <w:rFonts w:ascii="Tahoma" w:hAnsi="Tahoma" w:cs="Tahoma"/>
                <w:sz w:val="22"/>
                <w:szCs w:val="22"/>
              </w:rPr>
            </w:pPr>
            <w:r>
              <w:rPr>
                <w:rFonts w:ascii="Tahoma" w:hAnsi="Tahoma"/>
                <w:sz w:val="22"/>
              </w:rPr>
              <w:t>1.1.</w:t>
            </w:r>
          </w:p>
        </w:tc>
        <w:tc>
          <w:tcPr>
            <w:tcW w:w="3791" w:type="dxa"/>
          </w:tcPr>
          <w:p w14:paraId="2F1BB23D" w14:textId="22BAA07C" w:rsidR="005F3E88" w:rsidRPr="005F3E88" w:rsidRDefault="005F3E88" w:rsidP="005F583C">
            <w:pPr>
              <w:ind w:firstLine="0"/>
              <w:rPr>
                <w:rFonts w:ascii="Tahoma" w:hAnsi="Tahoma" w:cs="Tahoma"/>
                <w:sz w:val="22"/>
                <w:szCs w:val="22"/>
              </w:rPr>
            </w:pPr>
            <w:r>
              <w:rPr>
                <w:rFonts w:ascii="Tahoma" w:hAnsi="Tahoma"/>
                <w:sz w:val="22"/>
              </w:rPr>
              <w:t>The tenderer shall be a body accredited, under Regulation (EC) No 765/2008, to carry out a conformity assessment of the qualified trust service provider and the qualified trust services it provides, in accordance with the requirements of Regulation (EU) No 910/2014 of the European Parliament and of the Council of 29 April 2014 on electronic identification and trust services for electronic transactions in the Internal Market and repealing Directive 1999/93/EC.</w:t>
            </w:r>
          </w:p>
        </w:tc>
        <w:tc>
          <w:tcPr>
            <w:tcW w:w="3689" w:type="dxa"/>
          </w:tcPr>
          <w:p w14:paraId="04DCAB4C" w14:textId="77777777" w:rsidR="005F3E88" w:rsidRDefault="005F3E88" w:rsidP="005F583C">
            <w:pPr>
              <w:ind w:firstLine="0"/>
              <w:rPr>
                <w:rFonts w:ascii="Tahoma" w:hAnsi="Tahoma" w:cs="Tahoma"/>
                <w:sz w:val="22"/>
                <w:szCs w:val="22"/>
              </w:rPr>
            </w:pPr>
            <w:r>
              <w:rPr>
                <w:rFonts w:ascii="Tahoma" w:hAnsi="Tahoma"/>
                <w:sz w:val="22"/>
              </w:rPr>
              <w:t xml:space="preserve">The Contracting Authority shall not require any documentary evidence of compliance with this requirement. </w:t>
            </w:r>
          </w:p>
          <w:p w14:paraId="73A07CE0" w14:textId="4BBC6F6C" w:rsidR="00B56465" w:rsidRDefault="005F3E88" w:rsidP="005F583C">
            <w:pPr>
              <w:pBdr>
                <w:top w:val="none" w:sz="0" w:space="0" w:color="000000"/>
                <w:left w:val="none" w:sz="0" w:space="0" w:color="000000"/>
                <w:bottom w:val="none" w:sz="0" w:space="0" w:color="000000"/>
                <w:right w:val="none" w:sz="0" w:space="0" w:color="000000"/>
                <w:between w:val="none" w:sz="0" w:space="0" w:color="000000"/>
              </w:pBdr>
              <w:ind w:firstLine="0"/>
              <w:contextualSpacing/>
              <w:rPr>
                <w:rFonts w:ascii="Tahoma" w:eastAsia="Times New Roman" w:hAnsi="Tahoma" w:cs="Tahoma"/>
                <w:bCs/>
                <w:sz w:val="22"/>
                <w:szCs w:val="22"/>
              </w:rPr>
            </w:pPr>
            <w:r>
              <w:rPr>
                <w:rFonts w:ascii="Tahoma" w:hAnsi="Tahoma"/>
                <w:sz w:val="22"/>
              </w:rPr>
              <w:t xml:space="preserve">The Contracting Authority shall check the data on the European Commission website: </w:t>
            </w:r>
            <w:hyperlink r:id="rId8" w:history="1">
              <w:r>
                <w:rPr>
                  <w:rStyle w:val="Hipersaitas"/>
                  <w:rFonts w:ascii="Tahoma" w:hAnsi="Tahoma"/>
                  <w:sz w:val="22"/>
                </w:rPr>
                <w:t>https://eidas.ec.europa.eu/efda/browse/notification/cab-nab</w:t>
              </w:r>
            </w:hyperlink>
            <w:r>
              <w:rPr>
                <w:rFonts w:ascii="Tahoma" w:hAnsi="Tahoma"/>
                <w:sz w:val="22"/>
              </w:rPr>
              <w:t>.</w:t>
            </w:r>
          </w:p>
          <w:p w14:paraId="5491AA19" w14:textId="5A14AAF5" w:rsidR="005F3E88" w:rsidRDefault="00B56465" w:rsidP="005F583C">
            <w:pPr>
              <w:pBdr>
                <w:top w:val="none" w:sz="0" w:space="0" w:color="000000"/>
                <w:left w:val="none" w:sz="0" w:space="0" w:color="000000"/>
                <w:bottom w:val="none" w:sz="0" w:space="0" w:color="000000"/>
                <w:right w:val="none" w:sz="0" w:space="0" w:color="000000"/>
                <w:between w:val="none" w:sz="0" w:space="0" w:color="000000"/>
              </w:pBdr>
              <w:ind w:firstLine="0"/>
              <w:contextualSpacing/>
              <w:rPr>
                <w:rFonts w:ascii="Tahoma" w:hAnsi="Tahoma" w:cs="Tahoma"/>
                <w:sz w:val="22"/>
                <w:szCs w:val="22"/>
              </w:rPr>
            </w:pPr>
            <w:r>
              <w:rPr>
                <w:rStyle w:val="Hipersaitas"/>
                <w:rFonts w:ascii="Tahoma" w:hAnsi="Tahoma"/>
                <w:color w:val="auto"/>
                <w:sz w:val="22"/>
                <w:u w:val="none"/>
              </w:rPr>
              <w:t xml:space="preserve">If, due to technical problems with the European Commission’s information system, the Contracting Authority is not able to verify the tenderer’s data freely available, it will be entitled to request documents proving that the tenderer </w:t>
            </w:r>
            <w:r>
              <w:rPr>
                <w:rFonts w:ascii="Tahoma" w:hAnsi="Tahoma"/>
                <w:sz w:val="22"/>
              </w:rPr>
              <w:t xml:space="preserve">under Regulation (EC) No 765/2008 is a body accredited to carry out a conformity assessment </w:t>
            </w:r>
            <w:r>
              <w:rPr>
                <w:rFonts w:ascii="Tahoma" w:hAnsi="Tahoma"/>
                <w:sz w:val="22"/>
              </w:rPr>
              <w:lastRenderedPageBreak/>
              <w:t>of the qualified trust service provider and the qualified trust services it provides, in accordance with the requirements of Regulation (EU) No 910/2014 of the European Parliament and of the Council of 29 April 2014 on electronic identification and trust services for electronic transactions in the Internal Market and repealing Directive 1999/93/EC.</w:t>
            </w:r>
          </w:p>
        </w:tc>
        <w:tc>
          <w:tcPr>
            <w:tcW w:w="1697" w:type="dxa"/>
          </w:tcPr>
          <w:p w14:paraId="7337560C" w14:textId="1DE87104" w:rsidR="005F3E88" w:rsidRDefault="009D345E" w:rsidP="005F583C">
            <w:pPr>
              <w:ind w:firstLine="0"/>
              <w:rPr>
                <w:rFonts w:ascii="Tahoma" w:hAnsi="Tahoma" w:cs="Tahoma"/>
                <w:sz w:val="22"/>
                <w:szCs w:val="22"/>
              </w:rPr>
            </w:pPr>
            <w:r>
              <w:rPr>
                <w:rFonts w:ascii="Tahoma" w:hAnsi="Tahoma"/>
                <w:sz w:val="22"/>
              </w:rPr>
              <w:lastRenderedPageBreak/>
              <w:t>Tenderer or each member of a group of economic operators or economic operator whose capacities are relied on and sub</w:t>
            </w:r>
            <w:r w:rsidR="00866BA2">
              <w:rPr>
                <w:rFonts w:ascii="Tahoma" w:hAnsi="Tahoma"/>
                <w:sz w:val="22"/>
              </w:rPr>
              <w:t>-providers</w:t>
            </w:r>
          </w:p>
        </w:tc>
      </w:tr>
    </w:tbl>
    <w:p w14:paraId="0F917525" w14:textId="77777777" w:rsidR="005F3E88" w:rsidRPr="009D345E" w:rsidRDefault="005F3E88" w:rsidP="009D345E">
      <w:pPr>
        <w:ind w:firstLine="567"/>
        <w:jc w:val="left"/>
        <w:rPr>
          <w:rFonts w:ascii="Tahoma" w:hAnsi="Tahoma" w:cs="Tahoma"/>
          <w:sz w:val="22"/>
          <w:szCs w:val="22"/>
        </w:rPr>
      </w:pPr>
    </w:p>
    <w:p w14:paraId="7E5128BC" w14:textId="7AA75939" w:rsidR="009D345E" w:rsidRPr="009D345E" w:rsidRDefault="009D345E" w:rsidP="009D345E">
      <w:pPr>
        <w:pStyle w:val="Sraopastraipa"/>
        <w:numPr>
          <w:ilvl w:val="0"/>
          <w:numId w:val="3"/>
        </w:numPr>
        <w:ind w:left="0" w:firstLine="567"/>
        <w:rPr>
          <w:rFonts w:ascii="Tahoma" w:hAnsi="Tahoma" w:cs="Tahoma"/>
          <w:sz w:val="22"/>
          <w:szCs w:val="22"/>
        </w:rPr>
      </w:pPr>
      <w:r>
        <w:rPr>
          <w:rFonts w:ascii="Tahoma" w:hAnsi="Tahoma"/>
          <w:sz w:val="22"/>
        </w:rPr>
        <w:t xml:space="preserve">The possibility for tenderers to revise the qualification data shall apply only to the initial </w:t>
      </w:r>
      <w:r w:rsidR="0098772D">
        <w:rPr>
          <w:rFonts w:ascii="Tahoma" w:hAnsi="Tahoma"/>
          <w:sz w:val="22"/>
        </w:rPr>
        <w:t>clarification</w:t>
      </w:r>
      <w:r>
        <w:rPr>
          <w:rFonts w:ascii="Tahoma" w:hAnsi="Tahoma"/>
          <w:sz w:val="22"/>
        </w:rPr>
        <w:t xml:space="preserve">/revision of the qualification data and not to the </w:t>
      </w:r>
      <w:r w:rsidR="0098772D">
        <w:rPr>
          <w:rFonts w:ascii="Tahoma" w:hAnsi="Tahoma"/>
          <w:sz w:val="22"/>
        </w:rPr>
        <w:t>repeated clarification</w:t>
      </w:r>
      <w:r>
        <w:rPr>
          <w:rFonts w:ascii="Tahoma" w:hAnsi="Tahoma"/>
          <w:sz w:val="22"/>
        </w:rPr>
        <w:t>/revision of the qualification data.</w:t>
      </w:r>
    </w:p>
    <w:p w14:paraId="0A94B63A" w14:textId="46184E42" w:rsidR="009D345E" w:rsidRPr="009D345E" w:rsidRDefault="009D345E" w:rsidP="009D345E">
      <w:pPr>
        <w:pStyle w:val="Sraopastraipa"/>
        <w:numPr>
          <w:ilvl w:val="0"/>
          <w:numId w:val="3"/>
        </w:numPr>
        <w:ind w:left="0" w:firstLine="567"/>
        <w:rPr>
          <w:rFonts w:ascii="Tahoma" w:hAnsi="Tahoma" w:cs="Tahoma"/>
          <w:sz w:val="22"/>
          <w:szCs w:val="22"/>
        </w:rPr>
      </w:pPr>
      <w:r>
        <w:rPr>
          <w:rFonts w:ascii="Tahoma" w:hAnsi="Tahoma"/>
          <w:sz w:val="22"/>
        </w:rPr>
        <w:t xml:space="preserve">If the tenderer has not corrected all the deficiencies or has made new errors in the revised data, taken as a whole, in order to ensure </w:t>
      </w:r>
      <w:r w:rsidR="00273C64">
        <w:rPr>
          <w:rFonts w:ascii="Tahoma" w:hAnsi="Tahoma"/>
          <w:sz w:val="22"/>
        </w:rPr>
        <w:t>the efficient</w:t>
      </w:r>
      <w:r>
        <w:rPr>
          <w:rFonts w:ascii="Tahoma" w:hAnsi="Tahoma"/>
          <w:sz w:val="22"/>
        </w:rPr>
        <w:t xml:space="preserve"> public procurement procedures, the</w:t>
      </w:r>
      <w:r w:rsidR="00273C64">
        <w:rPr>
          <w:rFonts w:ascii="Tahoma" w:hAnsi="Tahoma"/>
          <w:sz w:val="22"/>
        </w:rPr>
        <w:t xml:space="preserve"> balanced</w:t>
      </w:r>
      <w:r>
        <w:rPr>
          <w:rFonts w:ascii="Tahoma" w:hAnsi="Tahoma"/>
          <w:sz w:val="22"/>
        </w:rPr>
        <w:t xml:space="preserve"> interests of the parties to the procurement</w:t>
      </w:r>
      <w:r w:rsidR="00273C64">
        <w:rPr>
          <w:rFonts w:ascii="Tahoma" w:hAnsi="Tahoma"/>
          <w:sz w:val="22"/>
        </w:rPr>
        <w:t xml:space="preserve"> </w:t>
      </w:r>
      <w:r>
        <w:rPr>
          <w:rFonts w:ascii="Tahoma" w:hAnsi="Tahoma"/>
          <w:sz w:val="22"/>
        </w:rPr>
        <w:t>and that the standard of a prudent and circumspect person is not infringed, the seller and the buyer shall be exempted from the right to revise the information on the capacity of the economic operator, respectively, and the obligation to require them to do so, as set out in the law.</w:t>
      </w:r>
    </w:p>
    <w:p w14:paraId="1B06D819" w14:textId="77777777" w:rsidR="009D345E" w:rsidRPr="009D345E" w:rsidRDefault="009D345E" w:rsidP="009D345E">
      <w:pPr>
        <w:numPr>
          <w:ilvl w:val="0"/>
          <w:numId w:val="3"/>
        </w:numPr>
        <w:ind w:left="0" w:firstLine="567"/>
        <w:contextualSpacing/>
        <w:rPr>
          <w:rFonts w:ascii="Tahoma" w:eastAsiaTheme="minorHAnsi" w:hAnsi="Tahoma" w:cs="Tahoma"/>
          <w:sz w:val="22"/>
          <w:szCs w:val="22"/>
        </w:rPr>
      </w:pPr>
      <w:permStart w:id="71463956" w:edGrp="everyone"/>
      <w:r>
        <w:rPr>
          <w:rFonts w:ascii="Tahoma" w:hAnsi="Tahoma"/>
          <w:sz w:val="22"/>
        </w:rPr>
        <w:t>The Contracting Authority shall not require tenderers to comply with energy efficiency and/or environmental and/or social criteria.</w:t>
      </w:r>
    </w:p>
    <w:permEnd w:id="71463956"/>
    <w:p w14:paraId="709CEA68" w14:textId="34C51F6C" w:rsidR="009D345E" w:rsidRPr="009D345E" w:rsidRDefault="009D345E" w:rsidP="009D345E">
      <w:pPr>
        <w:numPr>
          <w:ilvl w:val="0"/>
          <w:numId w:val="3"/>
        </w:numPr>
        <w:ind w:left="0" w:firstLine="567"/>
        <w:contextualSpacing/>
        <w:rPr>
          <w:rFonts w:ascii="Tahoma" w:eastAsiaTheme="minorHAnsi" w:hAnsi="Tahoma" w:cs="Tahoma"/>
          <w:sz w:val="22"/>
          <w:szCs w:val="22"/>
        </w:rPr>
      </w:pPr>
      <w:r>
        <w:rPr>
          <w:rFonts w:ascii="Tahoma" w:hAnsi="Tahoma"/>
          <w:sz w:val="22"/>
        </w:rPr>
        <w:t>The qualifications required by this Annex must be acquired before the deadline for the submission of tender</w:t>
      </w:r>
      <w:r w:rsidR="00273C64">
        <w:rPr>
          <w:rFonts w:ascii="Tahoma" w:hAnsi="Tahoma"/>
          <w:sz w:val="22"/>
        </w:rPr>
        <w:t xml:space="preserve"> bid</w:t>
      </w:r>
      <w:r>
        <w:rPr>
          <w:rFonts w:ascii="Tahoma" w:hAnsi="Tahoma"/>
          <w:sz w:val="22"/>
        </w:rPr>
        <w:t>s.</w:t>
      </w:r>
    </w:p>
    <w:p w14:paraId="23183E2C" w14:textId="77777777" w:rsidR="009D345E" w:rsidRPr="009D345E" w:rsidRDefault="009D345E" w:rsidP="009D345E">
      <w:pPr>
        <w:ind w:firstLine="567"/>
        <w:jc w:val="left"/>
        <w:rPr>
          <w:rFonts w:ascii="Tahoma" w:hAnsi="Tahoma" w:cs="Tahoma"/>
          <w:sz w:val="22"/>
          <w:szCs w:val="22"/>
        </w:rPr>
      </w:pPr>
    </w:p>
    <w:sectPr w:rsidR="009D345E" w:rsidRPr="009D345E" w:rsidSect="00F350AC">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BAC6E" w14:textId="77777777" w:rsidR="007D2598" w:rsidRDefault="007D2598" w:rsidP="00DD3A79">
      <w:pPr>
        <w:spacing w:line="240" w:lineRule="auto"/>
      </w:pPr>
      <w:r>
        <w:separator/>
      </w:r>
    </w:p>
  </w:endnote>
  <w:endnote w:type="continuationSeparator" w:id="0">
    <w:p w14:paraId="51586FE7" w14:textId="77777777" w:rsidR="007D2598" w:rsidRDefault="007D2598"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60E55" w14:textId="77777777" w:rsidR="000E6E52" w:rsidRDefault="000E6E5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86E7C" w14:textId="77777777" w:rsidR="000E6E52" w:rsidRDefault="000E6E5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854C" w14:textId="77777777" w:rsidR="000E6E52" w:rsidRDefault="000E6E5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212D6" w14:textId="77777777" w:rsidR="007D2598" w:rsidRDefault="007D2598" w:rsidP="00DD3A79">
      <w:pPr>
        <w:spacing w:line="240" w:lineRule="auto"/>
      </w:pPr>
      <w:r>
        <w:separator/>
      </w:r>
    </w:p>
  </w:footnote>
  <w:footnote w:type="continuationSeparator" w:id="0">
    <w:p w14:paraId="41BE6A92" w14:textId="77777777" w:rsidR="007D2598" w:rsidRDefault="007D2598"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3778B" w14:textId="002A6E37" w:rsidR="000E6E52" w:rsidRDefault="00000000">
    <w:pPr>
      <w:pStyle w:val="Antrats"/>
    </w:pPr>
    <w:r>
      <w:rPr>
        <w:noProof/>
      </w:rPr>
      <w:pict w14:anchorId="0E196A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80094" o:spid="_x0000_s1026" type="#_x0000_t136" style="position:absolute;left:0;text-align:left;margin-left:0;margin-top:0;width:424.65pt;height:254.7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5BB20" w14:textId="2679E878" w:rsidR="00DD3A79" w:rsidRPr="00F350AC" w:rsidRDefault="00000000" w:rsidP="00B76466">
    <w:pPr>
      <w:pStyle w:val="Antrats"/>
      <w:jc w:val="right"/>
      <w:rPr>
        <w:rFonts w:cs="Tahoma"/>
      </w:rPr>
    </w:pPr>
    <w:r>
      <w:rPr>
        <w:noProof/>
      </w:rPr>
      <w:pict w14:anchorId="454FEE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80095" o:spid="_x0000_s1027" type="#_x0000_t136" style="position:absolute;left:0;text-align:left;margin-left:0;margin-top:0;width:424.65pt;height:254.7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
      <w:sdtPr>
        <w:rPr>
          <w:rFonts w:cs="Tahoma"/>
        </w:rPr>
        <w:id w:val="673924340"/>
        <w:docPartObj>
          <w:docPartGallery w:val="Page Numbers (Top of Page)"/>
          <w:docPartUnique/>
        </w:docPartObj>
      </w:sdtPr>
      <w:sdtContent>
        <w:r w:rsidR="00DD3A79" w:rsidRPr="00F350AC">
          <w:rPr>
            <w:rFonts w:cs="Tahoma"/>
          </w:rPr>
          <w:fldChar w:fldCharType="begin"/>
        </w:r>
        <w:r w:rsidR="00DD3A79" w:rsidRPr="00F350AC">
          <w:rPr>
            <w:rFonts w:cs="Tahoma"/>
          </w:rPr>
          <w:instrText xml:space="preserve"> PAGE </w:instrText>
        </w:r>
        <w:r w:rsidR="00DD3A79" w:rsidRPr="00F350AC">
          <w:rPr>
            <w:rFonts w:cs="Tahoma"/>
          </w:rPr>
          <w:fldChar w:fldCharType="separate"/>
        </w:r>
        <w:r w:rsidR="00F350AC">
          <w:rPr>
            <w:rFonts w:cs="Tahoma"/>
          </w:rPr>
          <w:t>1</w:t>
        </w:r>
        <w:r w:rsidR="00DD3A79" w:rsidRPr="00F350AC">
          <w:rPr>
            <w:rFonts w:cs="Tahoma"/>
          </w:rPr>
          <w:fldChar w:fldCharType="end"/>
        </w:r>
        <w:r w:rsidR="00DD3A79">
          <w:t>-</w:t>
        </w:r>
        <w:r w:rsidR="00DD3A79" w:rsidRPr="00F350AC">
          <w:rPr>
            <w:rFonts w:cs="Tahoma"/>
          </w:rPr>
          <w:fldChar w:fldCharType="begin"/>
        </w:r>
        <w:r w:rsidR="00DD3A79" w:rsidRPr="00F350AC">
          <w:rPr>
            <w:rFonts w:cs="Tahoma"/>
          </w:rPr>
          <w:instrText xml:space="preserve"> NUMPAGES  </w:instrText>
        </w:r>
        <w:r w:rsidR="00DD3A79" w:rsidRPr="00F350AC">
          <w:rPr>
            <w:rFonts w:cs="Tahoma"/>
          </w:rPr>
          <w:fldChar w:fldCharType="separate"/>
        </w:r>
        <w:r w:rsidR="00F350AC">
          <w:rPr>
            <w:rFonts w:cs="Tahoma"/>
          </w:rPr>
          <w:t>1</w:t>
        </w:r>
        <w:r w:rsidR="00DD3A79" w:rsidRPr="00F350AC">
          <w:rPr>
            <w:rFonts w:cs="Tahoma"/>
          </w:rPr>
          <w:fldChar w:fldCharType="end"/>
        </w:r>
      </w:sdtContent>
    </w:sdt>
  </w:p>
  <w:p w14:paraId="4AC89091" w14:textId="77777777" w:rsidR="00DD3A79" w:rsidRPr="00F350AC" w:rsidRDefault="00DD3A79">
    <w:pPr>
      <w:pStyle w:val="Antrats"/>
      <w:rPr>
        <w:rFonts w:cs="Tahom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493B5" w14:textId="14EAA4C8" w:rsidR="00827C26" w:rsidRPr="00827C26" w:rsidRDefault="00000000" w:rsidP="00827C26">
    <w:pPr>
      <w:pStyle w:val="Antrats"/>
      <w:jc w:val="right"/>
      <w:rPr>
        <w:rFonts w:ascii="Tahoma" w:hAnsi="Tahoma" w:cs="Tahoma"/>
      </w:rPr>
    </w:pPr>
    <w:r>
      <w:rPr>
        <w:noProof/>
      </w:rPr>
      <w:pict w14:anchorId="36C6BA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80093" o:spid="_x0000_s1025" type="#_x0000_t136" style="position:absolute;left:0;text-align:left;margin-left:0;margin-top:0;width:424.65pt;height:254.7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827C26">
      <w:rPr>
        <w:rFonts w:ascii="Tahoma" w:hAnsi="Tahoma"/>
      </w:rPr>
      <w:t xml:space="preserve">Annex No </w:t>
    </w:r>
    <w:r w:rsidR="003E0C34">
      <w:rPr>
        <w:rFonts w:ascii="Tahoma" w:hAnsi="Tahoma"/>
      </w:rPr>
      <w:t>3</w:t>
    </w:r>
    <w:r w:rsidR="00827C26">
      <w:rPr>
        <w:rFonts w:ascii="Tahoma" w:hAnsi="Tahoma"/>
      </w:rPr>
      <w:t xml:space="preserve"> Qualification Criteria for Tenderers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7415F"/>
    <w:multiLevelType w:val="hybridMultilevel"/>
    <w:tmpl w:val="1A604892"/>
    <w:lvl w:ilvl="0" w:tplc="AD82C5A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22104377">
    <w:abstractNumId w:val="2"/>
  </w:num>
  <w:num w:numId="2" w16cid:durableId="1511917617">
    <w:abstractNumId w:val="1"/>
  </w:num>
  <w:num w:numId="3" w16cid:durableId="970138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E88"/>
    <w:rsid w:val="000E6E52"/>
    <w:rsid w:val="00142DA6"/>
    <w:rsid w:val="001506B7"/>
    <w:rsid w:val="00195524"/>
    <w:rsid w:val="001C1D91"/>
    <w:rsid w:val="00263494"/>
    <w:rsid w:val="00273C64"/>
    <w:rsid w:val="002A7375"/>
    <w:rsid w:val="00327A50"/>
    <w:rsid w:val="00351A77"/>
    <w:rsid w:val="00397CFC"/>
    <w:rsid w:val="003E0C34"/>
    <w:rsid w:val="003E48E6"/>
    <w:rsid w:val="00450ED5"/>
    <w:rsid w:val="005B3759"/>
    <w:rsid w:val="005F3E88"/>
    <w:rsid w:val="005F583C"/>
    <w:rsid w:val="00672D56"/>
    <w:rsid w:val="00695972"/>
    <w:rsid w:val="007D2598"/>
    <w:rsid w:val="007F58A3"/>
    <w:rsid w:val="00826945"/>
    <w:rsid w:val="00827C26"/>
    <w:rsid w:val="008435F7"/>
    <w:rsid w:val="00866BA2"/>
    <w:rsid w:val="008A1E51"/>
    <w:rsid w:val="00955763"/>
    <w:rsid w:val="0098772D"/>
    <w:rsid w:val="009D345E"/>
    <w:rsid w:val="00AB57A3"/>
    <w:rsid w:val="00AC62E7"/>
    <w:rsid w:val="00B56465"/>
    <w:rsid w:val="00B76466"/>
    <w:rsid w:val="00BA4239"/>
    <w:rsid w:val="00D003D3"/>
    <w:rsid w:val="00D155A8"/>
    <w:rsid w:val="00D658C7"/>
    <w:rsid w:val="00D7706F"/>
    <w:rsid w:val="00D943AA"/>
    <w:rsid w:val="00DD3A79"/>
    <w:rsid w:val="00DF6369"/>
    <w:rsid w:val="00E05C40"/>
    <w:rsid w:val="00E561BB"/>
    <w:rsid w:val="00E668D6"/>
    <w:rsid w:val="00F350AC"/>
    <w:rsid w:val="00F662D5"/>
    <w:rsid w:val="00F907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5A5A9"/>
  <w15:chartTrackingRefBased/>
  <w15:docId w15:val="{C1F69C66-2988-4814-A0C4-129DA7B7C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en-GB"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3E88"/>
    <w:pPr>
      <w:spacing w:line="300" w:lineRule="auto"/>
      <w:ind w:firstLine="697"/>
      <w:jc w:val="both"/>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5F3E8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5F3E8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5F3E88"/>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5F3E88"/>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5F3E88"/>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5F3E8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F3E8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F3E8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F3E8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DD3A79"/>
  </w:style>
  <w:style w:type="character" w:customStyle="1" w:styleId="Antrat1Diagrama">
    <w:name w:val="Antraštė 1 Diagrama"/>
    <w:basedOn w:val="Numatytasispastraiposriftas"/>
    <w:link w:val="Antrat1"/>
    <w:uiPriority w:val="9"/>
    <w:rsid w:val="005F3E88"/>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5F3E88"/>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5F3E88"/>
    <w:rPr>
      <w:rFonts w:asciiTheme="minorHAnsi" w:eastAsiaTheme="majorEastAsia" w:hAnsiTheme="minorHAnsi"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5F3E88"/>
    <w:rPr>
      <w:rFonts w:asciiTheme="minorHAnsi" w:eastAsiaTheme="majorEastAsia" w:hAnsiTheme="minorHAnsi"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5F3E88"/>
    <w:rPr>
      <w:rFonts w:asciiTheme="minorHAnsi" w:eastAsiaTheme="majorEastAsia" w:hAnsiTheme="minorHAnsi" w:cstheme="majorBidi"/>
      <w:color w:val="2E74B5" w:themeColor="accent1" w:themeShade="BF"/>
    </w:rPr>
  </w:style>
  <w:style w:type="character" w:customStyle="1" w:styleId="Antrat6Diagrama">
    <w:name w:val="Antraštė 6 Diagrama"/>
    <w:basedOn w:val="Numatytasispastraiposriftas"/>
    <w:link w:val="Antrat6"/>
    <w:uiPriority w:val="9"/>
    <w:semiHidden/>
    <w:rsid w:val="005F3E8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F3E8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5F3E8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F3E8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5F3E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F3E8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F3E88"/>
    <w:pPr>
      <w:numPr>
        <w:ilvl w:val="1"/>
      </w:numPr>
      <w:spacing w:after="160"/>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F3E8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F3E88"/>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5F3E8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F3E88"/>
    <w:pPr>
      <w:ind w:left="720"/>
      <w:contextualSpacing/>
    </w:pPr>
  </w:style>
  <w:style w:type="character" w:styleId="Rykuspabraukimas">
    <w:name w:val="Intense Emphasis"/>
    <w:basedOn w:val="Numatytasispastraiposriftas"/>
    <w:uiPriority w:val="21"/>
    <w:qFormat/>
    <w:rsid w:val="005F3E88"/>
    <w:rPr>
      <w:i/>
      <w:iCs/>
      <w:color w:val="2E74B5" w:themeColor="accent1" w:themeShade="BF"/>
    </w:rPr>
  </w:style>
  <w:style w:type="paragraph" w:styleId="Iskirtacitata">
    <w:name w:val="Intense Quote"/>
    <w:basedOn w:val="prastasis"/>
    <w:next w:val="prastasis"/>
    <w:link w:val="IskirtacitataDiagrama"/>
    <w:uiPriority w:val="30"/>
    <w:qFormat/>
    <w:rsid w:val="005F3E8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5F3E88"/>
    <w:rPr>
      <w:i/>
      <w:iCs/>
      <w:color w:val="2E74B5" w:themeColor="accent1" w:themeShade="BF"/>
    </w:rPr>
  </w:style>
  <w:style w:type="character" w:styleId="Rykinuoroda">
    <w:name w:val="Intense Reference"/>
    <w:basedOn w:val="Numatytasispastraiposriftas"/>
    <w:uiPriority w:val="32"/>
    <w:qFormat/>
    <w:rsid w:val="005F3E88"/>
    <w:rPr>
      <w:b/>
      <w:bCs/>
      <w:smallCaps/>
      <w:color w:val="2E74B5"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F3E88"/>
  </w:style>
  <w:style w:type="table" w:styleId="Lentelstinklelis">
    <w:name w:val="Table Grid"/>
    <w:basedOn w:val="prastojilentel"/>
    <w:uiPriority w:val="39"/>
    <w:rsid w:val="005F3E8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5F3E88"/>
    <w:pPr>
      <w:spacing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F3E88"/>
    <w:rPr>
      <w:rFonts w:asciiTheme="minorHAnsi" w:eastAsiaTheme="minorEastAsia" w:hAnsiTheme="minorHAnsi"/>
      <w:kern w:val="0"/>
      <w:sz w:val="20"/>
      <w:szCs w:val="20"/>
      <w:lang w:eastAsia="lt-LT"/>
      <w14:ligatures w14:val="none"/>
    </w:rPr>
  </w:style>
  <w:style w:type="character" w:styleId="Puslapioinaosnuoroda">
    <w:name w:val="footnote reference"/>
    <w:basedOn w:val="Numatytasispastraiposriftas"/>
    <w:uiPriority w:val="99"/>
    <w:semiHidden/>
    <w:unhideWhenUsed/>
    <w:rsid w:val="005F3E88"/>
    <w:rPr>
      <w:vertAlign w:val="superscript"/>
    </w:rPr>
  </w:style>
  <w:style w:type="character" w:styleId="Hipersaitas">
    <w:name w:val="Hyperlink"/>
    <w:basedOn w:val="Numatytasispastraiposriftas"/>
    <w:uiPriority w:val="99"/>
    <w:unhideWhenUsed/>
    <w:rsid w:val="005F3E88"/>
    <w:rPr>
      <w:color w:val="0563C1" w:themeColor="hyperlink"/>
      <w:u w:val="single"/>
    </w:rPr>
  </w:style>
  <w:style w:type="character" w:styleId="Neapdorotaspaminjimas">
    <w:name w:val="Unresolved Mention"/>
    <w:basedOn w:val="Numatytasispastraiposriftas"/>
    <w:uiPriority w:val="99"/>
    <w:semiHidden/>
    <w:unhideWhenUsed/>
    <w:rsid w:val="00B564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idas.ec.europa.eu/efda/browse/notification/cab-nab"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EF8F7768F04133BCD43F09B3BA5CA1"/>
        <w:category>
          <w:name w:val="General"/>
          <w:gallery w:val="placeholder"/>
        </w:category>
        <w:types>
          <w:type w:val="bbPlcHdr"/>
        </w:types>
        <w:behaviors>
          <w:behavior w:val="content"/>
        </w:behaviors>
        <w:guid w:val="{4596231F-31A9-447B-B7EC-D2EAFDDE8904}"/>
      </w:docPartPr>
      <w:docPartBody>
        <w:p w:rsidR="00271D03" w:rsidRDefault="00271D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D03"/>
    <w:rsid w:val="00271D03"/>
    <w:rsid w:val="00327A50"/>
    <w:rsid w:val="003E4A1A"/>
    <w:rsid w:val="00450ED5"/>
    <w:rsid w:val="005B3759"/>
    <w:rsid w:val="00794AE2"/>
    <w:rsid w:val="00897036"/>
    <w:rsid w:val="009A103F"/>
    <w:rsid w:val="009C053B"/>
    <w:rsid w:val="00C812A9"/>
    <w:rsid w:val="00D003D3"/>
    <w:rsid w:val="00DF6369"/>
    <w:rsid w:val="00E561BB"/>
    <w:rsid w:val="00EF7D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2663</Words>
  <Characters>1518</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Račkauskienė</dc:creator>
  <cp:keywords/>
  <dc:description/>
  <cp:lastModifiedBy>Rima Račkauskienė</cp:lastModifiedBy>
  <cp:revision>5</cp:revision>
  <dcterms:created xsi:type="dcterms:W3CDTF">2026-04-22T14:12:00Z</dcterms:created>
  <dcterms:modified xsi:type="dcterms:W3CDTF">2026-04-22T14:16:00Z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2024-12-09T11:58:22Z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12f79d12-5dba-4344-a7dc-1adcf88849b1</vt:lpwstr>
  </property>
  <property fmtid="{D5CDD505-2E9C-101B-9397-08002B2CF9AE}" pid="8" name="MSIP_Label_179ca552-b207-4d72-8d58-818aee87ca18_ContentBits">
    <vt:lpwstr>0</vt:lpwstr>
  </property>
</Properties>
</file>