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7B0B4CA2"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r w:rsidR="00E92CA6">
        <w:rPr>
          <w:b/>
          <w:iCs/>
          <w:sz w:val="24"/>
          <w:szCs w:val="24"/>
        </w:rPr>
        <w:t>Erlos</w:t>
      </w:r>
      <w:r w:rsidR="00461441">
        <w:rPr>
          <w:b/>
          <w:iCs/>
          <w:sz w:val="24"/>
          <w:szCs w:val="24"/>
        </w:rPr>
        <w:t xml:space="preserve"> g. KT76</w:t>
      </w:r>
      <w:r w:rsidR="00E92CA6">
        <w:rPr>
          <w:b/>
          <w:iCs/>
          <w:sz w:val="24"/>
          <w:szCs w:val="24"/>
        </w:rPr>
        <w:t>46</w:t>
      </w:r>
      <w:r w:rsidR="00461441">
        <w:rPr>
          <w:b/>
          <w:iCs/>
          <w:sz w:val="24"/>
          <w:szCs w:val="24"/>
        </w:rPr>
        <w:t>, Salantų m., Kretingos r. sav</w:t>
      </w:r>
      <w:r w:rsidR="00C33B1C">
        <w:rPr>
          <w:b/>
          <w:iCs/>
          <w:sz w:val="24"/>
          <w:szCs w:val="24"/>
        </w:rPr>
        <w:t>. asfaltbetonio dangos įrengimas su projektavimu</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3E499A2F"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Kapitalinio remonto</w:t>
            </w:r>
            <w:r w:rsidR="007119AF">
              <w:rPr>
                <w:rFonts w:eastAsia="Calibri"/>
                <w:bCs/>
                <w:color w:val="000000"/>
                <w:kern w:val="2"/>
                <w:lang w:eastAsia="lt-LT"/>
                <w14:ligatures w14:val="standardContextual"/>
              </w:rPr>
              <w:t xml:space="preserve"> techninio darbo</w:t>
            </w:r>
            <w:r w:rsidRPr="001D4891">
              <w:rPr>
                <w:rFonts w:eastAsia="Calibri"/>
                <w:bCs/>
                <w:color w:val="000000"/>
                <w:kern w:val="2"/>
                <w:lang w:eastAsia="lt-LT"/>
                <w14:ligatures w14:val="standardContextual"/>
              </w:rPr>
              <w:t xml:space="preserve"> </w:t>
            </w:r>
            <w:r>
              <w:rPr>
                <w:rFonts w:eastAsia="Calibri"/>
                <w:bCs/>
                <w:color w:val="000000"/>
                <w:kern w:val="2"/>
                <w:lang w:eastAsia="lt-LT"/>
                <w14:ligatures w14:val="standardContextual"/>
              </w:rPr>
              <w:t>projekto</w:t>
            </w:r>
            <w:r w:rsidRPr="001D4891">
              <w:rPr>
                <w:rFonts w:eastAsia="Calibri"/>
                <w:bCs/>
                <w:color w:val="000000"/>
                <w:kern w:val="2"/>
                <w:lang w:eastAsia="lt-LT"/>
                <w14:ligatures w14:val="standardContextual"/>
              </w:rPr>
              <w:t xml:space="preserve"> parengimas</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77777777" w:rsidR="001D4891" w:rsidRPr="001D4891" w:rsidRDefault="001D4891" w:rsidP="001D4891">
            <w:pPr>
              <w:spacing w:line="300" w:lineRule="atLeast"/>
              <w:jc w:val="both"/>
              <w:rPr>
                <w:rFonts w:eastAsia="Calibri"/>
                <w:bCs/>
                <w:lang w:eastAsia="lt-LT"/>
              </w:rPr>
            </w:pPr>
            <w:r w:rsidRPr="001D4891">
              <w:rPr>
                <w:rFonts w:eastAsia="Calibri"/>
                <w:bCs/>
                <w:lang w:eastAsia="lt-LT"/>
              </w:rPr>
              <w:t>Statybos darbai</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0198519"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1AE2F19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hideMark/>
          </w:tcPr>
          <w:p w14:paraId="1E0CF220" w14:textId="086831F0" w:rsidR="001D4891" w:rsidRPr="001D4891" w:rsidRDefault="001D4891" w:rsidP="00D81069">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Dokumentacijos tvarkymas po darbų užbaigimo</w:t>
            </w:r>
            <w:r w:rsidR="00D81069">
              <w:rPr>
                <w:rFonts w:eastAsia="Calibri"/>
                <w:bCs/>
                <w:color w:val="000000"/>
                <w:kern w:val="2"/>
                <w:lang w:eastAsia="lt-LT"/>
                <w14:ligatures w14:val="standardContextual"/>
              </w:rPr>
              <w:t xml:space="preserve"> </w:t>
            </w:r>
            <w:r w:rsidRPr="001D4891">
              <w:rPr>
                <w:rFonts w:eastAsia="Calibri"/>
                <w:bCs/>
                <w:lang w:eastAsia="lt-LT"/>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2268" w:type="dxa"/>
            <w:tcBorders>
              <w:top w:val="single" w:sz="4" w:space="0" w:color="auto"/>
              <w:left w:val="single" w:sz="4" w:space="0" w:color="auto"/>
              <w:bottom w:val="single" w:sz="4" w:space="0" w:color="auto"/>
              <w:right w:val="single" w:sz="4" w:space="0" w:color="auto"/>
            </w:tcBorders>
          </w:tcPr>
          <w:p w14:paraId="71B1766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88FDF6C" w14:textId="77777777" w:rsidTr="00D81069">
        <w:tc>
          <w:tcPr>
            <w:tcW w:w="1122" w:type="dxa"/>
            <w:tcBorders>
              <w:top w:val="single" w:sz="4" w:space="0" w:color="auto"/>
              <w:left w:val="single" w:sz="4" w:space="0" w:color="auto"/>
              <w:bottom w:val="single" w:sz="4" w:space="0" w:color="auto"/>
              <w:right w:val="single" w:sz="4" w:space="0" w:color="auto"/>
            </w:tcBorders>
          </w:tcPr>
          <w:p w14:paraId="2E13E4D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4.</w:t>
            </w:r>
          </w:p>
        </w:tc>
        <w:tc>
          <w:tcPr>
            <w:tcW w:w="6386" w:type="dxa"/>
            <w:tcBorders>
              <w:top w:val="single" w:sz="4" w:space="0" w:color="auto"/>
              <w:left w:val="single" w:sz="4" w:space="0" w:color="auto"/>
              <w:bottom w:val="single" w:sz="4" w:space="0" w:color="auto"/>
              <w:right w:val="single" w:sz="4" w:space="0" w:color="auto"/>
            </w:tcBorders>
          </w:tcPr>
          <w:p w14:paraId="4C3E5D33" w14:textId="77777777"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Elektroninio statybos darbų žurnalo įsigijimo paslauga statytojo (užsakovo) vardu</w:t>
            </w:r>
          </w:p>
        </w:tc>
        <w:tc>
          <w:tcPr>
            <w:tcW w:w="2268" w:type="dxa"/>
            <w:tcBorders>
              <w:top w:val="single" w:sz="4" w:space="0" w:color="auto"/>
              <w:left w:val="single" w:sz="4" w:space="0" w:color="auto"/>
              <w:bottom w:val="single" w:sz="4" w:space="0" w:color="auto"/>
              <w:right w:val="single" w:sz="4" w:space="0" w:color="auto"/>
            </w:tcBorders>
          </w:tcPr>
          <w:p w14:paraId="0F8A529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Pasiūlymo kaina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Pasiūlymo kaina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w:t>
      </w:r>
      <w:r w:rsidRPr="009C454E">
        <w:rPr>
          <w:color w:val="000000" w:themeColor="text1"/>
        </w:rPr>
        <w:lastRenderedPageBreak/>
        <w:t>(mažinamos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3E28DCA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90C75">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K = IPb / IPr</w:t>
      </w:r>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r>
        <w:t>IPr – Indekso reikšmė laikotarpio pradžioje;</w:t>
      </w:r>
    </w:p>
    <w:p w14:paraId="326ADA95" w14:textId="77777777" w:rsidR="009C454E" w:rsidRDefault="009C454E" w:rsidP="009C454E">
      <w:pPr>
        <w:shd w:val="clear" w:color="auto" w:fill="FFFFFF"/>
        <w:ind w:right="58" w:firstLine="567"/>
        <w:jc w:val="both"/>
      </w:pPr>
      <w:r>
        <w:t>IPb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1792EC4"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690C75">
        <w:t>atliekamiems</w:t>
      </w:r>
      <w:r>
        <w:t xml:space="preserve">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0D0259C2" w:rsidR="00364C74" w:rsidRDefault="00364C74" w:rsidP="00364C74">
      <w:pPr>
        <w:shd w:val="clear" w:color="auto" w:fill="FFFFFF"/>
        <w:ind w:right="58" w:firstLine="567"/>
        <w:jc w:val="both"/>
      </w:pPr>
      <w:r>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66C06AC5" w:rsidR="006F6D68" w:rsidRPr="00364C74" w:rsidRDefault="00364C74" w:rsidP="00364C74">
      <w:pPr>
        <w:shd w:val="clear" w:color="auto" w:fill="FFFFFF"/>
        <w:ind w:right="58" w:firstLine="567"/>
        <w:jc w:val="both"/>
      </w:pPr>
      <w:r>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w:t>
      </w:r>
      <w:r w:rsidR="006F6D68" w:rsidRPr="00364C74">
        <w:rPr>
          <w:color w:val="000000" w:themeColor="text1"/>
        </w:rPr>
        <w:lastRenderedPageBreak/>
        <w:t xml:space="preserve">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1103E5AE"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28ACC934"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659B99F2"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 xml:space="preserve">4. Projektas turi būti parengtas ir suderintas su Užsakovu ne vėliau kaip per </w:t>
      </w:r>
      <w:r w:rsidR="00C33B1C">
        <w:rPr>
          <w:bCs/>
          <w:sz w:val="24"/>
          <w:szCs w:val="24"/>
        </w:rPr>
        <w:t>4</w:t>
      </w:r>
      <w:r w:rsidRPr="0009547A">
        <w:rPr>
          <w:bCs/>
          <w:sz w:val="24"/>
          <w:szCs w:val="24"/>
        </w:rPr>
        <w:t xml:space="preserve"> (</w:t>
      </w:r>
      <w:r w:rsidR="00C33B1C">
        <w:rPr>
          <w:bCs/>
          <w:sz w:val="24"/>
          <w:szCs w:val="24"/>
        </w:rPr>
        <w:t>keturis</w:t>
      </w:r>
      <w:r w:rsidRPr="0009547A">
        <w:rPr>
          <w:bCs/>
          <w:sz w:val="24"/>
          <w:szCs w:val="24"/>
        </w:rPr>
        <w:t>) mėn. nuo Sutarties įsigaliojimo dienos. Projekto bendrąją ekspertizę (jei reikalinga) organizuoja ir apmoka Užsakovas. Ekspertizės atlikimo trukmė į šį terminą neįskaičiuojama.</w:t>
      </w:r>
    </w:p>
    <w:p w14:paraId="432504FF" w14:textId="2D9FD390"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9E3330">
        <w:rPr>
          <w:bCs/>
          <w:sz w:val="24"/>
          <w:szCs w:val="24"/>
        </w:rPr>
        <w:t>3</w:t>
      </w:r>
      <w:r w:rsidR="009171AE" w:rsidRPr="009171AE">
        <w:rPr>
          <w:bCs/>
          <w:sz w:val="24"/>
          <w:szCs w:val="24"/>
        </w:rPr>
        <w:t xml:space="preserve"> (</w:t>
      </w:r>
      <w:r w:rsidR="009E3330">
        <w:rPr>
          <w:bCs/>
          <w:sz w:val="24"/>
          <w:szCs w:val="24"/>
        </w:rPr>
        <w:t>tris</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7</w:t>
      </w:r>
      <w:r w:rsidR="001D4109">
        <w:rPr>
          <w:sz w:val="24"/>
          <w:szCs w:val="24"/>
        </w:rPr>
        <w:t xml:space="preserve">. </w:t>
      </w:r>
      <w:r w:rsidR="00F77039" w:rsidRPr="001D4109">
        <w:rPr>
          <w:bCs/>
          <w:sz w:val="24"/>
          <w:szCs w:val="24"/>
        </w:rPr>
        <w:t xml:space="preserve">Rangovas įsipareigoja Užsakovui pateikti sąskaitas atsiskaitymams su Rangovu. Jeigu Sutartį pasirašo Rangovų grupė, sąskaitas atsiskaitymams su Rangovu įsipareigoja teikti pagrindinis </w:t>
      </w:r>
      <w:r w:rsidR="00F77039" w:rsidRPr="001D4109">
        <w:rPr>
          <w:bCs/>
          <w:sz w:val="24"/>
          <w:szCs w:val="24"/>
        </w:rPr>
        <w:lastRenderedPageBreak/>
        <w:t>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07AF985A"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 xml:space="preserve">arbų priėmimo metu nustatoma trūkumų, Užsakovas turi teisę nustatyti terminą trūkumams pašalinti arba atskaityti iš Rangovui mokėtinų sumų sumą, reikalingą tiems trūkumams </w:t>
      </w:r>
      <w:r w:rsidR="00750485" w:rsidRPr="001D4109">
        <w:rPr>
          <w:sz w:val="24"/>
          <w:szCs w:val="24"/>
        </w:rPr>
        <w:lastRenderedPageBreak/>
        <w:t>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231886A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7ECCF99B"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25AC83FF"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01A5EFF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 xml:space="preserve">esant poreikiui parengti papildomų, pirkimo dokumentuose nenumatytų, nevykdomų </w:t>
      </w:r>
      <w:r w:rsidR="00BC72EF" w:rsidRPr="00BC72EF">
        <w:rPr>
          <w:bCs/>
          <w:iCs/>
          <w:sz w:val="24"/>
          <w:szCs w:val="24"/>
        </w:rPr>
        <w:lastRenderedPageBreak/>
        <w:t>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18909AAF"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13806273"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(-iuos),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 xml:space="preserve">jeigu Rangovo kvalifikacija dėl teisės verstis atitinkama veikla nebuvo tikrinama arba tikrinama ne visa apimtimi, Rangovas įsipareigoja, kad Sutartį vykdys tik tokią teisę turintys </w:t>
      </w:r>
      <w:r w:rsidR="00750485" w:rsidRPr="004C2AAD">
        <w:rPr>
          <w:sz w:val="24"/>
          <w:szCs w:val="24"/>
        </w:rPr>
        <w:lastRenderedPageBreak/>
        <w:t>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E28E71B"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sidR="00844F05" w:rsidRPr="00844F05">
        <w:rPr>
          <w:bCs/>
          <w:sz w:val="24"/>
          <w:szCs w:val="24"/>
        </w:rPr>
        <w:t>Rangovas įsipareigoja, kad jis ir kiti Sutarties vykdymui pasitelkti asmenys visą Sutarties vykdymo laikotarpį vykdomiems Darbams taikys aplinkos apsaugos vadybos sistemos reikalavimus pagal standartą LST EN ISO 14001 arba EMAS ar kitus aplinkos apsaugos vadybos standartus, pagrįstus atitinkamais Europos arba tarptautinių standartizacijos organizacijų priimtais standartais. Rangovas turi turėti galiojančius šiame punkte nurodytus dokumentus ir, Užsakovui paprašius, juos pateikti per 3 darbo dienas.  Užsakovas priima ir kitus Rangovo lygiaverčių aplinkos apsaugos vadybos užtikrinimo priemonių įrodymus, kurie patvirtintų, kad jo siūlomos aplinkos apsaugos vadybos užtikrinimo priemonės atitinka reikalaujamus aplinkos apsaugos vadybos sistemos standartus</w:t>
      </w:r>
      <w:r w:rsidRPr="002432D4">
        <w:rPr>
          <w:bCs/>
          <w:color w:val="000000" w:themeColor="text1"/>
          <w:sz w:val="24"/>
          <w:szCs w:val="24"/>
        </w:rPr>
        <w:t>.</w:t>
      </w:r>
    </w:p>
    <w:p w14:paraId="3ECCB4BB" w14:textId="59ACB454"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13.</w:t>
      </w:r>
      <w:r>
        <w:rPr>
          <w:rFonts w:eastAsia="Calibri"/>
          <w:sz w:val="24"/>
          <w:szCs w:val="24"/>
          <w:lang w:eastAsia="en-US"/>
        </w:rPr>
        <w:t>4</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Pr>
          <w:rFonts w:eastAsia="Calibri"/>
          <w:sz w:val="24"/>
          <w:szCs w:val="24"/>
          <w:lang w:eastAsia="en-US"/>
        </w:rPr>
        <w:t xml:space="preserve">26.2.1 ir 26.2.3 </w:t>
      </w:r>
      <w:r w:rsidRPr="001F476C">
        <w:rPr>
          <w:rFonts w:eastAsia="Calibri"/>
          <w:sz w:val="24"/>
          <w:szCs w:val="24"/>
          <w:lang w:eastAsia="en-US"/>
        </w:rPr>
        <w:t>papunk</w:t>
      </w:r>
      <w:r>
        <w:rPr>
          <w:rFonts w:eastAsia="Calibri"/>
          <w:sz w:val="24"/>
          <w:szCs w:val="24"/>
          <w:lang w:eastAsia="en-US"/>
        </w:rPr>
        <w:t>čiuose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6EE85E59" w14:textId="24211B86"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3BEDB3E6"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CD2B87">
        <w:rPr>
          <w:b/>
          <w:bCs/>
        </w:rPr>
        <w:t xml:space="preserve"> </w:t>
      </w:r>
      <w:r w:rsidR="00CD2B87" w:rsidRPr="00CD2B87">
        <w:rPr>
          <w:i/>
          <w:iCs/>
        </w:rPr>
        <w:t>(jeigu reikalaujama)</w:t>
      </w:r>
      <w:r w:rsidR="00F85D81" w:rsidRPr="00CD2B87">
        <w:rPr>
          <w:i/>
          <w:iCs/>
        </w:rPr>
        <w:t>.</w:t>
      </w:r>
    </w:p>
    <w:p w14:paraId="1F689877" w14:textId="58DE1CC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5FAE12DB"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13.</w:t>
      </w:r>
      <w:r w:rsidR="007B5942">
        <w:t>4</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w:t>
      </w:r>
      <w:r w:rsidR="00F77039" w:rsidRPr="00DE3055">
        <w:lastRenderedPageBreak/>
        <w:t xml:space="preserve">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968C943"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5C02C373"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8493100"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lastRenderedPageBreak/>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ir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lastRenderedPageBreak/>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10B69E93"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56F2C577"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3A8E49E3"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lastRenderedPageBreak/>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7FB55344"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.2. atsiskaityti Sutarties III skyriuje nustatyta tvarka už iki Sutarties nutraukimo atliktus 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 xml:space="preserve">.3. per 5 (penkias) dienas nuo pranešimo apie Sutarties nutraukimą gavimo dienos ar Susitarimo dėl Sutarties nutraukimo sudarymo dienos perduoti viena kitai visus dokumentus, kuriuos </w:t>
      </w:r>
      <w:r w:rsidRPr="00144A20">
        <w:lastRenderedPageBreak/>
        <w:t>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t>37</w:t>
      </w:r>
      <w:r w:rsidR="00236D72">
        <w:t>.1.9</w:t>
      </w:r>
      <w:r w:rsidR="00D01EF9">
        <w:t xml:space="preserve">. </w:t>
      </w:r>
      <w:r w:rsidR="00F77039" w:rsidRPr="00D01EF9">
        <w:t xml:space="preserve">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w:t>
      </w:r>
      <w:r w:rsidR="00F77039" w:rsidRPr="00D01EF9">
        <w:lastRenderedPageBreak/>
        <w:t>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B979302"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7F694E">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lastRenderedPageBreak/>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3389C7B0"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403559">
        <w:t>Vietinio ūkio ir turto valdymo skyriaus specialistas – Vidmantas Jasiulis</w:t>
      </w:r>
      <w:r w:rsidR="00E93967">
        <w:t xml:space="preserve">, </w:t>
      </w:r>
      <w:r w:rsidR="00E93967" w:rsidRPr="00E93967">
        <w:rPr>
          <w:rFonts w:eastAsia="Arial"/>
        </w:rPr>
        <w:t>+370 445 75114</w:t>
      </w:r>
      <w:r w:rsidR="00E93967">
        <w:rPr>
          <w:rFonts w:eastAsia="Arial"/>
        </w:rPr>
        <w:t>,</w:t>
      </w:r>
      <w:r w:rsidR="00E93967" w:rsidRPr="00E93967">
        <w:rPr>
          <w:rFonts w:eastAsia="Arial"/>
        </w:rPr>
        <w:t xml:space="preserve"> </w:t>
      </w:r>
      <w:hyperlink r:id="rId6" w:history="1">
        <w:r w:rsidR="00E93967" w:rsidRPr="00E93967">
          <w:rPr>
            <w:rStyle w:val="Hipersaitas"/>
            <w:rFonts w:eastAsia="Arial"/>
          </w:rPr>
          <w:t>vidmantas.jasiulis@kretinga.lt</w:t>
        </w:r>
      </w:hyperlink>
      <w:r w:rsidR="00E93967">
        <w:rPr>
          <w:rFonts w:eastAsia="Arial"/>
        </w:rPr>
        <w:t xml:space="preserve"> </w:t>
      </w:r>
      <w:r w:rsidR="00E93967" w:rsidRPr="00E93967">
        <w:rPr>
          <w:rFonts w:eastAsia="Arial"/>
        </w:rPr>
        <w:t>ir Vietinio ūkio ir turto valdymo skyriaus vedėja</w:t>
      </w:r>
      <w:r w:rsidR="00E93967">
        <w:rPr>
          <w:rFonts w:eastAsia="Arial"/>
        </w:rPr>
        <w:t xml:space="preserve"> - </w:t>
      </w:r>
      <w:r w:rsidR="00E93967" w:rsidRPr="00E93967">
        <w:rPr>
          <w:rFonts w:eastAsia="Arial"/>
        </w:rPr>
        <w:t>Sigutė Jazbutienė, +370 445 75113</w:t>
      </w:r>
      <w:r w:rsidR="00E93967">
        <w:rPr>
          <w:rFonts w:eastAsia="Arial"/>
        </w:rPr>
        <w:t>,</w:t>
      </w:r>
      <w:r w:rsidR="00E93967" w:rsidRPr="00E93967">
        <w:rPr>
          <w:rFonts w:eastAsia="Arial"/>
        </w:rPr>
        <w:t xml:space="preserve"> sigute.jazbutiene</w:t>
      </w:r>
      <w:r w:rsidR="00E93967" w:rsidRPr="00E93967">
        <w:rPr>
          <w:rFonts w:eastAsia="Arial"/>
          <w:lang w:val="en-US"/>
        </w:rPr>
        <w:t>@kretinga.lt</w:t>
      </w:r>
      <w:r w:rsidR="00E93967">
        <w:rPr>
          <w:rFonts w:eastAsia="Arial"/>
          <w:lang w:val="en-US"/>
        </w:rPr>
        <w:t>;</w:t>
      </w:r>
    </w:p>
    <w:p w14:paraId="2E8358EA" w14:textId="31503312"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1B281B">
        <w:t>Edita Beržanskienė</w:t>
      </w:r>
      <w:r w:rsidR="00960CFD">
        <w:t>, +370 616 78318, edita.berzanskiene</w:t>
      </w:r>
      <w:r w:rsidR="00960CFD" w:rsidRPr="00960CFD">
        <w:rPr>
          <w:lang w:val="en-US"/>
        </w:rPr>
        <w:t>@kretinga.lt</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6C89770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echninė specifikacija</w:t>
      </w:r>
      <w:r>
        <w:t xml:space="preserve"> (Sutarties 1 priedas);</w:t>
      </w:r>
    </w:p>
    <w:p w14:paraId="45F52D00" w14:textId="427EE8D6" w:rsidR="00164B74" w:rsidRDefault="00164B74" w:rsidP="00601B0D">
      <w:pPr>
        <w:tabs>
          <w:tab w:val="left" w:pos="993"/>
        </w:tabs>
        <w:suppressAutoHyphens/>
        <w:ind w:firstLine="567"/>
        <w:jc w:val="both"/>
      </w:pPr>
      <w:r>
        <w:t>4</w:t>
      </w:r>
      <w:r w:rsidR="001E5222">
        <w:t>1</w:t>
      </w:r>
      <w:r>
        <w:t>.2. Rangovo pasiūlymas (Sutarties 2 priedas)</w:t>
      </w:r>
      <w:r w:rsidR="00A212E6">
        <w:t>.</w:t>
      </w: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r w:rsidR="00A01AC8" w:rsidRPr="00A01AC8">
              <w:rPr>
                <w:rFonts w:eastAsia="Arial"/>
              </w:rPr>
              <w:t>kretinga.lt</w:t>
            </w: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601B0D"/>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547A"/>
    <w:rsid w:val="000A4490"/>
    <w:rsid w:val="000A7B63"/>
    <w:rsid w:val="000D08CC"/>
    <w:rsid w:val="000D288C"/>
    <w:rsid w:val="000D5DAA"/>
    <w:rsid w:val="000D6D90"/>
    <w:rsid w:val="000F741D"/>
    <w:rsid w:val="0010395A"/>
    <w:rsid w:val="00106E31"/>
    <w:rsid w:val="001074F6"/>
    <w:rsid w:val="0011416A"/>
    <w:rsid w:val="00124489"/>
    <w:rsid w:val="001303EA"/>
    <w:rsid w:val="00132951"/>
    <w:rsid w:val="00136C95"/>
    <w:rsid w:val="001401A0"/>
    <w:rsid w:val="00153B86"/>
    <w:rsid w:val="00163332"/>
    <w:rsid w:val="00164B74"/>
    <w:rsid w:val="00182CC0"/>
    <w:rsid w:val="00183D10"/>
    <w:rsid w:val="001A22CE"/>
    <w:rsid w:val="001B0E09"/>
    <w:rsid w:val="001B281B"/>
    <w:rsid w:val="001B7872"/>
    <w:rsid w:val="001C6056"/>
    <w:rsid w:val="001D06B2"/>
    <w:rsid w:val="001D2082"/>
    <w:rsid w:val="001D2FE7"/>
    <w:rsid w:val="001D4109"/>
    <w:rsid w:val="001D4891"/>
    <w:rsid w:val="001E2F85"/>
    <w:rsid w:val="001E5222"/>
    <w:rsid w:val="001F476C"/>
    <w:rsid w:val="001F600D"/>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900B9"/>
    <w:rsid w:val="00292606"/>
    <w:rsid w:val="002A52C8"/>
    <w:rsid w:val="002B151D"/>
    <w:rsid w:val="002B6E6D"/>
    <w:rsid w:val="002B7942"/>
    <w:rsid w:val="002C792D"/>
    <w:rsid w:val="002D1DA7"/>
    <w:rsid w:val="002D2C0D"/>
    <w:rsid w:val="002D3DC3"/>
    <w:rsid w:val="002D7200"/>
    <w:rsid w:val="002F2D8D"/>
    <w:rsid w:val="00302D9B"/>
    <w:rsid w:val="00326B9B"/>
    <w:rsid w:val="00331A5F"/>
    <w:rsid w:val="00333589"/>
    <w:rsid w:val="00343021"/>
    <w:rsid w:val="00343FCA"/>
    <w:rsid w:val="003444B6"/>
    <w:rsid w:val="003472BC"/>
    <w:rsid w:val="00364C74"/>
    <w:rsid w:val="00376A99"/>
    <w:rsid w:val="003834A4"/>
    <w:rsid w:val="003A3568"/>
    <w:rsid w:val="003B1C3B"/>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4030D"/>
    <w:rsid w:val="0044331F"/>
    <w:rsid w:val="004464F6"/>
    <w:rsid w:val="00452FC3"/>
    <w:rsid w:val="00460E7D"/>
    <w:rsid w:val="00461441"/>
    <w:rsid w:val="0046263C"/>
    <w:rsid w:val="004660AE"/>
    <w:rsid w:val="004663EE"/>
    <w:rsid w:val="004672EB"/>
    <w:rsid w:val="00484C37"/>
    <w:rsid w:val="00490F7C"/>
    <w:rsid w:val="004B0026"/>
    <w:rsid w:val="004B5C5A"/>
    <w:rsid w:val="004C149D"/>
    <w:rsid w:val="004C2AAD"/>
    <w:rsid w:val="004C3CD4"/>
    <w:rsid w:val="004D446C"/>
    <w:rsid w:val="004D4A77"/>
    <w:rsid w:val="004D4F80"/>
    <w:rsid w:val="004D5A3B"/>
    <w:rsid w:val="00505144"/>
    <w:rsid w:val="00513B28"/>
    <w:rsid w:val="00520059"/>
    <w:rsid w:val="00521040"/>
    <w:rsid w:val="0052783D"/>
    <w:rsid w:val="00537A9F"/>
    <w:rsid w:val="0055544B"/>
    <w:rsid w:val="00564B99"/>
    <w:rsid w:val="00591A7C"/>
    <w:rsid w:val="005A1C0A"/>
    <w:rsid w:val="005A524F"/>
    <w:rsid w:val="005B38D1"/>
    <w:rsid w:val="005E6932"/>
    <w:rsid w:val="005F5F0D"/>
    <w:rsid w:val="005F73D7"/>
    <w:rsid w:val="00601B0D"/>
    <w:rsid w:val="00603037"/>
    <w:rsid w:val="0060494E"/>
    <w:rsid w:val="006120FA"/>
    <w:rsid w:val="006125AB"/>
    <w:rsid w:val="00632692"/>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C6704"/>
    <w:rsid w:val="006D0101"/>
    <w:rsid w:val="006D0835"/>
    <w:rsid w:val="006D4978"/>
    <w:rsid w:val="006D7C33"/>
    <w:rsid w:val="006D7E01"/>
    <w:rsid w:val="006F1B5B"/>
    <w:rsid w:val="006F6D68"/>
    <w:rsid w:val="00700953"/>
    <w:rsid w:val="00704988"/>
    <w:rsid w:val="00710F7A"/>
    <w:rsid w:val="007119AF"/>
    <w:rsid w:val="00714FFD"/>
    <w:rsid w:val="0072123B"/>
    <w:rsid w:val="00727BA6"/>
    <w:rsid w:val="00736153"/>
    <w:rsid w:val="0074169A"/>
    <w:rsid w:val="0074266A"/>
    <w:rsid w:val="007458FF"/>
    <w:rsid w:val="00750485"/>
    <w:rsid w:val="007519ED"/>
    <w:rsid w:val="00761E58"/>
    <w:rsid w:val="0077135A"/>
    <w:rsid w:val="007724CE"/>
    <w:rsid w:val="007771F7"/>
    <w:rsid w:val="00777A5A"/>
    <w:rsid w:val="00787C9D"/>
    <w:rsid w:val="007A38B7"/>
    <w:rsid w:val="007B1905"/>
    <w:rsid w:val="007B5942"/>
    <w:rsid w:val="007E17DE"/>
    <w:rsid w:val="007F694E"/>
    <w:rsid w:val="00801809"/>
    <w:rsid w:val="00807396"/>
    <w:rsid w:val="0081061C"/>
    <w:rsid w:val="00825F7A"/>
    <w:rsid w:val="00835A49"/>
    <w:rsid w:val="0084436B"/>
    <w:rsid w:val="00844F05"/>
    <w:rsid w:val="008531E0"/>
    <w:rsid w:val="00853253"/>
    <w:rsid w:val="00854297"/>
    <w:rsid w:val="00860316"/>
    <w:rsid w:val="008738B6"/>
    <w:rsid w:val="00881A3C"/>
    <w:rsid w:val="00895B06"/>
    <w:rsid w:val="008B4E34"/>
    <w:rsid w:val="008B5093"/>
    <w:rsid w:val="008B7181"/>
    <w:rsid w:val="008C348C"/>
    <w:rsid w:val="008C381A"/>
    <w:rsid w:val="008C4603"/>
    <w:rsid w:val="008D36AB"/>
    <w:rsid w:val="008F1CFE"/>
    <w:rsid w:val="008F649E"/>
    <w:rsid w:val="0090026F"/>
    <w:rsid w:val="00915357"/>
    <w:rsid w:val="009171AE"/>
    <w:rsid w:val="00920114"/>
    <w:rsid w:val="00927E85"/>
    <w:rsid w:val="00935F4B"/>
    <w:rsid w:val="0094267F"/>
    <w:rsid w:val="00947408"/>
    <w:rsid w:val="00953EB9"/>
    <w:rsid w:val="00956638"/>
    <w:rsid w:val="00956E14"/>
    <w:rsid w:val="00960CFD"/>
    <w:rsid w:val="00970565"/>
    <w:rsid w:val="009737AF"/>
    <w:rsid w:val="009934DB"/>
    <w:rsid w:val="00993EE8"/>
    <w:rsid w:val="00997503"/>
    <w:rsid w:val="009B5211"/>
    <w:rsid w:val="009C454E"/>
    <w:rsid w:val="009C7A10"/>
    <w:rsid w:val="009E2964"/>
    <w:rsid w:val="009E3330"/>
    <w:rsid w:val="009F4D53"/>
    <w:rsid w:val="009F5D21"/>
    <w:rsid w:val="00A01AC8"/>
    <w:rsid w:val="00A02252"/>
    <w:rsid w:val="00A121D0"/>
    <w:rsid w:val="00A12D77"/>
    <w:rsid w:val="00A212E6"/>
    <w:rsid w:val="00A224F3"/>
    <w:rsid w:val="00A32D19"/>
    <w:rsid w:val="00A34746"/>
    <w:rsid w:val="00A4190D"/>
    <w:rsid w:val="00A43660"/>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BF64FC"/>
    <w:rsid w:val="00C00169"/>
    <w:rsid w:val="00C25E7B"/>
    <w:rsid w:val="00C33B1C"/>
    <w:rsid w:val="00C42783"/>
    <w:rsid w:val="00C63C33"/>
    <w:rsid w:val="00C65351"/>
    <w:rsid w:val="00C718CB"/>
    <w:rsid w:val="00C835CC"/>
    <w:rsid w:val="00C95064"/>
    <w:rsid w:val="00C96652"/>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01D7"/>
    <w:rsid w:val="00D623E2"/>
    <w:rsid w:val="00D657C2"/>
    <w:rsid w:val="00D735F1"/>
    <w:rsid w:val="00D81069"/>
    <w:rsid w:val="00DA6930"/>
    <w:rsid w:val="00DB08B4"/>
    <w:rsid w:val="00DB3DA8"/>
    <w:rsid w:val="00DD178C"/>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3B2C"/>
    <w:rsid w:val="00E8398B"/>
    <w:rsid w:val="00E9114F"/>
    <w:rsid w:val="00E9209E"/>
    <w:rsid w:val="00E92BB2"/>
    <w:rsid w:val="00E92CA6"/>
    <w:rsid w:val="00E93967"/>
    <w:rsid w:val="00E9587D"/>
    <w:rsid w:val="00E95DDC"/>
    <w:rsid w:val="00EA0BFD"/>
    <w:rsid w:val="00EA277C"/>
    <w:rsid w:val="00EA6369"/>
    <w:rsid w:val="00EB0D2D"/>
    <w:rsid w:val="00EB355D"/>
    <w:rsid w:val="00EB44D2"/>
    <w:rsid w:val="00ED558C"/>
    <w:rsid w:val="00EF0DD6"/>
    <w:rsid w:val="00EF3889"/>
    <w:rsid w:val="00EF3D94"/>
    <w:rsid w:val="00F044BD"/>
    <w:rsid w:val="00F27139"/>
    <w:rsid w:val="00F342C5"/>
    <w:rsid w:val="00F401B1"/>
    <w:rsid w:val="00F4062F"/>
    <w:rsid w:val="00F42A6A"/>
    <w:rsid w:val="00F50B47"/>
    <w:rsid w:val="00F54FB7"/>
    <w:rsid w:val="00F5663A"/>
    <w:rsid w:val="00F61F4C"/>
    <w:rsid w:val="00F72244"/>
    <w:rsid w:val="00F74EAF"/>
    <w:rsid w:val="00F77039"/>
    <w:rsid w:val="00F85D81"/>
    <w:rsid w:val="00F8775E"/>
    <w:rsid w:val="00F9363B"/>
    <w:rsid w:val="00FB4D2A"/>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mantas.j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33941</Words>
  <Characters>19347</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5</cp:revision>
  <cp:lastPrinted>2026-03-05T07:36:00Z</cp:lastPrinted>
  <dcterms:created xsi:type="dcterms:W3CDTF">2026-04-16T08:57:00Z</dcterms:created>
  <dcterms:modified xsi:type="dcterms:W3CDTF">2026-04-21T07:54:00Z</dcterms:modified>
</cp:coreProperties>
</file>