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8582" w14:textId="1FB537AC" w:rsidR="00DB32EF" w:rsidRPr="00127ECA" w:rsidRDefault="00127ECA" w:rsidP="00127ECA">
      <w:pPr>
        <w:spacing w:line="240" w:lineRule="auto"/>
        <w:ind w:left="6480"/>
        <w:rPr>
          <w:rFonts w:ascii="Times New Roman" w:eastAsia="Calibri" w:hAnsi="Times New Roman" w:cs="Times New Roman"/>
          <w:sz w:val="24"/>
          <w:szCs w:val="24"/>
        </w:rPr>
      </w:pPr>
      <w:r w:rsidRPr="00127ECA">
        <w:rPr>
          <w:rFonts w:ascii="Times New Roman" w:eastAsia="Calibri" w:hAnsi="Times New Roman" w:cs="Times New Roman"/>
          <w:sz w:val="24"/>
          <w:szCs w:val="24"/>
          <w:lang w:eastAsia="en-US"/>
        </w:rPr>
        <w:t xml:space="preserve">Renginių organizavimo </w:t>
      </w:r>
      <w:r w:rsidRPr="00127ECA">
        <w:rPr>
          <w:rFonts w:ascii="Times New Roman" w:eastAsia="Calibri" w:hAnsi="Times New Roman" w:cs="Times New Roman"/>
          <w:sz w:val="24"/>
          <w:szCs w:val="24"/>
          <w:lang w:eastAsia="en-US"/>
        </w:rPr>
        <w:tab/>
      </w:r>
      <w:r w:rsidRPr="00127ECA">
        <w:rPr>
          <w:rFonts w:ascii="Times New Roman" w:eastAsia="Calibri" w:hAnsi="Times New Roman" w:cs="Times New Roman"/>
          <w:sz w:val="24"/>
          <w:szCs w:val="24"/>
          <w:lang w:eastAsia="en-US"/>
        </w:rPr>
        <w:tab/>
        <w:t xml:space="preserve">paslaugų atviro konkurso sąlygų  </w:t>
      </w:r>
      <w:r w:rsidRPr="00127ECA">
        <w:rPr>
          <w:rFonts w:ascii="Times New Roman" w:eastAsia="Calibri" w:hAnsi="Times New Roman" w:cs="Times New Roman"/>
          <w:sz w:val="24"/>
          <w:szCs w:val="24"/>
        </w:rPr>
        <w:t>5 priedas</w:t>
      </w:r>
    </w:p>
    <w:p w14:paraId="3F057FC7" w14:textId="77777777" w:rsidR="00DB32EF" w:rsidRPr="00F0499F" w:rsidRDefault="00DB32EF" w:rsidP="00127ECA">
      <w:pPr>
        <w:spacing w:line="240" w:lineRule="auto"/>
        <w:jc w:val="center"/>
        <w:rPr>
          <w:rFonts w:cstheme="minorHAnsi"/>
          <w:b/>
          <w:bCs/>
          <w:smallCaps/>
          <w:sz w:val="22"/>
          <w:szCs w:val="22"/>
        </w:rPr>
      </w:pPr>
    </w:p>
    <w:p w14:paraId="5103CDEF" w14:textId="77777777" w:rsidR="00DB32EF" w:rsidRPr="00316E72" w:rsidRDefault="00DB32EF" w:rsidP="00DB32EF">
      <w:pPr>
        <w:spacing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TIEKĖJŲ PAŠALINIMO PAGRINDAI</w:t>
      </w:r>
    </w:p>
    <w:p w14:paraId="1A003619" w14:textId="77777777" w:rsidR="00DB32EF" w:rsidRPr="00316E72" w:rsidRDefault="00DB32EF" w:rsidP="00DB32EF">
      <w:pPr>
        <w:spacing w:line="240" w:lineRule="auto"/>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553"/>
        <w:gridCol w:w="2606"/>
        <w:gridCol w:w="1713"/>
        <w:gridCol w:w="4756"/>
      </w:tblGrid>
      <w:tr w:rsidR="00DB32EF" w:rsidRPr="00316E72" w14:paraId="037E1C73"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28229E" w14:textId="77777777" w:rsidR="00DB32EF" w:rsidRPr="00FF1BF1" w:rsidRDefault="00DB32EF" w:rsidP="00707A2C">
            <w:pPr>
              <w:spacing w:line="240" w:lineRule="auto"/>
              <w:jc w:val="center"/>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Eil. Nr.</w:t>
            </w: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4D074" w14:textId="77777777" w:rsidR="00DB32EF" w:rsidRPr="00FF1BF1" w:rsidRDefault="00DB32EF" w:rsidP="00707A2C">
            <w:pPr>
              <w:spacing w:line="240" w:lineRule="auto"/>
              <w:jc w:val="center"/>
              <w:rPr>
                <w:rFonts w:ascii="Times New Roman" w:eastAsia="Times New Roman" w:hAnsi="Times New Roman" w:cs="Times New Roman"/>
                <w:sz w:val="22"/>
                <w:szCs w:val="22"/>
                <w:lang w:eastAsia="en-US"/>
              </w:rPr>
            </w:pPr>
            <w:r w:rsidRPr="00FF1BF1">
              <w:rPr>
                <w:rFonts w:ascii="Times New Roman" w:eastAsia="Times New Roman" w:hAnsi="Times New Roman" w:cs="Times New Roman"/>
                <w:b/>
                <w:bCs/>
                <w:sz w:val="22"/>
                <w:szCs w:val="22"/>
              </w:rPr>
              <w:t>Tiekėjo pašalinimo pagrindai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DCFCC" w14:textId="77777777" w:rsidR="00DB32EF" w:rsidRPr="00FF1BF1" w:rsidRDefault="00DB32EF" w:rsidP="00707A2C">
            <w:pPr>
              <w:spacing w:line="240" w:lineRule="auto"/>
              <w:jc w:val="center"/>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straipsnis, dalis, punktas bei EBVPD formos dalis pildymui</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9C744" w14:textId="77777777" w:rsidR="00DB32EF" w:rsidRPr="00FF1BF1" w:rsidRDefault="00DB32EF" w:rsidP="00707A2C">
            <w:pPr>
              <w:spacing w:line="240" w:lineRule="auto"/>
              <w:jc w:val="center"/>
              <w:rPr>
                <w:rFonts w:ascii="Times New Roman" w:eastAsia="Times New Roman" w:hAnsi="Times New Roman" w:cs="Times New Roman"/>
                <w:sz w:val="22"/>
                <w:szCs w:val="22"/>
                <w:lang w:eastAsia="en-US"/>
              </w:rPr>
            </w:pPr>
            <w:r w:rsidRPr="00FF1BF1">
              <w:rPr>
                <w:rFonts w:ascii="Times New Roman" w:eastAsia="Times New Roman" w:hAnsi="Times New Roman" w:cs="Times New Roman"/>
                <w:b/>
                <w:bCs/>
                <w:sz w:val="22"/>
                <w:szCs w:val="22"/>
              </w:rPr>
              <w:t>Pašalinimo pagrindų nebuvimą</w:t>
            </w:r>
            <w:r>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b/>
                <w:bCs/>
                <w:sz w:val="22"/>
                <w:szCs w:val="22"/>
              </w:rPr>
              <w:t>įrodantys dokumentai</w:t>
            </w:r>
          </w:p>
        </w:tc>
      </w:tr>
      <w:tr w:rsidR="00DB32EF" w:rsidRPr="00316E72" w14:paraId="509CD2F8" w14:textId="77777777" w:rsidTr="00707A2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629B8"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t>Privalomi pašalinimo pagrindai pagal VPĮ 46 straipsnio 1 – 4 dalių nuostatas</w:t>
            </w:r>
          </w:p>
          <w:p w14:paraId="254B30D3"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DB32EF" w:rsidRPr="00316E72" w14:paraId="1620FA4B"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6489D"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C84AE"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EEAD24A"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1) dalyvavimą nusikalstamame susivienijime, jo organizavimą ar vadovavimą jam;</w:t>
            </w:r>
          </w:p>
          <w:p w14:paraId="21923AE0"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2) kyšininkavimą, prekybą poveikiu, papirkimą;</w:t>
            </w:r>
          </w:p>
          <w:p w14:paraId="01E95CA0"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FF1BF1">
              <w:rPr>
                <w:rFonts w:ascii="Times New Roman" w:eastAsia="Times New Roman" w:hAnsi="Times New Roman" w:cs="Times New Roman"/>
                <w:sz w:val="22"/>
                <w:szCs w:val="22"/>
                <w:lang w:eastAsia="en-US"/>
              </w:rPr>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9310E8"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4) nusikalstamą bankrotą;</w:t>
            </w:r>
          </w:p>
          <w:p w14:paraId="54FC899F"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5) teroristinį ir su teroristine veikla susijusį nusikaltimą;</w:t>
            </w:r>
          </w:p>
          <w:p w14:paraId="7738748C"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6) nusikalstamu būdu gauto turto legalizavimą;</w:t>
            </w:r>
          </w:p>
          <w:p w14:paraId="4BDC0C41"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7) prekybą žmonėmis, vaiko pirkimą arba pardavimą;</w:t>
            </w:r>
          </w:p>
          <w:p w14:paraId="53CEFAF2"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67DEDE1"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p>
          <w:p w14:paraId="681BB404"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09D5F125"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6F90DD4C"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2) tiekėjo, kuris yra juridinis asmuo, kita organizacija ar jos </w:t>
            </w:r>
            <w:r w:rsidRPr="00FF1BF1">
              <w:rPr>
                <w:rFonts w:ascii="Times New Roman" w:eastAsia="Times New Roman" w:hAnsi="Times New Roman" w:cs="Times New Roman"/>
                <w:b/>
                <w:bCs/>
                <w:sz w:val="22"/>
                <w:szCs w:val="22"/>
              </w:rPr>
              <w:t>struktūrinis</w:t>
            </w:r>
            <w:r w:rsidRPr="00FF1BF1">
              <w:rPr>
                <w:rFonts w:ascii="Times New Roman" w:eastAsia="Times New Roman" w:hAnsi="Times New Roman" w:cs="Times New Roman"/>
                <w:sz w:val="22"/>
                <w:szCs w:val="22"/>
              </w:rPr>
              <w:t xml:space="preserve"> padalinys, vadovo, kito valdymo ar </w:t>
            </w:r>
            <w:r w:rsidRPr="00FF1BF1">
              <w:rPr>
                <w:rFonts w:ascii="Times New Roman" w:eastAsia="Times New Roman" w:hAnsi="Times New Roman" w:cs="Times New Roman"/>
                <w:sz w:val="22"/>
                <w:szCs w:val="22"/>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1BF1">
              <w:rPr>
                <w:rFonts w:ascii="Times New Roman" w:eastAsia="Times New Roman" w:hAnsi="Times New Roman" w:cs="Times New Roman"/>
                <w:b/>
                <w:bCs/>
                <w:sz w:val="22"/>
                <w:szCs w:val="22"/>
              </w:rPr>
              <w:t>struktūrinis</w:t>
            </w:r>
            <w:r w:rsidRPr="00FF1BF1">
              <w:rPr>
                <w:rFonts w:ascii="Times New Roman" w:eastAsia="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86AA0B"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61E2C"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lastRenderedPageBreak/>
              <w:t>VPĮ 46 straipsnio 1 dalis</w:t>
            </w:r>
          </w:p>
          <w:p w14:paraId="37303DF9"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50C657F1"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A1-A6 punktai</w:t>
            </w:r>
          </w:p>
          <w:p w14:paraId="6428A2A6"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05F49BF1"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D1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F13AB"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Lietuvoje įsteigtų subjektų reikalaujama:</w:t>
            </w:r>
          </w:p>
          <w:p w14:paraId="2172338E" w14:textId="77777777" w:rsidR="00DB32EF" w:rsidRPr="00FF1BF1" w:rsidRDefault="00DB32EF" w:rsidP="00DB32EF">
            <w:pPr>
              <w:numPr>
                <w:ilvl w:val="0"/>
                <w:numId w:val="3"/>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išrašo iš teismo sprendimo arba</w:t>
            </w:r>
          </w:p>
          <w:p w14:paraId="35309D69" w14:textId="77777777" w:rsidR="00DB32EF" w:rsidRPr="00FF1BF1" w:rsidRDefault="00DB32EF" w:rsidP="00DB32EF">
            <w:pPr>
              <w:numPr>
                <w:ilvl w:val="0"/>
                <w:numId w:val="3"/>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Informatikos ir ryšių departamento prie Vidaus reikalų ministerijos pažymos, arba</w:t>
            </w:r>
          </w:p>
          <w:p w14:paraId="2513A248" w14:textId="77777777" w:rsidR="00DB32EF" w:rsidRPr="00FF1BF1" w:rsidRDefault="00DB32EF" w:rsidP="00DB32EF">
            <w:pPr>
              <w:numPr>
                <w:ilvl w:val="0"/>
                <w:numId w:val="3"/>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D457586"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6CBA9FEC"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4E95FF85" w14:textId="77777777" w:rsidR="00DB32EF" w:rsidRPr="00FF1BF1" w:rsidRDefault="00DB32EF" w:rsidP="00DB32EF">
            <w:pPr>
              <w:numPr>
                <w:ilvl w:val="0"/>
                <w:numId w:val="3"/>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institucijos dokumento</w:t>
            </w:r>
            <w:r w:rsidRPr="00FF1BF1">
              <w:rPr>
                <w:rFonts w:ascii="Times New Roman" w:eastAsia="Times New Roman" w:hAnsi="Times New Roman" w:cs="Times New Roman"/>
                <w:sz w:val="22"/>
                <w:szCs w:val="22"/>
                <w:vertAlign w:val="superscript"/>
              </w:rPr>
              <w:footnoteReference w:id="1"/>
            </w:r>
            <w:r w:rsidRPr="00FF1BF1">
              <w:rPr>
                <w:rFonts w:ascii="Times New Roman" w:eastAsia="Times New Roman" w:hAnsi="Times New Roman" w:cs="Times New Roman"/>
                <w:sz w:val="22"/>
                <w:szCs w:val="22"/>
              </w:rPr>
              <w:t>.</w:t>
            </w:r>
          </w:p>
          <w:p w14:paraId="6B78629C" w14:textId="77777777" w:rsidR="00DB32EF" w:rsidRPr="00FF1BF1" w:rsidRDefault="00DB32EF" w:rsidP="00707A2C">
            <w:pPr>
              <w:spacing w:line="240" w:lineRule="auto"/>
              <w:rPr>
                <w:rFonts w:ascii="Times New Roman" w:eastAsia="Times New Roman" w:hAnsi="Times New Roman" w:cs="Times New Roman"/>
                <w:sz w:val="22"/>
                <w:szCs w:val="22"/>
              </w:rPr>
            </w:pPr>
          </w:p>
          <w:p w14:paraId="046BFDF3"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Nurodyti dokumentai turi būti išduoti ne anksčiau kaip 180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FA0FBF"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3ADC44" w14:textId="77777777" w:rsidR="00DB32EF" w:rsidRPr="00FF1BF1" w:rsidRDefault="00DB32EF" w:rsidP="00707A2C">
            <w:pPr>
              <w:spacing w:line="240" w:lineRule="auto"/>
              <w:rPr>
                <w:rFonts w:ascii="Times New Roman" w:eastAsia="Times New Roman" w:hAnsi="Times New Roman" w:cs="Times New Roman"/>
                <w:b/>
                <w:bCs/>
                <w:sz w:val="22"/>
                <w:szCs w:val="22"/>
              </w:rPr>
            </w:pPr>
          </w:p>
        </w:tc>
      </w:tr>
      <w:tr w:rsidR="00DB32EF" w:rsidRPr="00316E72" w14:paraId="7642FBBB"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EBDB5"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06D8B"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4E74"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r w:rsidRPr="00FF1BF1">
              <w:rPr>
                <w:rFonts w:ascii="Times New Roman" w:eastAsia="Times New Roman" w:hAnsi="Times New Roman" w:cs="Times New Roman"/>
                <w:b/>
                <w:bCs/>
                <w:sz w:val="22"/>
                <w:szCs w:val="22"/>
                <w:lang w:eastAsia="en-US"/>
              </w:rPr>
              <w:t>Viešųjų pirkimų įstatymo 46 straipsnio 2¹ dalis</w:t>
            </w:r>
          </w:p>
          <w:p w14:paraId="5EB993A0"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EBVPD III dalies D2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15903"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Pateikiama su pasiūlymu EBVPD. </w:t>
            </w:r>
          </w:p>
          <w:p w14:paraId="01A0938C"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084911F8"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w:t>
            </w:r>
          </w:p>
        </w:tc>
      </w:tr>
      <w:tr w:rsidR="00DB32EF" w:rsidRPr="00316E72" w14:paraId="254CD5F9"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039D3" w14:textId="77777777" w:rsidR="00DB32EF" w:rsidRPr="00FF1BF1" w:rsidRDefault="00DB32EF" w:rsidP="00DB32EF">
            <w:pPr>
              <w:numPr>
                <w:ilvl w:val="0"/>
                <w:numId w:val="4"/>
              </w:numPr>
              <w:spacing w:after="0" w:line="240" w:lineRule="auto"/>
              <w:rPr>
                <w:rFonts w:ascii="Times New Roman" w:eastAsia="Times New Roman" w:hAnsi="Times New Roman" w:cs="Times New Roman"/>
                <w:sz w:val="22"/>
                <w:szCs w:val="22"/>
                <w:lang w:eastAsia="en-US"/>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6F958"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486676"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428F7DE8"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Laikoma, kad tiekėjas nuteistas už aukščiau nurodytą nusikalstamą veiką, kai dėl:</w:t>
            </w:r>
          </w:p>
          <w:p w14:paraId="15DDFA3C"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7FD5982D"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F1BF1">
              <w:rPr>
                <w:rFonts w:ascii="Times New Roman" w:eastAsia="Times New Roman" w:hAnsi="Times New Roman" w:cs="Times New Roman"/>
                <w:sz w:val="22"/>
                <w:szCs w:val="22"/>
                <w:lang w:eastAsia="en-US"/>
              </w:rPr>
              <w:lastRenderedPageBreak/>
              <w:t>pagal tiekėjo šalies teisės aktų reikalavimus.</w:t>
            </w:r>
          </w:p>
          <w:p w14:paraId="403BE205"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Tačiau ši nuostata netaikoma, jeigu:</w:t>
            </w:r>
          </w:p>
          <w:p w14:paraId="545AB467"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36C7C469"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2) įsiskolinimo suma neviršija 50 Eur (penkiasdešimt eurų);</w:t>
            </w:r>
          </w:p>
          <w:p w14:paraId="28C6C6B0"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Pr>
                <w:rFonts w:ascii="Times New Roman" w:eastAsia="Times New Roman" w:hAnsi="Times New Roman" w:cs="Times New Roman"/>
                <w:sz w:val="22"/>
                <w:szCs w:val="22"/>
                <w:lang w:eastAsia="en-US"/>
              </w:rPr>
              <w:t>s</w:t>
            </w:r>
            <w:r w:rsidRPr="00FF1BF1">
              <w:rPr>
                <w:rFonts w:ascii="Times New Roman" w:eastAsia="Times New Roman" w:hAnsi="Times New Roman" w:cs="Times New Roman"/>
                <w:sz w:val="22"/>
                <w:szCs w:val="22"/>
                <w:lang w:eastAsia="en-US"/>
              </w:rPr>
              <w:t xml:space="preserve">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FF1BF1">
              <w:rPr>
                <w:rFonts w:ascii="Times New Roman" w:eastAsia="Times New Roman" w:hAnsi="Times New Roman" w:cs="Times New Roman"/>
                <w:sz w:val="22"/>
                <w:szCs w:val="22"/>
                <w:lang w:eastAsia="en-US"/>
              </w:rPr>
              <w:lastRenderedPageBreak/>
              <w:t>socialinio draudimo įmokas, mokėjimu.</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11FE8"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3 dalis</w:t>
            </w:r>
          </w:p>
          <w:p w14:paraId="47F1FC8B" w14:textId="77777777" w:rsidR="00DB32EF" w:rsidRPr="00FF1BF1" w:rsidRDefault="00DB32EF" w:rsidP="00707A2C">
            <w:pPr>
              <w:spacing w:line="240" w:lineRule="auto"/>
              <w:rPr>
                <w:rFonts w:ascii="Times New Roman" w:eastAsia="Times New Roman" w:hAnsi="Times New Roman" w:cs="Times New Roman"/>
                <w:sz w:val="22"/>
                <w:szCs w:val="22"/>
              </w:rPr>
            </w:pPr>
          </w:p>
          <w:p w14:paraId="297244AD"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B1 ir B2 punktai</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17512"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1) Dėl įsipareigojimų, susijusių su mokesčių mokėjimu, įvykdymo i</w:t>
            </w:r>
            <w:r w:rsidRPr="00FF1BF1">
              <w:rPr>
                <w:rFonts w:ascii="Times New Roman" w:eastAsia="Times New Roman" w:hAnsi="Times New Roman" w:cs="Times New Roman"/>
                <w:sz w:val="22"/>
                <w:szCs w:val="22"/>
                <w:lang w:eastAsia="en-US"/>
              </w:rPr>
              <w:t xml:space="preserve">š Lietuvoje įsteigtų subjektų </w:t>
            </w:r>
            <w:r w:rsidRPr="00FF1BF1">
              <w:rPr>
                <w:rFonts w:ascii="Times New Roman" w:eastAsia="Times New Roman" w:hAnsi="Times New Roman" w:cs="Times New Roman"/>
                <w:sz w:val="22"/>
                <w:szCs w:val="22"/>
              </w:rPr>
              <w:t>prašoma:</w:t>
            </w:r>
          </w:p>
          <w:p w14:paraId="5BB4ED4F"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4700CB43" w14:textId="77777777" w:rsidR="00DB32EF" w:rsidRPr="00FF1BF1" w:rsidRDefault="00DB32EF" w:rsidP="00DB32EF">
            <w:pPr>
              <w:numPr>
                <w:ilvl w:val="0"/>
                <w:numId w:val="2"/>
              </w:numPr>
              <w:spacing w:after="0" w:line="240" w:lineRule="auto"/>
              <w:ind w:left="0"/>
              <w:jc w:val="both"/>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0482A1D6" w14:textId="77777777" w:rsidR="00DB32EF" w:rsidRPr="00FF1BF1" w:rsidRDefault="00DB32EF" w:rsidP="00DB32EF">
            <w:pPr>
              <w:numPr>
                <w:ilvl w:val="0"/>
                <w:numId w:val="1"/>
              </w:numPr>
              <w:spacing w:after="0" w:line="240" w:lineRule="auto"/>
              <w:ind w:left="0"/>
              <w:jc w:val="both"/>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2872FB6" w14:textId="77777777" w:rsidR="00DB32EF" w:rsidRPr="00FF1BF1" w:rsidRDefault="00DB32EF" w:rsidP="00707A2C">
            <w:pPr>
              <w:spacing w:line="240" w:lineRule="auto"/>
              <w:rPr>
                <w:rFonts w:ascii="Times New Roman" w:eastAsia="Times New Roman" w:hAnsi="Times New Roman" w:cs="Times New Roman"/>
                <w:sz w:val="22"/>
                <w:szCs w:val="22"/>
              </w:rPr>
            </w:pPr>
          </w:p>
          <w:p w14:paraId="373E2FF6"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67C2B7D9" w14:textId="77777777" w:rsidR="00DB32EF" w:rsidRPr="00FF1BF1" w:rsidRDefault="00DB32EF" w:rsidP="00DB32EF">
            <w:pPr>
              <w:numPr>
                <w:ilvl w:val="0"/>
                <w:numId w:val="3"/>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institucijos dokumento</w:t>
            </w:r>
            <w:r w:rsidRPr="00FF1BF1">
              <w:rPr>
                <w:rFonts w:ascii="Times New Roman" w:eastAsia="Times New Roman" w:hAnsi="Times New Roman" w:cs="Times New Roman"/>
                <w:sz w:val="22"/>
                <w:szCs w:val="22"/>
                <w:vertAlign w:val="superscript"/>
              </w:rPr>
              <w:footnoteReference w:id="2"/>
            </w:r>
            <w:r w:rsidRPr="00FF1BF1">
              <w:rPr>
                <w:rFonts w:ascii="Times New Roman" w:eastAsia="Times New Roman" w:hAnsi="Times New Roman" w:cs="Times New Roman"/>
                <w:sz w:val="22"/>
                <w:szCs w:val="22"/>
              </w:rPr>
              <w:t>.</w:t>
            </w:r>
          </w:p>
          <w:p w14:paraId="3413E49D" w14:textId="77777777" w:rsidR="00DB32EF" w:rsidRPr="00FF1BF1" w:rsidRDefault="00DB32EF" w:rsidP="00707A2C">
            <w:pPr>
              <w:spacing w:line="240" w:lineRule="auto"/>
              <w:rPr>
                <w:rFonts w:ascii="Times New Roman" w:eastAsia="Times New Roman" w:hAnsi="Times New Roman" w:cs="Times New Roman"/>
                <w:sz w:val="22"/>
                <w:szCs w:val="22"/>
              </w:rPr>
            </w:pPr>
          </w:p>
          <w:p w14:paraId="7A361A45" w14:textId="77777777" w:rsidR="00DB32EF" w:rsidRPr="00FF1BF1" w:rsidRDefault="00DB32EF" w:rsidP="00707A2C">
            <w:pPr>
              <w:spacing w:line="240" w:lineRule="auto"/>
              <w:rPr>
                <w:rFonts w:ascii="Times New Roman" w:eastAsia="Times New Roman" w:hAnsi="Times New Roman" w:cs="Times New Roman"/>
                <w:i/>
                <w:iCs/>
                <w:sz w:val="22"/>
                <w:szCs w:val="22"/>
              </w:rPr>
            </w:pPr>
            <w:r w:rsidRPr="00FF1BF1">
              <w:rPr>
                <w:rFonts w:ascii="Times New Roman" w:eastAsia="Times New Roman" w:hAnsi="Times New Roman" w:cs="Times New Roman"/>
                <w:sz w:val="22"/>
                <w:szCs w:val="22"/>
              </w:rPr>
              <w:t xml:space="preserve">Nurodyti dokumentai turi būti  išduoti ne anksčiau kaip 120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9AD4F6" w14:textId="77777777" w:rsidR="00DB32EF" w:rsidRPr="00FF1BF1" w:rsidRDefault="00DB32EF" w:rsidP="00707A2C">
            <w:pPr>
              <w:spacing w:line="240" w:lineRule="auto"/>
              <w:rPr>
                <w:rFonts w:ascii="Times New Roman" w:eastAsia="Times New Roman" w:hAnsi="Times New Roman" w:cs="Times New Roman"/>
                <w:i/>
                <w:iCs/>
                <w:sz w:val="22"/>
                <w:szCs w:val="22"/>
              </w:rPr>
            </w:pPr>
          </w:p>
          <w:p w14:paraId="36E899A4"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5AEBDE"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7F175B77"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2) Dėl įsipareigojimų, susijusių su socialinio draudimo įmokų mokėjimu, įvykdymo i</w:t>
            </w:r>
            <w:r w:rsidRPr="00FF1BF1">
              <w:rPr>
                <w:rFonts w:ascii="Times New Roman" w:eastAsia="Times New Roman" w:hAnsi="Times New Roman" w:cs="Times New Roman"/>
                <w:sz w:val="22"/>
                <w:szCs w:val="22"/>
                <w:lang w:eastAsia="en-US"/>
              </w:rPr>
              <w:t xml:space="preserve">š Lietuvoje įsteigtų subjektų </w:t>
            </w:r>
            <w:r w:rsidRPr="00FF1BF1">
              <w:rPr>
                <w:rFonts w:ascii="Times New Roman" w:eastAsia="Times New Roman" w:hAnsi="Times New Roman" w:cs="Times New Roman"/>
                <w:sz w:val="22"/>
                <w:szCs w:val="22"/>
              </w:rPr>
              <w:t>prašoma:</w:t>
            </w:r>
          </w:p>
          <w:p w14:paraId="3E1CF0CC"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w:t>
            </w:r>
            <w:r w:rsidRPr="00FF1BF1">
              <w:rPr>
                <w:rFonts w:ascii="Times New Roman" w:eastAsia="Times New Roman" w:hAnsi="Times New Roman" w:cs="Times New Roman"/>
                <w:sz w:val="22"/>
                <w:szCs w:val="22"/>
              </w:rPr>
              <w:lastRenderedPageBreak/>
              <w:t xml:space="preserve">Perkančioji organizacija savarankiškai patikrina duomenis nacionalinėje duomenų bazėje,  adresu </w:t>
            </w:r>
            <w:hyperlink r:id="rId7">
              <w:r w:rsidRPr="00FF1BF1">
                <w:rPr>
                  <w:rFonts w:ascii="Times New Roman" w:eastAsia="Times New Roman" w:hAnsi="Times New Roman" w:cs="Times New Roman"/>
                  <w:sz w:val="22"/>
                  <w:szCs w:val="22"/>
                  <w:u w:val="single"/>
                </w:rPr>
                <w:t>http://draudejai.sodra.lt/draudeju_viesi_duomenys/</w:t>
              </w:r>
            </w:hyperlink>
            <w:r w:rsidRPr="00FF1BF1">
              <w:rPr>
                <w:rFonts w:ascii="Times New Roman" w:eastAsia="Times New Roman" w:hAnsi="Times New Roman" w:cs="Times New Roman"/>
                <w:sz w:val="22"/>
                <w:szCs w:val="22"/>
              </w:rPr>
              <w:t>.</w:t>
            </w:r>
          </w:p>
          <w:p w14:paraId="774E92A7"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1C5D1AFD"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11B60"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68E405F1"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C4E71D"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32E300FA"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Iš ne Lietuvoje įsteigtų subjektų reikalaujama:</w:t>
            </w:r>
          </w:p>
          <w:p w14:paraId="49A94E90" w14:textId="77777777" w:rsidR="00DB32EF" w:rsidRPr="00FF1BF1" w:rsidRDefault="00DB32EF" w:rsidP="00DB32EF">
            <w:pPr>
              <w:numPr>
                <w:ilvl w:val="0"/>
                <w:numId w:val="3"/>
              </w:numPr>
              <w:spacing w:after="0" w:line="240" w:lineRule="auto"/>
              <w:ind w:left="0"/>
              <w:jc w:val="both"/>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atitinkamos užsienio šalies kompetentingos institucijos dokumento</w:t>
            </w:r>
            <w:r w:rsidRPr="00FF1BF1">
              <w:rPr>
                <w:rFonts w:ascii="Times New Roman" w:eastAsia="Times New Roman" w:hAnsi="Times New Roman" w:cs="Times New Roman"/>
                <w:sz w:val="22"/>
                <w:szCs w:val="22"/>
                <w:vertAlign w:val="superscript"/>
              </w:rPr>
              <w:footnoteReference w:id="3"/>
            </w:r>
            <w:r w:rsidRPr="00FF1BF1">
              <w:rPr>
                <w:rFonts w:ascii="Times New Roman" w:eastAsia="Times New Roman" w:hAnsi="Times New Roman" w:cs="Times New Roman"/>
                <w:sz w:val="22"/>
                <w:szCs w:val="22"/>
              </w:rPr>
              <w:t>.</w:t>
            </w:r>
          </w:p>
          <w:p w14:paraId="7F37B8AF"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17B511A1" w14:textId="77777777" w:rsidR="00DB32EF" w:rsidRPr="00FF1BF1" w:rsidRDefault="00DB32EF" w:rsidP="00707A2C">
            <w:pPr>
              <w:spacing w:line="240" w:lineRule="auto"/>
              <w:rPr>
                <w:rFonts w:ascii="Times New Roman" w:eastAsia="Times New Roman" w:hAnsi="Times New Roman" w:cs="Times New Roman"/>
                <w:i/>
                <w:iCs/>
                <w:sz w:val="22"/>
                <w:szCs w:val="22"/>
              </w:rPr>
            </w:pPr>
            <w:r w:rsidRPr="00FF1BF1">
              <w:rPr>
                <w:rFonts w:ascii="Times New Roman" w:eastAsia="Times New Roman" w:hAnsi="Times New Roman" w:cs="Times New Roman"/>
                <w:sz w:val="22"/>
                <w:szCs w:val="22"/>
              </w:rPr>
              <w:t xml:space="preserve">Nurodyti dokumentai turi būti  išduoti ne anksčiau kaip 120 dienų iki </w:t>
            </w:r>
            <w:r w:rsidRPr="00FF1B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1BF1">
              <w:rPr>
                <w:rFonts w:ascii="Times New Roman" w:eastAsia="Times New Roman" w:hAnsi="Times New Roman" w:cs="Times New Roman"/>
                <w:sz w:val="22"/>
                <w:szCs w:val="22"/>
              </w:rPr>
              <w:t xml:space="preserve">umentus. </w:t>
            </w:r>
            <w:r w:rsidRPr="00FF1BF1">
              <w:rPr>
                <w:rFonts w:ascii="Times New Roman" w:eastAsia="Times New Roman" w:hAnsi="Times New Roman" w:cs="Times New Roman"/>
                <w:b/>
                <w:bCs/>
                <w:i/>
                <w:iCs/>
                <w:sz w:val="22"/>
                <w:szCs w:val="22"/>
              </w:rPr>
              <w:t>Pavyzdys</w:t>
            </w:r>
            <w:r w:rsidRPr="00FF1BF1">
              <w:rPr>
                <w:rFonts w:ascii="Times New Roman" w:eastAsia="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872114D" w14:textId="77777777" w:rsidR="00DB32EF" w:rsidRPr="00FF1BF1" w:rsidRDefault="00DB32EF" w:rsidP="00707A2C">
            <w:pPr>
              <w:spacing w:line="240" w:lineRule="auto"/>
              <w:rPr>
                <w:rFonts w:ascii="Times New Roman" w:eastAsia="Times New Roman" w:hAnsi="Times New Roman" w:cs="Times New Roman"/>
                <w:b/>
                <w:bCs/>
                <w:sz w:val="22"/>
                <w:szCs w:val="22"/>
              </w:rPr>
            </w:pPr>
          </w:p>
          <w:p w14:paraId="6B0E7935"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32EF" w:rsidRPr="00316E72" w14:paraId="20C08104"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984B5"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4BFA9"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9A12B"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1 punktas</w:t>
            </w:r>
          </w:p>
          <w:p w14:paraId="5708C23D" w14:textId="77777777" w:rsidR="00DB32EF" w:rsidRPr="00FF1BF1" w:rsidRDefault="00DB32EF" w:rsidP="00707A2C">
            <w:pPr>
              <w:spacing w:line="240" w:lineRule="auto"/>
              <w:rPr>
                <w:rFonts w:ascii="Times New Roman" w:eastAsia="Times New Roman" w:hAnsi="Times New Roman" w:cs="Times New Roman"/>
                <w:sz w:val="22"/>
                <w:szCs w:val="22"/>
              </w:rPr>
            </w:pPr>
          </w:p>
          <w:p w14:paraId="06109347"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C10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EBA99"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15795514"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6AC19D68"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p>
        </w:tc>
      </w:tr>
      <w:tr w:rsidR="00DB32EF" w:rsidRPr="00316E72" w14:paraId="55C12442"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22EF4"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FF877"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289BE56B"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CFAD5"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2 punktas</w:t>
            </w:r>
          </w:p>
          <w:p w14:paraId="0FEFA9BA" w14:textId="77777777" w:rsidR="00DB32EF" w:rsidRPr="00FF1BF1" w:rsidRDefault="00DB32EF" w:rsidP="00707A2C">
            <w:pPr>
              <w:spacing w:line="240" w:lineRule="auto"/>
              <w:rPr>
                <w:rFonts w:ascii="Times New Roman" w:eastAsia="Times New Roman" w:hAnsi="Times New Roman" w:cs="Times New Roman"/>
                <w:sz w:val="22"/>
                <w:szCs w:val="22"/>
              </w:rPr>
            </w:pPr>
          </w:p>
          <w:p w14:paraId="784F1138"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C12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48A95"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225525B6"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379477B5"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p>
        </w:tc>
      </w:tr>
      <w:tr w:rsidR="00DB32EF" w:rsidRPr="00316E72" w14:paraId="1B0FAB00"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8D915"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E40E"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B671"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3 punktas</w:t>
            </w:r>
          </w:p>
          <w:p w14:paraId="5944E038" w14:textId="77777777" w:rsidR="00DB32EF" w:rsidRPr="00FF1BF1" w:rsidRDefault="00DB32EF" w:rsidP="00707A2C">
            <w:pPr>
              <w:spacing w:line="240" w:lineRule="auto"/>
              <w:rPr>
                <w:rFonts w:ascii="Times New Roman" w:eastAsia="Times New Roman" w:hAnsi="Times New Roman" w:cs="Times New Roman"/>
                <w:sz w:val="22"/>
                <w:szCs w:val="22"/>
              </w:rPr>
            </w:pPr>
          </w:p>
          <w:p w14:paraId="425AB603"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C13 punktas</w:t>
            </w:r>
            <w:r w:rsidRPr="00FF1BF1">
              <w:rPr>
                <w:rFonts w:ascii="Times New Roman" w:eastAsia="Times New Roman" w:hAnsi="Times New Roman" w:cs="Times New Roman"/>
                <w:sz w:val="22"/>
                <w:szCs w:val="22"/>
                <w:lang w:eastAsia="en-US"/>
              </w:rPr>
              <w:t xml:space="preserve"> </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5599F"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414BFC02"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p>
        </w:tc>
      </w:tr>
      <w:tr w:rsidR="00DB32EF" w:rsidRPr="00316E72" w14:paraId="4A798A70"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FE369"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406C4"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w:t>
            </w:r>
            <w:r w:rsidRPr="00FF1BF1">
              <w:rPr>
                <w:rFonts w:ascii="Times New Roman" w:eastAsia="Times New Roman" w:hAnsi="Times New Roman" w:cs="Times New Roman"/>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4D645BF4"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2875D0"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C5BB2"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4 punktas</w:t>
            </w:r>
          </w:p>
          <w:p w14:paraId="539678CE" w14:textId="77777777" w:rsidR="00DB32EF" w:rsidRPr="00FF1BF1" w:rsidRDefault="00DB32EF" w:rsidP="00707A2C">
            <w:pPr>
              <w:spacing w:line="240" w:lineRule="auto"/>
              <w:rPr>
                <w:rFonts w:ascii="Times New Roman" w:eastAsia="Times New Roman" w:hAnsi="Times New Roman" w:cs="Times New Roman"/>
                <w:sz w:val="22"/>
                <w:szCs w:val="22"/>
              </w:rPr>
            </w:pPr>
          </w:p>
          <w:p w14:paraId="4EA55911"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lastRenderedPageBreak/>
              <w:t>EBVPD III dalies C15 punktas</w:t>
            </w:r>
            <w:r w:rsidRPr="00FF1BF1">
              <w:rPr>
                <w:rFonts w:ascii="Times New Roman" w:eastAsia="Times New Roman" w:hAnsi="Times New Roman" w:cs="Times New Roman"/>
                <w:sz w:val="22"/>
                <w:szCs w:val="22"/>
                <w:lang w:eastAsia="en-US"/>
              </w:rPr>
              <w:t xml:space="preserve"> </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C009"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7311F175"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12690DB1"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633F0043"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 xml:space="preserve">Priimant sprendimus dėl tiekėjo pašalinimo iš pirkimo procedūros šiame punkte nurodytu </w:t>
            </w:r>
            <w:r w:rsidRPr="00FF1BF1">
              <w:rPr>
                <w:rFonts w:ascii="Times New Roman" w:eastAsia="Times New Roman" w:hAnsi="Times New Roman" w:cs="Times New Roman"/>
                <w:b/>
                <w:bCs/>
                <w:sz w:val="22"/>
                <w:szCs w:val="22"/>
              </w:rPr>
              <w:lastRenderedPageBreak/>
              <w:t xml:space="preserve">pašalinimo pagrindu, be kita ko, gali būti atsižvelgiama į pagal VPĮ 52 straipsnį skelbiamą informaciją: </w:t>
            </w:r>
          </w:p>
          <w:p w14:paraId="02F9F6B1" w14:textId="77777777" w:rsidR="00DB32EF" w:rsidRPr="00FF1BF1" w:rsidRDefault="00DB32EF" w:rsidP="00707A2C">
            <w:pPr>
              <w:spacing w:line="240" w:lineRule="auto"/>
              <w:rPr>
                <w:rFonts w:ascii="Times New Roman" w:eastAsia="Times New Roman" w:hAnsi="Times New Roman" w:cs="Times New Roman"/>
                <w:sz w:val="22"/>
                <w:szCs w:val="22"/>
              </w:rPr>
            </w:pPr>
            <w:hyperlink r:id="rId8" w:history="1">
              <w:r w:rsidRPr="00ED7909">
                <w:rPr>
                  <w:rStyle w:val="Hipersaitas"/>
                  <w:rFonts w:ascii="Times New Roman" w:eastAsia="Times New Roman" w:hAnsi="Times New Roman" w:cs="Times New Roman"/>
                  <w:sz w:val="22"/>
                  <w:szCs w:val="22"/>
                </w:rPr>
                <w:t>https://vpt.lrv.lt/lt/nuorodos/kiti-duomenys/powerbi/melaginga-informacija-pateikusiu-tiekeju-sarasas-3/</w:t>
              </w:r>
            </w:hyperlink>
          </w:p>
        </w:tc>
      </w:tr>
      <w:tr w:rsidR="00DB32EF" w:rsidRPr="00316E72" w14:paraId="210C1053"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0D5FD"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E1997"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85EB0"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5 punktas</w:t>
            </w:r>
          </w:p>
          <w:p w14:paraId="00A585EB" w14:textId="77777777" w:rsidR="00DB32EF" w:rsidRPr="00FF1BF1" w:rsidRDefault="00DB32EF" w:rsidP="00707A2C">
            <w:pPr>
              <w:spacing w:line="240" w:lineRule="auto"/>
              <w:rPr>
                <w:rFonts w:ascii="Times New Roman" w:eastAsia="Times New Roman" w:hAnsi="Times New Roman" w:cs="Times New Roman"/>
                <w:sz w:val="22"/>
                <w:szCs w:val="22"/>
              </w:rPr>
            </w:pPr>
          </w:p>
          <w:p w14:paraId="690F4523"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C15 punktas</w:t>
            </w:r>
          </w:p>
          <w:p w14:paraId="09DC3579"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5FFC1528"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49431"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647614E2"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p>
        </w:tc>
      </w:tr>
      <w:tr w:rsidR="00DB32EF" w:rsidRPr="00316E72" w14:paraId="11CB4E6A"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FB0B" w14:textId="77777777" w:rsidR="00DB32EF" w:rsidRPr="00FF1BF1" w:rsidRDefault="00DB32EF" w:rsidP="00DB32EF">
            <w:pPr>
              <w:numPr>
                <w:ilvl w:val="0"/>
                <w:numId w:val="4"/>
              </w:numPr>
              <w:spacing w:after="0" w:line="240" w:lineRule="auto"/>
              <w:rPr>
                <w:rFonts w:ascii="Times New Roman" w:eastAsia="Times New Roman" w:hAnsi="Times New Roman" w:cs="Times New Roman"/>
                <w:b/>
                <w:bCs/>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DCC5B"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Tiekėjas yra neįvykdęs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sudarytos vadovaujantis VPĮ, Viešųjų pirkimų, atliekamų gynybos ir saugumo srityje, įstatymu ar Pirkimų, atliekamų vandentvarkos, energetikos, transporto ar pašto paslaugų srities perkančiųjų subjektų, įstatymu, ar koncesijos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arba yra netinkamai ją įvykdęs ir tai buvo esminis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pažeidimas, kaip nustatyta Civilinio kodekso 6.217 straipsnyje (toliau – esminis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pažeidimas), dėl kurio per pastaruosius 3 metus buvo nutraukta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utartis arba per pastaruosius 3 metus buvo priimtas ir įsiteisėjęs teismo sprendimas, kuriuo tenkinamas perkančiosios organizacijos, perkančiojo subjekto ar suteikiančiosios institucijos reikalavimas atlyginti nuostolius, </w:t>
            </w:r>
            <w:r w:rsidRPr="00FF1BF1">
              <w:rPr>
                <w:rFonts w:ascii="Times New Roman" w:eastAsia="Times New Roman" w:hAnsi="Times New Roman" w:cs="Times New Roman"/>
                <w:sz w:val="22"/>
                <w:szCs w:val="22"/>
              </w:rPr>
              <w:lastRenderedPageBreak/>
              <w:t xml:space="preserve">patirtus dėl to, kad tiekėjas sutartyje nustatytą esminę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sąlygą vykdė su dideliais arba nuolatiniais trūkumais, ar per pastaruosius 3 metus buvo priimtas perkančiosios organizacijos sprendimas, kad tiekėjas sutartyje nustatytą esminę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utarties sąlygą vykdė su dideliais arba nuolatiniais trūkumais ir dėl to buvo pritaikyta sutartyje nustatyta sankcija. </w:t>
            </w:r>
          </w:p>
          <w:p w14:paraId="4CF5A676"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 xml:space="preserve">utartį, ankstesnę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utartį su perkančiuoju subjektu arba ankstesnę koncesijos</w:t>
            </w:r>
            <w:r>
              <w:rPr>
                <w:rFonts w:ascii="Times New Roman" w:eastAsia="Times New Roman" w:hAnsi="Times New Roman" w:cs="Times New Roman"/>
                <w:sz w:val="22"/>
                <w:szCs w:val="22"/>
              </w:rPr>
              <w:t xml:space="preserve"> S</w:t>
            </w:r>
            <w:r w:rsidRPr="00FF1BF1">
              <w:rPr>
                <w:rFonts w:ascii="Times New Roman" w:eastAsia="Times New Roman" w:hAnsi="Times New Roman" w:cs="Times New Roman"/>
                <w:sz w:val="22"/>
                <w:szCs w:val="22"/>
              </w:rPr>
              <w:t xml:space="preserve">utartį, sutartyje nustatytą esminį reikalavimą vykdė su dideliais arba nuolatiniais trūkumais ir dėl to ta ankstesnė </w:t>
            </w:r>
            <w:r>
              <w:rPr>
                <w:rFonts w:ascii="Times New Roman" w:eastAsia="Times New Roman" w:hAnsi="Times New Roman" w:cs="Times New Roman"/>
                <w:sz w:val="22"/>
                <w:szCs w:val="22"/>
              </w:rPr>
              <w:t>s</w:t>
            </w:r>
            <w:r w:rsidRPr="00FF1BF1">
              <w:rPr>
                <w:rFonts w:ascii="Times New Roman" w:eastAsia="Times New Roman" w:hAnsi="Times New Roman" w:cs="Times New Roman"/>
                <w:sz w:val="22"/>
                <w:szCs w:val="22"/>
              </w:rPr>
              <w:t>utartis buvo nutraukta anksčiau, negu toje sutartyje nustatytas jos galiojimo terminas, buvo pareikalauta atlyginti žalą ar taikomos kitos panašios sankcijos.</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FC9D3"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lastRenderedPageBreak/>
              <w:t>VPĮ 46 straipsnio 4 dalies 6 punktas</w:t>
            </w:r>
          </w:p>
          <w:p w14:paraId="1DEE45AC" w14:textId="77777777" w:rsidR="00DB32EF" w:rsidRPr="00FF1BF1" w:rsidRDefault="00DB32EF" w:rsidP="00707A2C">
            <w:pPr>
              <w:spacing w:line="240" w:lineRule="auto"/>
              <w:rPr>
                <w:rFonts w:ascii="Times New Roman" w:eastAsia="Times New Roman" w:hAnsi="Times New Roman" w:cs="Times New Roman"/>
                <w:sz w:val="22"/>
                <w:szCs w:val="22"/>
              </w:rPr>
            </w:pPr>
          </w:p>
          <w:p w14:paraId="58F39CCB"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C14 punktas</w:t>
            </w:r>
          </w:p>
          <w:p w14:paraId="14D2F243"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7BA4B7FF"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3B2A9"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4F59F581"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492C364C"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2BD2AF" w14:textId="77777777" w:rsidR="00DB32EF" w:rsidRPr="00FF1BF1" w:rsidRDefault="00DB32EF" w:rsidP="00707A2C">
            <w:pPr>
              <w:spacing w:line="240" w:lineRule="auto"/>
              <w:rPr>
                <w:rFonts w:ascii="Times New Roman" w:eastAsia="Times New Roman" w:hAnsi="Times New Roman" w:cs="Times New Roman"/>
                <w:sz w:val="22"/>
                <w:szCs w:val="22"/>
              </w:rPr>
            </w:pPr>
            <w:hyperlink r:id="rId9" w:history="1">
              <w:r w:rsidRPr="00ED7909">
                <w:rPr>
                  <w:rStyle w:val="Hipersaitas"/>
                  <w:rFonts w:ascii="Times New Roman" w:eastAsia="Times New Roman" w:hAnsi="Times New Roman" w:cs="Times New Roman"/>
                  <w:sz w:val="22"/>
                  <w:szCs w:val="22"/>
                </w:rPr>
                <w:t>https://vpt.lrv.lt/lt/nuorodos/kiti-duomenys/powerbi/nepatikimi-tiekejai-1/</w:t>
              </w:r>
            </w:hyperlink>
          </w:p>
          <w:p w14:paraId="6C3E4B94" w14:textId="77777777" w:rsidR="00DB32EF" w:rsidRPr="00FF1BF1" w:rsidRDefault="00DB32EF" w:rsidP="00707A2C">
            <w:pPr>
              <w:spacing w:line="240" w:lineRule="auto"/>
              <w:rPr>
                <w:rFonts w:ascii="Times New Roman" w:eastAsia="Times New Roman" w:hAnsi="Times New Roman" w:cs="Times New Roman"/>
                <w:sz w:val="22"/>
                <w:szCs w:val="22"/>
              </w:rPr>
            </w:pPr>
          </w:p>
          <w:p w14:paraId="2CE65BF6" w14:textId="77777777" w:rsidR="00DB32EF" w:rsidRPr="00FF1BF1" w:rsidRDefault="00DB32EF" w:rsidP="00707A2C">
            <w:pPr>
              <w:spacing w:line="240" w:lineRule="auto"/>
              <w:rPr>
                <w:rFonts w:ascii="Times New Roman" w:eastAsia="Times New Roman" w:hAnsi="Times New Roman" w:cs="Times New Roman"/>
                <w:sz w:val="22"/>
                <w:szCs w:val="22"/>
              </w:rPr>
            </w:pPr>
            <w:hyperlink r:id="rId10" w:history="1">
              <w:r w:rsidRPr="00ED7909">
                <w:rPr>
                  <w:rStyle w:val="Hipersaitas"/>
                  <w:rFonts w:ascii="Times New Roman" w:eastAsia="Times New Roman" w:hAnsi="Times New Roman" w:cs="Times New Roman"/>
                  <w:sz w:val="22"/>
                  <w:szCs w:val="22"/>
                </w:rPr>
                <w:t>https://vpt.lrv.lt/lt/pasalinimo-pagrindai-1/nepatikimu-koncesininku-sarasas-1/nepatikimu-koncesininku-sarasas/</w:t>
              </w:r>
            </w:hyperlink>
          </w:p>
          <w:p w14:paraId="1C62B520" w14:textId="77777777" w:rsidR="00DB32EF" w:rsidRPr="00FF1BF1" w:rsidRDefault="00DB32EF" w:rsidP="00707A2C">
            <w:pPr>
              <w:spacing w:line="240" w:lineRule="auto"/>
              <w:rPr>
                <w:rFonts w:ascii="Times New Roman" w:eastAsia="Times New Roman" w:hAnsi="Times New Roman" w:cs="Times New Roman"/>
                <w:b/>
                <w:bCs/>
                <w:sz w:val="22"/>
                <w:szCs w:val="22"/>
              </w:rPr>
            </w:pPr>
          </w:p>
        </w:tc>
      </w:tr>
      <w:tr w:rsidR="00DB32EF" w:rsidRPr="00316E72" w14:paraId="7006198A"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BFE6B" w14:textId="77777777" w:rsidR="00DB32EF" w:rsidRPr="00FF1BF1" w:rsidRDefault="00DB32EF" w:rsidP="00DB32EF">
            <w:pPr>
              <w:numPr>
                <w:ilvl w:val="0"/>
                <w:numId w:val="4"/>
              </w:numPr>
              <w:spacing w:after="0" w:line="240" w:lineRule="auto"/>
              <w:rPr>
                <w:rFonts w:ascii="Times New Roman" w:eastAsia="Times New Roman" w:hAnsi="Times New Roman" w:cs="Times New Roman"/>
                <w:sz w:val="22"/>
                <w:szCs w:val="22"/>
              </w:rPr>
            </w:pPr>
          </w:p>
          <w:p w14:paraId="78AC1467" w14:textId="77777777" w:rsidR="00DB32EF" w:rsidRPr="00FF1BF1" w:rsidRDefault="00DB32EF" w:rsidP="00707A2C">
            <w:pPr>
              <w:spacing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7A2D5"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FF1BF1">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604EC97A" w14:textId="77777777" w:rsidR="00DB32EF" w:rsidRPr="00FF1BF1" w:rsidRDefault="00DB32EF" w:rsidP="00707A2C">
            <w:pPr>
              <w:spacing w:line="240" w:lineRule="auto"/>
              <w:rPr>
                <w:rFonts w:ascii="Times New Roman" w:eastAsia="Times New Roman" w:hAnsi="Times New Roman" w:cs="Times New Roman"/>
                <w:b/>
                <w:bCs/>
                <w:sz w:val="22"/>
                <w:szCs w:val="22"/>
              </w:rPr>
            </w:pP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43027"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a papunktis</w:t>
            </w:r>
          </w:p>
          <w:p w14:paraId="5508120C" w14:textId="77777777" w:rsidR="00DB32EF" w:rsidRPr="00FF1BF1" w:rsidRDefault="00DB32EF" w:rsidP="00707A2C">
            <w:pPr>
              <w:spacing w:line="240" w:lineRule="auto"/>
              <w:rPr>
                <w:rFonts w:ascii="Times New Roman" w:eastAsia="Times New Roman" w:hAnsi="Times New Roman" w:cs="Times New Roman"/>
                <w:sz w:val="22"/>
                <w:szCs w:val="22"/>
              </w:rPr>
            </w:pPr>
          </w:p>
          <w:p w14:paraId="31A933F2"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A9FBC"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FF1BF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FF1BF1">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sz w:val="22"/>
                <w:szCs w:val="22"/>
              </w:rPr>
              <w:t xml:space="preserve">nacionalinėje duomenų bazėje adresu: </w:t>
            </w:r>
            <w:hyperlink r:id="rId11">
              <w:r w:rsidRPr="00FF1BF1">
                <w:rPr>
                  <w:rFonts w:ascii="Times New Roman" w:eastAsia="Times New Roman" w:hAnsi="Times New Roman" w:cs="Times New Roman"/>
                  <w:sz w:val="22"/>
                  <w:szCs w:val="22"/>
                  <w:u w:val="single"/>
                </w:rPr>
                <w:t>https://www.registrucentras.lt/jar/p/index.php</w:t>
              </w:r>
            </w:hyperlink>
          </w:p>
          <w:p w14:paraId="3B0EBA73"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paskelbtą informaciją, taip pat į šiame informaciniame pranešime pateiktą informaciją:</w:t>
            </w:r>
          </w:p>
          <w:p w14:paraId="3F13AEBC" w14:textId="77777777" w:rsidR="00DB32EF" w:rsidRPr="00FF1BF1" w:rsidRDefault="00DB32EF" w:rsidP="00707A2C">
            <w:pPr>
              <w:spacing w:line="240" w:lineRule="auto"/>
              <w:rPr>
                <w:rFonts w:ascii="Times New Roman" w:eastAsia="Times New Roman" w:hAnsi="Times New Roman" w:cs="Times New Roman"/>
                <w:sz w:val="22"/>
                <w:szCs w:val="22"/>
              </w:rPr>
            </w:pPr>
            <w:hyperlink r:id="rId12" w:history="1">
              <w:r w:rsidRPr="00ED7909">
                <w:rPr>
                  <w:rStyle w:val="Hipersaitas"/>
                  <w:rFonts w:ascii="Times New Roman" w:eastAsia="Times New Roman" w:hAnsi="Times New Roman" w:cs="Times New Roman"/>
                  <w:sz w:val="22"/>
                  <w:szCs w:val="22"/>
                </w:rPr>
                <w:t>https://vpt.lrv.lt/lt/naujienos-3/finansiniu-ataskaitu-nepateikimas-gali-tapti-kliutimi-dalyvauti-viesuosiuose-pirkimuose/</w:t>
              </w:r>
            </w:hyperlink>
          </w:p>
          <w:p w14:paraId="71233DC8" w14:textId="77777777" w:rsidR="00DB32EF" w:rsidRPr="00FF1BF1" w:rsidRDefault="00DB32EF" w:rsidP="00707A2C">
            <w:pPr>
              <w:spacing w:line="240" w:lineRule="auto"/>
              <w:rPr>
                <w:rFonts w:ascii="Times New Roman" w:eastAsia="Times New Roman" w:hAnsi="Times New Roman" w:cs="Times New Roman"/>
                <w:b/>
                <w:bCs/>
                <w:sz w:val="22"/>
                <w:szCs w:val="22"/>
              </w:rPr>
            </w:pPr>
          </w:p>
        </w:tc>
      </w:tr>
      <w:tr w:rsidR="00DB32EF" w:rsidRPr="00316E72" w14:paraId="196D8141"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B4F3" w14:textId="77777777" w:rsidR="00DB32EF" w:rsidRPr="00FF1BF1" w:rsidRDefault="00DB32EF" w:rsidP="00DB32EF">
            <w:pPr>
              <w:numPr>
                <w:ilvl w:val="0"/>
                <w:numId w:val="4"/>
              </w:numPr>
              <w:spacing w:after="0"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0A4D3"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F1BF1">
              <w:rPr>
                <w:rFonts w:ascii="Times New Roman" w:eastAsia="Times New Roman" w:hAnsi="Times New Roman" w:cs="Times New Roman"/>
                <w:sz w:val="22"/>
                <w:szCs w:val="22"/>
                <w:vertAlign w:val="superscript"/>
              </w:rPr>
              <w:t>1</w:t>
            </w:r>
            <w:r w:rsidRPr="00FF1BF1">
              <w:rPr>
                <w:rFonts w:ascii="Times New Roman" w:eastAsia="Times New Roman" w:hAnsi="Times New Roman" w:cs="Times New Roman"/>
                <w:sz w:val="22"/>
                <w:szCs w:val="22"/>
              </w:rPr>
              <w:t xml:space="preserve"> straipsnio 1 dalyje.</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FDE43"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b papunktis</w:t>
            </w:r>
          </w:p>
          <w:p w14:paraId="64FE7F3D" w14:textId="77777777" w:rsidR="00DB32EF" w:rsidRPr="00FF1BF1" w:rsidRDefault="00DB32EF" w:rsidP="00707A2C">
            <w:pPr>
              <w:spacing w:line="240" w:lineRule="auto"/>
              <w:rPr>
                <w:rFonts w:ascii="Times New Roman" w:eastAsia="Times New Roman" w:hAnsi="Times New Roman" w:cs="Times New Roman"/>
                <w:sz w:val="22"/>
                <w:szCs w:val="22"/>
              </w:rPr>
            </w:pPr>
          </w:p>
          <w:p w14:paraId="12642B44"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C9CF5"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557E20E5" w14:textId="77777777" w:rsidR="00DB32EF" w:rsidRPr="00FF1BF1" w:rsidRDefault="00DB32EF" w:rsidP="00707A2C">
            <w:pPr>
              <w:spacing w:line="240" w:lineRule="auto"/>
              <w:rPr>
                <w:rFonts w:ascii="Times New Roman" w:eastAsia="Times New Roman" w:hAnsi="Times New Roman" w:cs="Times New Roman"/>
                <w:b/>
                <w:bCs/>
                <w:sz w:val="22"/>
                <w:szCs w:val="22"/>
                <w:lang w:eastAsia="en-US"/>
              </w:rPr>
            </w:pPr>
          </w:p>
          <w:p w14:paraId="62C0CC61"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FF1BF1">
              <w:rPr>
                <w:rFonts w:ascii="Times New Roman" w:eastAsia="Times New Roman" w:hAnsi="Times New Roman" w:cs="Times New Roman"/>
                <w:b/>
                <w:bCs/>
                <w:sz w:val="22"/>
                <w:szCs w:val="22"/>
              </w:rPr>
              <w:t xml:space="preserve"> </w:t>
            </w:r>
            <w:r w:rsidRPr="00FF1BF1">
              <w:rPr>
                <w:rFonts w:ascii="Times New Roman" w:eastAsia="Times New Roman" w:hAnsi="Times New Roman" w:cs="Times New Roman"/>
                <w:sz w:val="22"/>
                <w:szCs w:val="22"/>
              </w:rPr>
              <w:t xml:space="preserve">nacionalinėje duomenų bazėje adresu </w:t>
            </w:r>
            <w:hyperlink r:id="rId13">
              <w:r w:rsidRPr="00FF1BF1">
                <w:rPr>
                  <w:rFonts w:ascii="Times New Roman" w:eastAsia="Times New Roman" w:hAnsi="Times New Roman" w:cs="Times New Roman"/>
                  <w:sz w:val="22"/>
                  <w:szCs w:val="22"/>
                  <w:u w:val="single"/>
                </w:rPr>
                <w:t>https://www.vmi.lt/evmi/mokesciu-moketoju-informacija</w:t>
              </w:r>
            </w:hyperlink>
            <w:r w:rsidRPr="00FF1BF1">
              <w:rPr>
                <w:rFonts w:ascii="Times New Roman" w:eastAsia="Times New Roman" w:hAnsi="Times New Roman" w:cs="Times New Roman"/>
                <w:sz w:val="22"/>
                <w:szCs w:val="22"/>
              </w:rPr>
              <w:t xml:space="preserve"> skelbiamą informaciją.</w:t>
            </w:r>
          </w:p>
        </w:tc>
      </w:tr>
      <w:tr w:rsidR="00DB32EF" w:rsidRPr="00316E72" w14:paraId="74D06287" w14:textId="77777777" w:rsidTr="00707A2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45031" w14:textId="77777777" w:rsidR="00DB32EF" w:rsidRPr="00FF1BF1" w:rsidRDefault="00DB32EF" w:rsidP="00DB32EF">
            <w:pPr>
              <w:numPr>
                <w:ilvl w:val="0"/>
                <w:numId w:val="4"/>
              </w:numPr>
              <w:spacing w:after="0" w:line="240" w:lineRule="auto"/>
              <w:rPr>
                <w:rFonts w:ascii="Times New Roman" w:eastAsia="Times New Roman" w:hAnsi="Times New Roman" w:cs="Times New Roman"/>
                <w:sz w:val="22"/>
                <w:szCs w:val="22"/>
              </w:rPr>
            </w:pPr>
          </w:p>
        </w:tc>
        <w:tc>
          <w:tcPr>
            <w:tcW w:w="1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51668" w14:textId="77777777" w:rsidR="00DB32EF" w:rsidRPr="00FF1BF1" w:rsidRDefault="00DB32EF" w:rsidP="00707A2C">
            <w:pPr>
              <w:spacing w:line="240" w:lineRule="auto"/>
              <w:rPr>
                <w:rFonts w:ascii="Times New Roman" w:eastAsia="Times New Roman" w:hAnsi="Times New Roman" w:cs="Times New Roman"/>
                <w:sz w:val="22"/>
                <w:szCs w:val="22"/>
              </w:rPr>
            </w:pPr>
            <w:r w:rsidRPr="00FF1BF1">
              <w:rPr>
                <w:rFonts w:ascii="Times New Roman" w:eastAsia="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0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96CDE"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VPĮ 46 straipsnio 4 dalies 7 punkto c papunktis</w:t>
            </w:r>
          </w:p>
          <w:p w14:paraId="7D927FB9" w14:textId="77777777" w:rsidR="00DB32EF" w:rsidRPr="00FF1BF1" w:rsidRDefault="00DB32EF" w:rsidP="00707A2C">
            <w:pPr>
              <w:spacing w:line="240" w:lineRule="auto"/>
              <w:rPr>
                <w:rFonts w:ascii="Times New Roman" w:eastAsia="Times New Roman" w:hAnsi="Times New Roman" w:cs="Times New Roman"/>
                <w:sz w:val="22"/>
                <w:szCs w:val="22"/>
              </w:rPr>
            </w:pPr>
          </w:p>
          <w:p w14:paraId="783ADECE"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rPr>
              <w:t>EBVPD III dalies C11 punktas</w:t>
            </w:r>
          </w:p>
        </w:tc>
        <w:tc>
          <w:tcPr>
            <w:tcW w:w="2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275C2"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r w:rsidRPr="00FF1BF1">
              <w:rPr>
                <w:rFonts w:ascii="Times New Roman" w:eastAsia="Times New Roman" w:hAnsi="Times New Roman" w:cs="Times New Roman"/>
                <w:sz w:val="22"/>
                <w:szCs w:val="22"/>
                <w:lang w:eastAsia="en-US"/>
              </w:rPr>
              <w:t>Iš Lietuvoje įsteigtų subjektų įrodančių dokumentų nereikalaujama. Užtenka pateikto EBVPD.</w:t>
            </w:r>
          </w:p>
          <w:p w14:paraId="78EC3CC2"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p>
          <w:p w14:paraId="19E3E1E7" w14:textId="77777777" w:rsidR="00DB32EF" w:rsidRPr="00FF1BF1" w:rsidRDefault="00DB32EF" w:rsidP="00707A2C">
            <w:pPr>
              <w:spacing w:line="240" w:lineRule="auto"/>
              <w:rPr>
                <w:rFonts w:ascii="Times New Roman" w:eastAsia="Times New Roman" w:hAnsi="Times New Roman" w:cs="Times New Roman"/>
                <w:b/>
                <w:bCs/>
                <w:sz w:val="22"/>
                <w:szCs w:val="22"/>
              </w:rPr>
            </w:pPr>
            <w:r w:rsidRPr="00FF1BF1">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565E2578" w14:textId="77777777" w:rsidR="00DB32EF" w:rsidRPr="00FF1BF1" w:rsidRDefault="00DB32EF" w:rsidP="00707A2C">
            <w:pPr>
              <w:spacing w:line="240" w:lineRule="auto"/>
              <w:rPr>
                <w:rFonts w:ascii="Times New Roman" w:eastAsia="Times New Roman" w:hAnsi="Times New Roman" w:cs="Times New Roman"/>
                <w:sz w:val="22"/>
                <w:szCs w:val="22"/>
                <w:lang w:eastAsia="en-US"/>
              </w:rPr>
            </w:pPr>
            <w:hyperlink r:id="rId14" w:history="1">
              <w:r w:rsidRPr="00ED7909">
                <w:rPr>
                  <w:rStyle w:val="Hipersaitas"/>
                  <w:rFonts w:ascii="Times New Roman" w:eastAsia="Times New Roman" w:hAnsi="Times New Roman" w:cs="Times New Roman"/>
                  <w:sz w:val="22"/>
                  <w:szCs w:val="22"/>
                </w:rPr>
                <w:t>https://kt.gov.lt/lt/atviri-duomenys/diskvalifikavimas-is-viesuju-pirkimu</w:t>
              </w:r>
            </w:hyperlink>
            <w:r w:rsidRPr="00FF1BF1">
              <w:rPr>
                <w:rFonts w:ascii="Times New Roman" w:eastAsia="Times New Roman" w:hAnsi="Times New Roman" w:cs="Times New Roman"/>
                <w:sz w:val="22"/>
                <w:szCs w:val="22"/>
              </w:rPr>
              <w:t xml:space="preserve"> skelbiamą informaciją. </w:t>
            </w:r>
          </w:p>
        </w:tc>
      </w:tr>
    </w:tbl>
    <w:p w14:paraId="5B5D294A" w14:textId="77777777" w:rsidR="00D7494B" w:rsidRDefault="00D7494B" w:rsidP="00D7494B">
      <w:pPr>
        <w:rPr>
          <w:rFonts w:ascii="Times New Roman" w:eastAsia="Times New Roman" w:hAnsi="Times New Roman" w:cs="Times New Roman"/>
          <w:smallCaps/>
          <w:sz w:val="24"/>
          <w:szCs w:val="24"/>
        </w:rPr>
      </w:pPr>
    </w:p>
    <w:p w14:paraId="7960D17F" w14:textId="2B5AF45C" w:rsidR="00DB32EF" w:rsidRPr="006D2DC9" w:rsidRDefault="00DB32EF" w:rsidP="00D7494B">
      <w:pPr>
        <w:jc w:val="center"/>
        <w:rPr>
          <w:rFonts w:ascii="Times New Roman" w:eastAsia="Times New Roman" w:hAnsi="Times New Roman" w:cs="Times New Roman"/>
          <w:sz w:val="24"/>
          <w:szCs w:val="24"/>
        </w:rPr>
      </w:pPr>
      <w:r w:rsidRPr="006D2DC9">
        <w:rPr>
          <w:rFonts w:ascii="Times New Roman" w:eastAsia="Times New Roman" w:hAnsi="Times New Roman" w:cs="Times New Roman"/>
          <w:smallCaps/>
          <w:sz w:val="24"/>
          <w:szCs w:val="24"/>
        </w:rPr>
        <w:t>________________</w:t>
      </w:r>
    </w:p>
    <w:p w14:paraId="5D207D8D" w14:textId="77777777" w:rsidR="00212464" w:rsidRDefault="00212464"/>
    <w:sectPr w:rsidR="002124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D1DD" w14:textId="77777777" w:rsidR="007868F7" w:rsidRDefault="007868F7" w:rsidP="00DB32EF">
      <w:pPr>
        <w:spacing w:after="0" w:line="240" w:lineRule="auto"/>
      </w:pPr>
      <w:r>
        <w:separator/>
      </w:r>
    </w:p>
  </w:endnote>
  <w:endnote w:type="continuationSeparator" w:id="0">
    <w:p w14:paraId="682E211F" w14:textId="77777777" w:rsidR="007868F7" w:rsidRDefault="007868F7" w:rsidP="00DB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0C0E" w14:textId="77777777" w:rsidR="007868F7" w:rsidRDefault="007868F7" w:rsidP="00DB32EF">
      <w:pPr>
        <w:spacing w:after="0" w:line="240" w:lineRule="auto"/>
      </w:pPr>
      <w:r>
        <w:separator/>
      </w:r>
    </w:p>
  </w:footnote>
  <w:footnote w:type="continuationSeparator" w:id="0">
    <w:p w14:paraId="791C53A8" w14:textId="77777777" w:rsidR="007868F7" w:rsidRDefault="007868F7" w:rsidP="00DB32EF">
      <w:pPr>
        <w:spacing w:after="0" w:line="240" w:lineRule="auto"/>
      </w:pPr>
      <w:r>
        <w:continuationSeparator/>
      </w:r>
    </w:p>
  </w:footnote>
  <w:footnote w:id="1">
    <w:p w14:paraId="1251EA1A" w14:textId="77777777" w:rsidR="00DB32EF" w:rsidRPr="00F822B1" w:rsidRDefault="00DB32EF" w:rsidP="00DB32EF">
      <w:pPr>
        <w:pStyle w:val="Puslapioinaostekstas"/>
        <w:rPr>
          <w:rFonts w:ascii="Times New Roman" w:hAnsi="Times New Roman" w:cs="Times New Roman"/>
          <w:i/>
          <w:iCs/>
        </w:rPr>
      </w:pPr>
      <w:r w:rsidRPr="00F822B1">
        <w:rPr>
          <w:rStyle w:val="Puslapioinaosnuoroda"/>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EAFC0" w14:textId="77777777" w:rsidR="00DB32EF" w:rsidRPr="00F822B1" w:rsidRDefault="00DB32EF" w:rsidP="00DB32EF">
      <w:pPr>
        <w:pStyle w:val="Puslapioinaostekstas"/>
        <w:numPr>
          <w:ilvl w:val="0"/>
          <w:numId w:val="5"/>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5BF93D74" w14:textId="77777777" w:rsidR="00DB32EF" w:rsidRPr="00F822B1" w:rsidRDefault="00DB32EF" w:rsidP="00DB32EF">
      <w:pPr>
        <w:pStyle w:val="Puslapioinaostekstas"/>
        <w:numPr>
          <w:ilvl w:val="0"/>
          <w:numId w:val="5"/>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B769C7" w14:textId="77777777" w:rsidR="00DB32EF" w:rsidRPr="00F822B1" w:rsidRDefault="00DB32EF" w:rsidP="00DB32EF">
      <w:pPr>
        <w:pStyle w:val="Puslapioinaostekstas"/>
        <w:rPr>
          <w:rFonts w:ascii="Times New Roman" w:hAnsi="Times New Roman" w:cs="Times New Roman"/>
          <w:i/>
          <w:iCs/>
        </w:rPr>
      </w:pPr>
      <w:r w:rsidRPr="00F822B1">
        <w:rPr>
          <w:rStyle w:val="Puslapioinaosnuoroda"/>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61BA94" w14:textId="77777777" w:rsidR="00DB32EF" w:rsidRPr="00F822B1" w:rsidRDefault="00DB32EF" w:rsidP="00DB32EF">
      <w:pPr>
        <w:pStyle w:val="Puslapioinaostekstas"/>
        <w:numPr>
          <w:ilvl w:val="0"/>
          <w:numId w:val="6"/>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763F9DF3" w14:textId="77777777" w:rsidR="00DB32EF" w:rsidRPr="00F822B1" w:rsidRDefault="00DB32EF" w:rsidP="00DB32EF">
      <w:pPr>
        <w:pStyle w:val="Puslapioinaostekstas"/>
        <w:numPr>
          <w:ilvl w:val="0"/>
          <w:numId w:val="6"/>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9B597C" w14:textId="77777777" w:rsidR="00DB32EF" w:rsidRPr="0090759F" w:rsidRDefault="00DB32EF" w:rsidP="00DB32EF">
      <w:pPr>
        <w:pStyle w:val="Puslapioinaostekstas"/>
        <w:rPr>
          <w:rFonts w:ascii="Times New Roman" w:hAnsi="Times New Roman" w:cs="Times New Roman"/>
          <w:i/>
          <w:iCs/>
        </w:rPr>
      </w:pPr>
      <w:r w:rsidRPr="0090759F">
        <w:rPr>
          <w:rStyle w:val="Puslapioinaosnuoroda"/>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C4943B" w14:textId="77777777" w:rsidR="00DB32EF" w:rsidRPr="0090759F" w:rsidRDefault="00DB32EF" w:rsidP="00DB32EF">
      <w:pPr>
        <w:pStyle w:val="Puslapioinaostekstas"/>
        <w:numPr>
          <w:ilvl w:val="0"/>
          <w:numId w:val="7"/>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73777F63" w14:textId="77777777" w:rsidR="00DB32EF" w:rsidRPr="0090759F" w:rsidRDefault="00DB32EF" w:rsidP="00DB32EF">
      <w:pPr>
        <w:pStyle w:val="Puslapioinaostekstas"/>
        <w:numPr>
          <w:ilvl w:val="0"/>
          <w:numId w:val="7"/>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069258D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39465211">
    <w:abstractNumId w:val="1"/>
  </w:num>
  <w:num w:numId="2" w16cid:durableId="1811359847">
    <w:abstractNumId w:val="4"/>
  </w:num>
  <w:num w:numId="3" w16cid:durableId="1949771564">
    <w:abstractNumId w:val="2"/>
  </w:num>
  <w:num w:numId="4" w16cid:durableId="1707369458">
    <w:abstractNumId w:val="6"/>
  </w:num>
  <w:num w:numId="5" w16cid:durableId="1927348810">
    <w:abstractNumId w:val="3"/>
  </w:num>
  <w:num w:numId="6" w16cid:durableId="1996840016">
    <w:abstractNumId w:val="5"/>
  </w:num>
  <w:num w:numId="7" w16cid:durableId="100382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EF"/>
    <w:rsid w:val="00127ECA"/>
    <w:rsid w:val="00130059"/>
    <w:rsid w:val="00212464"/>
    <w:rsid w:val="00404A16"/>
    <w:rsid w:val="006573FC"/>
    <w:rsid w:val="007868F7"/>
    <w:rsid w:val="00C156EF"/>
    <w:rsid w:val="00D7494B"/>
    <w:rsid w:val="00DB32EF"/>
    <w:rsid w:val="00ED5027"/>
    <w:rsid w:val="00FE2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C7D7"/>
  <w15:chartTrackingRefBased/>
  <w15:docId w15:val="{AECF860D-143A-455B-BC41-F590D0DD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2E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B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32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32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32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32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32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32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32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32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32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32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32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32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32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32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32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32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32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32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32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32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32EF"/>
    <w:rPr>
      <w:i/>
      <w:iCs/>
      <w:color w:val="404040" w:themeColor="text1" w:themeTint="BF"/>
    </w:rPr>
  </w:style>
  <w:style w:type="paragraph" w:styleId="Sraopastraipa">
    <w:name w:val="List Paragraph"/>
    <w:basedOn w:val="prastasis"/>
    <w:uiPriority w:val="34"/>
    <w:qFormat/>
    <w:rsid w:val="00DB32EF"/>
    <w:pPr>
      <w:ind w:left="720"/>
      <w:contextualSpacing/>
    </w:pPr>
  </w:style>
  <w:style w:type="character" w:styleId="Rykuspabraukimas">
    <w:name w:val="Intense Emphasis"/>
    <w:basedOn w:val="Numatytasispastraiposriftas"/>
    <w:uiPriority w:val="21"/>
    <w:qFormat/>
    <w:rsid w:val="00DB32EF"/>
    <w:rPr>
      <w:i/>
      <w:iCs/>
      <w:color w:val="0F4761" w:themeColor="accent1" w:themeShade="BF"/>
    </w:rPr>
  </w:style>
  <w:style w:type="paragraph" w:styleId="Iskirtacitata">
    <w:name w:val="Intense Quote"/>
    <w:basedOn w:val="prastasis"/>
    <w:next w:val="prastasis"/>
    <w:link w:val="IskirtacitataDiagrama"/>
    <w:uiPriority w:val="30"/>
    <w:qFormat/>
    <w:rsid w:val="00DB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32EF"/>
    <w:rPr>
      <w:i/>
      <w:iCs/>
      <w:color w:val="0F4761" w:themeColor="accent1" w:themeShade="BF"/>
    </w:rPr>
  </w:style>
  <w:style w:type="character" w:styleId="Rykinuoroda">
    <w:name w:val="Intense Reference"/>
    <w:basedOn w:val="Numatytasispastraiposriftas"/>
    <w:uiPriority w:val="32"/>
    <w:qFormat/>
    <w:rsid w:val="00DB32EF"/>
    <w:rPr>
      <w:b/>
      <w:bCs/>
      <w:smallCaps/>
      <w:color w:val="0F4761" w:themeColor="accent1" w:themeShade="BF"/>
      <w:spacing w:val="5"/>
    </w:rPr>
  </w:style>
  <w:style w:type="character" w:styleId="Hipersaitas">
    <w:name w:val="Hyperlink"/>
    <w:basedOn w:val="Numatytasispastraiposriftas"/>
    <w:uiPriority w:val="99"/>
    <w:unhideWhenUsed/>
    <w:rsid w:val="00DB32EF"/>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B32EF"/>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B32EF"/>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B3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2292</Words>
  <Characters>16601</Characters>
  <Application>Microsoft Office Word</Application>
  <DocSecurity>0</DocSecurity>
  <Lines>790</Lines>
  <Paragraphs>147</Paragraphs>
  <ScaleCrop>false</ScaleCrop>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Rutkauskas</dc:creator>
  <cp:keywords/>
  <dc:description/>
  <cp:lastModifiedBy>Rolandas Rutkauskas</cp:lastModifiedBy>
  <cp:revision>4</cp:revision>
  <dcterms:created xsi:type="dcterms:W3CDTF">2026-03-18T08:33:00Z</dcterms:created>
  <dcterms:modified xsi:type="dcterms:W3CDTF">2026-04-09T08:35:00Z</dcterms:modified>
</cp:coreProperties>
</file>