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D27EA" w14:textId="7C3A011C" w:rsidR="00D94EEE" w:rsidRPr="00762BCD" w:rsidRDefault="00D94EEE" w:rsidP="00D94EEE">
      <w:pPr>
        <w:pStyle w:val="Antrat2"/>
        <w:tabs>
          <w:tab w:val="right" w:pos="709"/>
        </w:tabs>
        <w:jc w:val="right"/>
        <w:rPr>
          <w:rFonts w:ascii="Times New Roman" w:eastAsia="Calibri" w:hAnsi="Times New Roman" w:cs="Times New Roman"/>
          <w:color w:val="auto"/>
          <w:sz w:val="24"/>
          <w:szCs w:val="24"/>
        </w:rPr>
      </w:pPr>
      <w:bookmarkStart w:id="0" w:name="_Ref39484039"/>
      <w:bookmarkStart w:id="1" w:name="_Ref40278562"/>
      <w:bookmarkStart w:id="2" w:name="_Toc134433522"/>
      <w:r w:rsidRPr="222803E8">
        <w:rPr>
          <w:rFonts w:ascii="Times New Roman" w:eastAsia="Calibri" w:hAnsi="Times New Roman" w:cs="Times New Roman"/>
          <w:color w:val="auto"/>
          <w:sz w:val="24"/>
          <w:szCs w:val="24"/>
        </w:rPr>
        <w:t xml:space="preserve">Pirkimo sąlygų </w:t>
      </w:r>
      <w:proofErr w:type="spellStart"/>
      <w:r w:rsidR="60D1C4B8" w:rsidRPr="222803E8">
        <w:rPr>
          <w:rFonts w:ascii="Times New Roman" w:eastAsia="Calibri" w:hAnsi="Times New Roman" w:cs="Times New Roman"/>
          <w:color w:val="auto"/>
          <w:sz w:val="24"/>
          <w:szCs w:val="24"/>
        </w:rPr>
        <w:t>xxxxxxxx</w:t>
      </w:r>
      <w:proofErr w:type="spellEnd"/>
      <w:r w:rsidRPr="222803E8">
        <w:rPr>
          <w:rFonts w:ascii="Times New Roman" w:eastAsia="Calibri" w:hAnsi="Times New Roman" w:cs="Times New Roman"/>
          <w:color w:val="auto"/>
          <w:sz w:val="24"/>
          <w:szCs w:val="24"/>
        </w:rPr>
        <w:t xml:space="preserve"> priedas „Tiekėjų kvalifikacijos reikalavimai“</w:t>
      </w:r>
      <w:bookmarkEnd w:id="0"/>
      <w:bookmarkEnd w:id="1"/>
      <w:bookmarkEnd w:id="2"/>
    </w:p>
    <w:p w14:paraId="1655FB0F" w14:textId="77777777" w:rsidR="00D94EEE" w:rsidRDefault="00D94EEE" w:rsidP="00513658">
      <w:pPr>
        <w:jc w:val="center"/>
        <w:rPr>
          <w:rFonts w:ascii="Times New Roman" w:hAnsi="Times New Roman" w:cs="Times New Roman"/>
          <w:b/>
          <w:bCs/>
          <w:sz w:val="24"/>
          <w:szCs w:val="24"/>
        </w:rPr>
      </w:pPr>
    </w:p>
    <w:p w14:paraId="13E27494" w14:textId="3CFB5210" w:rsidR="009B04B1" w:rsidRDefault="00D94EEE" w:rsidP="00D94EEE">
      <w:pPr>
        <w:jc w:val="center"/>
        <w:rPr>
          <w:rFonts w:ascii="Times New Roman" w:hAnsi="Times New Roman" w:cs="Times New Roman"/>
          <w:b/>
          <w:bCs/>
          <w:sz w:val="24"/>
          <w:szCs w:val="24"/>
        </w:rPr>
      </w:pPr>
      <w:r>
        <w:rPr>
          <w:rFonts w:ascii="Times New Roman" w:hAnsi="Times New Roman" w:cs="Times New Roman"/>
          <w:b/>
          <w:bCs/>
          <w:sz w:val="24"/>
          <w:szCs w:val="24"/>
        </w:rPr>
        <w:t>TIEKĖJŲ KVALIFIKACIJOS REIKALAVIMAI</w:t>
      </w:r>
    </w:p>
    <w:p w14:paraId="108803CF" w14:textId="77777777" w:rsidR="00D94EEE" w:rsidRDefault="00D94EEE" w:rsidP="00D94EEE">
      <w:pPr>
        <w:jc w:val="center"/>
      </w:pPr>
    </w:p>
    <w:p w14:paraId="2727A89D" w14:textId="635219FB" w:rsidR="00513658" w:rsidRPr="00AD672D" w:rsidRDefault="00513658" w:rsidP="00513658">
      <w:pPr>
        <w:pStyle w:val="Betarp"/>
        <w:spacing w:line="276" w:lineRule="auto"/>
        <w:ind w:left="113"/>
        <w:jc w:val="both"/>
        <w:rPr>
          <w:rFonts w:ascii="Times New Roman" w:hAnsi="Times New Roman" w:cs="Times New Roman"/>
          <w:b/>
          <w:bCs/>
          <w:sz w:val="24"/>
          <w:szCs w:val="24"/>
        </w:rPr>
      </w:pPr>
      <w:r w:rsidRPr="00AD672D">
        <w:rPr>
          <w:rFonts w:ascii="Times New Roman" w:hAnsi="Times New Roman" w:cs="Times New Roman"/>
          <w:b/>
          <w:bCs/>
          <w:sz w:val="24"/>
          <w:szCs w:val="24"/>
        </w:rPr>
        <w:t xml:space="preserve">                                                                        </w:t>
      </w:r>
      <w:r w:rsidR="00D94EEE">
        <w:rPr>
          <w:rFonts w:ascii="Times New Roman" w:hAnsi="Times New Roman" w:cs="Times New Roman"/>
          <w:b/>
          <w:bCs/>
          <w:sz w:val="24"/>
          <w:szCs w:val="24"/>
        </w:rPr>
        <w:t xml:space="preserve">       1</w:t>
      </w:r>
      <w:r w:rsidRPr="00AD672D">
        <w:rPr>
          <w:rFonts w:ascii="Times New Roman" w:hAnsi="Times New Roman" w:cs="Times New Roman"/>
          <w:b/>
          <w:bCs/>
          <w:sz w:val="24"/>
          <w:szCs w:val="24"/>
        </w:rPr>
        <w:t xml:space="preserve"> lentelė. Tiekėjų kvalifikacijos reikalavimai</w:t>
      </w:r>
    </w:p>
    <w:tbl>
      <w:tblPr>
        <w:tblW w:w="977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76"/>
        <w:gridCol w:w="4047"/>
        <w:gridCol w:w="4853"/>
      </w:tblGrid>
      <w:tr w:rsidR="00513658" w:rsidRPr="0047442D" w14:paraId="11A1D0D8" w14:textId="77777777" w:rsidTr="7AEC6932">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377C5A6A" w14:textId="77777777" w:rsidR="00513658" w:rsidRPr="0047442D" w:rsidRDefault="00513658" w:rsidP="00F34F4A">
            <w:pPr>
              <w:pStyle w:val="Betarp"/>
              <w:spacing w:line="276" w:lineRule="auto"/>
              <w:jc w:val="both"/>
              <w:rPr>
                <w:rFonts w:ascii="Times New Roman" w:hAnsi="Times New Roman" w:cs="Times New Roman"/>
                <w:sz w:val="24"/>
                <w:szCs w:val="24"/>
              </w:rPr>
            </w:pPr>
            <w:bookmarkStart w:id="3" w:name="_Hlk494958666"/>
            <w:r w:rsidRPr="0047442D">
              <w:rPr>
                <w:rFonts w:ascii="Times New Roman" w:hAnsi="Times New Roman" w:cs="Times New Roman"/>
                <w:sz w:val="24"/>
                <w:szCs w:val="24"/>
              </w:rPr>
              <w:t>Eil. Nr.</w:t>
            </w:r>
          </w:p>
        </w:tc>
        <w:tc>
          <w:tcPr>
            <w:tcW w:w="4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38A56402" w14:textId="77777777" w:rsidR="00513658" w:rsidRPr="0047442D" w:rsidRDefault="00513658" w:rsidP="00F34F4A">
            <w:pPr>
              <w:pStyle w:val="Betarp"/>
              <w:spacing w:line="276" w:lineRule="auto"/>
              <w:jc w:val="both"/>
              <w:rPr>
                <w:rFonts w:ascii="Times New Roman" w:hAnsi="Times New Roman" w:cs="Times New Roman"/>
                <w:sz w:val="24"/>
                <w:szCs w:val="24"/>
              </w:rPr>
            </w:pPr>
            <w:r w:rsidRPr="0047442D">
              <w:rPr>
                <w:rFonts w:ascii="Times New Roman" w:hAnsi="Times New Roman" w:cs="Times New Roman"/>
                <w:sz w:val="24"/>
                <w:szCs w:val="24"/>
              </w:rPr>
              <w:t>Kvalifikacijos reikalavimai</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3BFA6FDA" w14:textId="77777777" w:rsidR="00513658" w:rsidRPr="0047442D" w:rsidRDefault="00513658" w:rsidP="00F34F4A">
            <w:pPr>
              <w:pStyle w:val="Betarp"/>
              <w:spacing w:line="276" w:lineRule="auto"/>
              <w:jc w:val="both"/>
              <w:rPr>
                <w:rFonts w:ascii="Times New Roman" w:hAnsi="Times New Roman" w:cs="Times New Roman"/>
                <w:sz w:val="24"/>
                <w:szCs w:val="24"/>
              </w:rPr>
            </w:pPr>
            <w:r w:rsidRPr="0047442D">
              <w:rPr>
                <w:rFonts w:ascii="Times New Roman" w:hAnsi="Times New Roman" w:cs="Times New Roman"/>
                <w:sz w:val="24"/>
                <w:szCs w:val="24"/>
              </w:rPr>
              <w:t>Kvalifikacijos reikalavimus įrodantys dokumentai</w:t>
            </w:r>
          </w:p>
        </w:tc>
      </w:tr>
      <w:tr w:rsidR="00513658" w:rsidRPr="0047442D" w14:paraId="40207B6E" w14:textId="77777777" w:rsidTr="7AEC6932">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5AF5C" w14:textId="77777777" w:rsidR="00513658" w:rsidRPr="0047442D" w:rsidRDefault="00513658" w:rsidP="00F34F4A">
            <w:pPr>
              <w:pStyle w:val="Betarp"/>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4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51B70" w14:textId="66EBA2E4" w:rsidR="00513658" w:rsidRPr="0047442D" w:rsidRDefault="00513658" w:rsidP="00F34F4A">
            <w:pPr>
              <w:pStyle w:val="Betarp"/>
              <w:spacing w:line="276" w:lineRule="auto"/>
              <w:jc w:val="both"/>
              <w:rPr>
                <w:rFonts w:ascii="Times New Roman" w:hAnsi="Times New Roman" w:cs="Times New Roman"/>
                <w:sz w:val="24"/>
                <w:szCs w:val="24"/>
              </w:rPr>
            </w:pPr>
            <w:r w:rsidRPr="7AEC6932">
              <w:rPr>
                <w:rFonts w:ascii="Times New Roman" w:hAnsi="Times New Roman" w:cs="Times New Roman"/>
                <w:sz w:val="24"/>
                <w:szCs w:val="24"/>
              </w:rPr>
              <w:t xml:space="preserve">Vidutinės metinės visos veiklos pajamos per paskutinius 2 finansinius metus, o jei ūkio subjektas įregistruotas vėliau ar veiklą pradėjo vėliau – nuo ūkio subjekto įregistravimo ar veiklos pradžios, yra ne mažesnės kaip </w:t>
            </w:r>
            <w:proofErr w:type="spellStart"/>
            <w:r w:rsidR="0D0C3C19" w:rsidRPr="7AEC6932">
              <w:rPr>
                <w:rFonts w:ascii="Times New Roman" w:hAnsi="Times New Roman" w:cs="Times New Roman"/>
                <w:sz w:val="24"/>
                <w:szCs w:val="24"/>
              </w:rPr>
              <w:t>xxxxxxxxxxxxxxxxxx</w:t>
            </w:r>
            <w:proofErr w:type="spellEnd"/>
            <w:r w:rsidRPr="7AEC6932">
              <w:rPr>
                <w:rFonts w:ascii="Times New Roman" w:hAnsi="Times New Roman" w:cs="Times New Roman"/>
                <w:sz w:val="24"/>
                <w:szCs w:val="24"/>
              </w:rPr>
              <w:t xml:space="preserve"> Eur </w:t>
            </w:r>
            <w:r w:rsidR="000376B6" w:rsidRPr="7AEC6932">
              <w:rPr>
                <w:rFonts w:ascii="Times New Roman" w:hAnsi="Times New Roman" w:cs="Times New Roman"/>
                <w:sz w:val="24"/>
                <w:szCs w:val="24"/>
              </w:rPr>
              <w:t>su</w:t>
            </w:r>
            <w:r w:rsidRPr="7AEC6932">
              <w:rPr>
                <w:rFonts w:ascii="Times New Roman" w:hAnsi="Times New Roman" w:cs="Times New Roman"/>
                <w:sz w:val="24"/>
                <w:szCs w:val="24"/>
              </w:rPr>
              <w:t xml:space="preserve"> PVM</w:t>
            </w:r>
            <w:r w:rsidR="000376B6" w:rsidRPr="7AEC6932">
              <w:rPr>
                <w:rFonts w:ascii="Times New Roman" w:hAnsi="Times New Roman" w:cs="Times New Roman"/>
                <w:sz w:val="24"/>
                <w:szCs w:val="24"/>
              </w:rPr>
              <w:t>.</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A684F" w14:textId="77777777" w:rsidR="00513658" w:rsidRDefault="00513658" w:rsidP="00F34F4A">
            <w:pPr>
              <w:pStyle w:val="Betarp"/>
              <w:spacing w:line="276" w:lineRule="auto"/>
              <w:jc w:val="both"/>
              <w:rPr>
                <w:rFonts w:ascii="Times New Roman" w:hAnsi="Times New Roman" w:cs="Times New Roman"/>
                <w:sz w:val="24"/>
                <w:szCs w:val="24"/>
              </w:rPr>
            </w:pPr>
            <w:r w:rsidRPr="005E2717">
              <w:rPr>
                <w:rFonts w:ascii="Times New Roman" w:hAnsi="Times New Roman" w:cs="Times New Roman"/>
                <w:sz w:val="24"/>
                <w:szCs w:val="24"/>
              </w:rPr>
              <w:t>Pateikiamas paskutinių 2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4B089A0" w14:textId="77777777" w:rsidR="00513658" w:rsidRPr="00BF22D1" w:rsidRDefault="00513658" w:rsidP="00F34F4A">
            <w:pPr>
              <w:pStyle w:val="Betarp"/>
              <w:spacing w:line="276" w:lineRule="auto"/>
              <w:jc w:val="both"/>
              <w:rPr>
                <w:rFonts w:ascii="Times New Roman" w:hAnsi="Times New Roman" w:cs="Times New Roman"/>
                <w:i/>
                <w:sz w:val="24"/>
                <w:szCs w:val="24"/>
              </w:rPr>
            </w:pPr>
            <w:r w:rsidRPr="00BF22D1">
              <w:rPr>
                <w:rFonts w:ascii="Times New Roman" w:hAnsi="Times New Roman" w:cs="Times New Roman"/>
                <w:i/>
                <w:sz w:val="24"/>
                <w:szCs w:val="24"/>
              </w:rPr>
              <w:t xml:space="preserve"> Jeigu tiekėjas dėl pateisinamų priežasčių negali pateikti pirkimo vykdytojo reikalaujamų jo finansinį ir ekonominį pajėgumą įrodančių dokumentų, jis turi teisę pateikti kitus pirkimo vykdytojui priimtinus dokumentus</w:t>
            </w:r>
            <w:r>
              <w:rPr>
                <w:rFonts w:ascii="Times New Roman" w:hAnsi="Times New Roman" w:cs="Times New Roman"/>
                <w:i/>
                <w:sz w:val="24"/>
                <w:szCs w:val="24"/>
              </w:rPr>
              <w:t>.</w:t>
            </w:r>
          </w:p>
          <w:p w14:paraId="039C7A53" w14:textId="77777777" w:rsidR="00513658" w:rsidRDefault="00513658" w:rsidP="00F34F4A">
            <w:pPr>
              <w:pStyle w:val="Betarp"/>
              <w:spacing w:line="276" w:lineRule="auto"/>
              <w:jc w:val="both"/>
              <w:rPr>
                <w:rFonts w:ascii="Times New Roman" w:hAnsi="Times New Roman" w:cs="Times New Roman"/>
                <w:sz w:val="24"/>
                <w:szCs w:val="24"/>
              </w:rPr>
            </w:pPr>
            <w:r w:rsidRPr="007748D9">
              <w:rPr>
                <w:rFonts w:ascii="Times New Roman" w:hAnsi="Times New Roman" w:cs="Times New Roman"/>
                <w:i/>
                <w:sz w:val="24"/>
                <w:szCs w:val="24"/>
              </w:rPr>
              <w:t xml:space="preserve"> Pateikiamas skenuotas dokumentas elektroninėje formoje.</w:t>
            </w:r>
            <w:r w:rsidRPr="0047442D">
              <w:rPr>
                <w:rFonts w:ascii="Times New Roman" w:hAnsi="Times New Roman" w:cs="Times New Roman"/>
                <w:sz w:val="24"/>
                <w:szCs w:val="24"/>
              </w:rPr>
              <w:t xml:space="preserve"> </w:t>
            </w:r>
          </w:p>
          <w:p w14:paraId="250D624C" w14:textId="77777777" w:rsidR="00513658" w:rsidRPr="005E2717" w:rsidRDefault="00513658" w:rsidP="00F34F4A">
            <w:pPr>
              <w:spacing w:after="0" w:line="256" w:lineRule="auto"/>
              <w:jc w:val="both"/>
              <w:rPr>
                <w:rFonts w:ascii="Times New Roman" w:hAnsi="Times New Roman" w:cs="Times New Roman"/>
                <w:i/>
                <w:sz w:val="24"/>
                <w:szCs w:val="24"/>
              </w:rPr>
            </w:pPr>
            <w:r w:rsidRPr="005E2717">
              <w:rPr>
                <w:rFonts w:ascii="Times New Roman" w:hAnsi="Times New Roman" w:cs="Times New Roman"/>
                <w:i/>
                <w:sz w:val="24"/>
                <w:szCs w:val="24"/>
              </w:rPr>
              <w:t>Jeigu pasi</w:t>
            </w:r>
            <w:r w:rsidRPr="005E2717">
              <w:rPr>
                <w:rFonts w:ascii="Times New Roman" w:hAnsi="Times New Roman" w:cs="Times New Roman" w:hint="eastAsia"/>
                <w:i/>
                <w:sz w:val="24"/>
                <w:szCs w:val="24"/>
              </w:rPr>
              <w:t>ū</w:t>
            </w:r>
            <w:r w:rsidRPr="005E2717">
              <w:rPr>
                <w:rFonts w:ascii="Times New Roman" w:hAnsi="Times New Roman" w:cs="Times New Roman"/>
                <w:i/>
                <w:sz w:val="24"/>
                <w:szCs w:val="24"/>
              </w:rPr>
              <w:t>lym</w:t>
            </w:r>
            <w:r w:rsidRPr="005E2717">
              <w:rPr>
                <w:rFonts w:ascii="Times New Roman" w:hAnsi="Times New Roman" w:cs="Times New Roman" w:hint="eastAsia"/>
                <w:i/>
                <w:sz w:val="24"/>
                <w:szCs w:val="24"/>
              </w:rPr>
              <w:t>ą</w:t>
            </w:r>
            <w:r w:rsidRPr="005E2717">
              <w:rPr>
                <w:rFonts w:ascii="Times New Roman" w:hAnsi="Times New Roman" w:cs="Times New Roman"/>
                <w:i/>
                <w:sz w:val="24"/>
                <w:szCs w:val="24"/>
              </w:rPr>
              <w:t xml:space="preserve"> teikia </w:t>
            </w:r>
            <w:r w:rsidRPr="005E2717">
              <w:rPr>
                <w:rFonts w:ascii="Times New Roman" w:hAnsi="Times New Roman" w:cs="Times New Roman" w:hint="eastAsia"/>
                <w:i/>
                <w:sz w:val="24"/>
                <w:szCs w:val="24"/>
              </w:rPr>
              <w:t>ū</w:t>
            </w:r>
            <w:r w:rsidRPr="005E2717">
              <w:rPr>
                <w:rFonts w:ascii="Times New Roman" w:hAnsi="Times New Roman" w:cs="Times New Roman"/>
                <w:i/>
                <w:sz w:val="24"/>
                <w:szCs w:val="24"/>
              </w:rPr>
              <w:t>kio subjekt</w:t>
            </w:r>
            <w:r w:rsidRPr="005E2717">
              <w:rPr>
                <w:rFonts w:ascii="Times New Roman" w:hAnsi="Times New Roman" w:cs="Times New Roman" w:hint="eastAsia"/>
                <w:i/>
                <w:sz w:val="24"/>
                <w:szCs w:val="24"/>
              </w:rPr>
              <w:t>ų</w:t>
            </w:r>
            <w:r w:rsidRPr="005E2717">
              <w:rPr>
                <w:rFonts w:ascii="Times New Roman" w:hAnsi="Times New Roman" w:cs="Times New Roman"/>
                <w:i/>
                <w:sz w:val="24"/>
                <w:szCs w:val="24"/>
              </w:rPr>
              <w:t xml:space="preserve"> grup</w:t>
            </w:r>
            <w:r w:rsidRPr="005E2717">
              <w:rPr>
                <w:rFonts w:ascii="Times New Roman" w:hAnsi="Times New Roman" w:cs="Times New Roman" w:hint="eastAsia"/>
                <w:i/>
                <w:sz w:val="24"/>
                <w:szCs w:val="24"/>
              </w:rPr>
              <w:t>ė</w:t>
            </w:r>
            <w:r w:rsidRPr="005E2717">
              <w:rPr>
                <w:rFonts w:ascii="Times New Roman" w:hAnsi="Times New Roman" w:cs="Times New Roman"/>
                <w:i/>
                <w:sz w:val="24"/>
                <w:szCs w:val="24"/>
              </w:rPr>
              <w:t xml:space="preserve"> </w:t>
            </w:r>
            <w:r w:rsidRPr="005E2717">
              <w:rPr>
                <w:rFonts w:ascii="Times New Roman" w:hAnsi="Times New Roman" w:cs="Times New Roman" w:hint="eastAsia"/>
                <w:i/>
                <w:sz w:val="24"/>
                <w:szCs w:val="24"/>
              </w:rPr>
              <w:t>–</w:t>
            </w:r>
            <w:r w:rsidRPr="005E2717">
              <w:rPr>
                <w:rFonts w:ascii="Times New Roman" w:hAnsi="Times New Roman" w:cs="Times New Roman"/>
                <w:i/>
                <w:sz w:val="24"/>
                <w:szCs w:val="24"/>
              </w:rPr>
              <w:t xml:space="preserve"> reikalavim</w:t>
            </w:r>
            <w:r w:rsidRPr="005E2717">
              <w:rPr>
                <w:rFonts w:ascii="Times New Roman" w:hAnsi="Times New Roman" w:cs="Times New Roman" w:hint="eastAsia"/>
                <w:i/>
                <w:sz w:val="24"/>
                <w:szCs w:val="24"/>
              </w:rPr>
              <w:t>ą</w:t>
            </w:r>
            <w:r w:rsidRPr="005E2717">
              <w:rPr>
                <w:rFonts w:ascii="Times New Roman" w:hAnsi="Times New Roman" w:cs="Times New Roman"/>
                <w:i/>
                <w:sz w:val="24"/>
                <w:szCs w:val="24"/>
              </w:rPr>
              <w:t xml:space="preserve"> turi atitikti visi kartu (paj</w:t>
            </w:r>
            <w:r w:rsidRPr="005E2717">
              <w:rPr>
                <w:rFonts w:ascii="Times New Roman" w:hAnsi="Times New Roman" w:cs="Times New Roman" w:hint="eastAsia"/>
                <w:i/>
                <w:sz w:val="24"/>
                <w:szCs w:val="24"/>
              </w:rPr>
              <w:t>ė</w:t>
            </w:r>
            <w:r w:rsidRPr="005E2717">
              <w:rPr>
                <w:rFonts w:ascii="Times New Roman" w:hAnsi="Times New Roman" w:cs="Times New Roman"/>
                <w:i/>
                <w:sz w:val="24"/>
                <w:szCs w:val="24"/>
              </w:rPr>
              <w:t>gumai sumuojami);</w:t>
            </w:r>
          </w:p>
          <w:p w14:paraId="0D80D488" w14:textId="77777777" w:rsidR="00513658" w:rsidRDefault="00513658" w:rsidP="00F34F4A">
            <w:pPr>
              <w:spacing w:after="0" w:line="240" w:lineRule="auto"/>
              <w:jc w:val="both"/>
              <w:rPr>
                <w:rFonts w:ascii="Times New Roman" w:hAnsi="Times New Roman" w:cs="Times New Roman"/>
                <w:i/>
                <w:iCs/>
                <w:sz w:val="24"/>
                <w:szCs w:val="24"/>
              </w:rPr>
            </w:pPr>
            <w:r>
              <w:rPr>
                <w:rFonts w:ascii="Times New Roman" w:hAnsi="Times New Roman" w:cs="Times New Roman"/>
                <w:i/>
                <w:sz w:val="24"/>
                <w:szCs w:val="24"/>
              </w:rPr>
              <w:t>T</w:t>
            </w:r>
            <w:r w:rsidRPr="005E2717">
              <w:rPr>
                <w:rFonts w:ascii="Times New Roman" w:hAnsi="Times New Roman" w:cs="Times New Roman"/>
                <w:i/>
                <w:sz w:val="24"/>
                <w:szCs w:val="24"/>
              </w:rPr>
              <w:t>iekėjas gali remtis kitų ūkio subjektų pajėgumais: reikalavimą turi atitikti visi kartu (šių ūkio subjektų pajėgumai gali būti sumuojami su tiekėjo pajėgumais). Perkančioji organizacija reikalau</w:t>
            </w:r>
            <w:r>
              <w:rPr>
                <w:rFonts w:ascii="Times New Roman" w:hAnsi="Times New Roman" w:cs="Times New Roman"/>
                <w:i/>
                <w:sz w:val="24"/>
                <w:szCs w:val="24"/>
              </w:rPr>
              <w:t>ja</w:t>
            </w:r>
            <w:r w:rsidRPr="005E2717">
              <w:rPr>
                <w:rFonts w:ascii="Times New Roman" w:hAnsi="Times New Roman" w:cs="Times New Roman"/>
                <w:i/>
                <w:sz w:val="24"/>
                <w:szCs w:val="24"/>
              </w:rPr>
              <w:t xml:space="preserve">, kad tiekėjas ir ūkio subjektai, kurių pajėgumais remiamasi, prisiimtų solidarią atsakomybę už pirkimo sutarties įvykdymą (pateikiamas dokumentas </w:t>
            </w:r>
            <w:r w:rsidRPr="005E2717">
              <w:rPr>
                <w:rFonts w:ascii="Times New Roman" w:hAnsi="Times New Roman" w:cs="Times New Roman"/>
                <w:i/>
                <w:sz w:val="24"/>
                <w:szCs w:val="24"/>
              </w:rPr>
              <w:lastRenderedPageBreak/>
              <w:t>(sutartis ar kt.), įrodantis solidarios atsakomybės prisiėmimą pirkimo laimėjimo atveju);</w:t>
            </w:r>
          </w:p>
          <w:p w14:paraId="22660D7F" w14:textId="77777777" w:rsidR="00513658" w:rsidRPr="0047442D" w:rsidRDefault="00513658" w:rsidP="7AEC6932">
            <w:pPr>
              <w:spacing w:after="0" w:line="240" w:lineRule="auto"/>
              <w:jc w:val="both"/>
              <w:rPr>
                <w:rFonts w:ascii="Times New Roman" w:hAnsi="Times New Roman" w:cs="Times New Roman"/>
                <w:i/>
                <w:iCs/>
                <w:sz w:val="24"/>
                <w:szCs w:val="24"/>
              </w:rPr>
            </w:pPr>
            <w:r w:rsidRPr="7AEC6932">
              <w:rPr>
                <w:rFonts w:ascii="Times New Roman" w:hAnsi="Times New Roman" w:cs="Times New Roman"/>
                <w:i/>
                <w:iCs/>
                <w:sz w:val="24"/>
                <w:szCs w:val="24"/>
              </w:rPr>
              <w:t>Subtiekėjams šis reikalavimas nenustatomas.</w:t>
            </w:r>
          </w:p>
        </w:tc>
      </w:tr>
      <w:tr w:rsidR="00513658" w:rsidRPr="0047442D" w14:paraId="0B8CE2AA" w14:textId="77777777" w:rsidTr="7AEC6932">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462F6" w14:textId="6E9A59FC" w:rsidR="00513658" w:rsidRPr="0047442D" w:rsidRDefault="0813588A" w:rsidP="00F34F4A">
            <w:pPr>
              <w:pStyle w:val="Betarp"/>
              <w:spacing w:line="276" w:lineRule="auto"/>
              <w:rPr>
                <w:rFonts w:ascii="Times New Roman" w:hAnsi="Times New Roman" w:cs="Times New Roman"/>
                <w:sz w:val="24"/>
                <w:szCs w:val="24"/>
              </w:rPr>
            </w:pPr>
            <w:bookmarkStart w:id="4" w:name="_Hlk115961235"/>
            <w:bookmarkEnd w:id="4"/>
            <w:r w:rsidRPr="7AEC6932">
              <w:rPr>
                <w:rFonts w:ascii="Times New Roman" w:hAnsi="Times New Roman" w:cs="Times New Roman"/>
                <w:sz w:val="24"/>
                <w:szCs w:val="24"/>
              </w:rPr>
              <w:lastRenderedPageBreak/>
              <w:t>2</w:t>
            </w:r>
            <w:r w:rsidR="00513658" w:rsidRPr="7AEC6932">
              <w:rPr>
                <w:rFonts w:ascii="Times New Roman" w:hAnsi="Times New Roman" w:cs="Times New Roman"/>
                <w:sz w:val="24"/>
                <w:szCs w:val="24"/>
              </w:rPr>
              <w:t>.</w:t>
            </w:r>
          </w:p>
        </w:tc>
        <w:tc>
          <w:tcPr>
            <w:tcW w:w="4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5194E" w14:textId="77777777" w:rsidR="00513658" w:rsidRDefault="00513658" w:rsidP="00F34F4A">
            <w:pPr>
              <w:pStyle w:val="Betarp"/>
              <w:spacing w:line="276" w:lineRule="auto"/>
              <w:jc w:val="both"/>
              <w:rPr>
                <w:rFonts w:ascii="Times New Roman" w:hAnsi="Times New Roman" w:cs="Times New Roman"/>
                <w:sz w:val="24"/>
                <w:szCs w:val="24"/>
              </w:rPr>
            </w:pPr>
            <w:r w:rsidRPr="002F5183">
              <w:rPr>
                <w:rFonts w:ascii="Times New Roman" w:hAnsi="Times New Roman" w:cs="Times New Roman"/>
                <w:sz w:val="24"/>
                <w:szCs w:val="24"/>
              </w:rPr>
              <w:t>Tiekėjas turi įrankius, įrenginius ir technines priemones, reikalingas sutarčiai vykdyti:</w:t>
            </w:r>
          </w:p>
          <w:p w14:paraId="2D78D068" w14:textId="77777777" w:rsidR="00513658" w:rsidRPr="0047442D" w:rsidRDefault="00513658" w:rsidP="00513658">
            <w:pPr>
              <w:pStyle w:val="Betarp"/>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n</w:t>
            </w:r>
            <w:r w:rsidRPr="0047442D">
              <w:rPr>
                <w:rFonts w:ascii="Times New Roman" w:hAnsi="Times New Roman" w:cs="Times New Roman"/>
                <w:sz w:val="24"/>
                <w:szCs w:val="24"/>
              </w:rPr>
              <w:t>e mažiau kaip 1 traktorių;</w:t>
            </w:r>
          </w:p>
          <w:p w14:paraId="0EDFDE0E" w14:textId="77777777" w:rsidR="00513658" w:rsidRPr="0047442D" w:rsidRDefault="00513658" w:rsidP="00513658">
            <w:pPr>
              <w:pStyle w:val="Betarp"/>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n</w:t>
            </w:r>
            <w:r w:rsidRPr="0047442D">
              <w:rPr>
                <w:rFonts w:ascii="Times New Roman" w:hAnsi="Times New Roman" w:cs="Times New Roman"/>
                <w:sz w:val="24"/>
                <w:szCs w:val="24"/>
              </w:rPr>
              <w:t>e mažiau kaip 1</w:t>
            </w:r>
            <w:r>
              <w:rPr>
                <w:rFonts w:ascii="Times New Roman" w:hAnsi="Times New Roman" w:cs="Times New Roman"/>
                <w:sz w:val="24"/>
                <w:szCs w:val="24"/>
              </w:rPr>
              <w:t xml:space="preserve"> </w:t>
            </w:r>
            <w:proofErr w:type="spellStart"/>
            <w:r w:rsidRPr="0047442D">
              <w:rPr>
                <w:rFonts w:ascii="Times New Roman" w:hAnsi="Times New Roman" w:cs="Times New Roman"/>
                <w:sz w:val="24"/>
                <w:szCs w:val="24"/>
              </w:rPr>
              <w:t>medvežę</w:t>
            </w:r>
            <w:proofErr w:type="spellEnd"/>
            <w:r w:rsidRPr="0047442D">
              <w:rPr>
                <w:rFonts w:ascii="Times New Roman" w:hAnsi="Times New Roman" w:cs="Times New Roman"/>
                <w:sz w:val="24"/>
                <w:szCs w:val="24"/>
              </w:rPr>
              <w:t xml:space="preserve">   </w:t>
            </w:r>
            <w:r>
              <w:rPr>
                <w:rFonts w:ascii="Times New Roman" w:hAnsi="Times New Roman" w:cs="Times New Roman"/>
                <w:sz w:val="24"/>
                <w:szCs w:val="24"/>
              </w:rPr>
              <w:t xml:space="preserve">traktoriaus </w:t>
            </w:r>
            <w:r w:rsidRPr="0047442D">
              <w:rPr>
                <w:rFonts w:ascii="Times New Roman" w:hAnsi="Times New Roman" w:cs="Times New Roman"/>
                <w:sz w:val="24"/>
                <w:szCs w:val="24"/>
              </w:rPr>
              <w:t>priekabą</w:t>
            </w:r>
            <w:r>
              <w:rPr>
                <w:rFonts w:ascii="Times New Roman" w:hAnsi="Times New Roman" w:cs="Times New Roman"/>
                <w:sz w:val="24"/>
                <w:szCs w:val="24"/>
              </w:rPr>
              <w:t xml:space="preserve"> su </w:t>
            </w:r>
            <w:proofErr w:type="spellStart"/>
            <w:r>
              <w:rPr>
                <w:rFonts w:ascii="Times New Roman" w:hAnsi="Times New Roman" w:cs="Times New Roman"/>
                <w:sz w:val="24"/>
                <w:szCs w:val="24"/>
              </w:rPr>
              <w:t>hidromanipuliatoriumi</w:t>
            </w:r>
            <w:proofErr w:type="spellEnd"/>
            <w:r w:rsidRPr="0047442D">
              <w:rPr>
                <w:rFonts w:ascii="Times New Roman" w:hAnsi="Times New Roman" w:cs="Times New Roman"/>
                <w:sz w:val="24"/>
                <w:szCs w:val="24"/>
              </w:rPr>
              <w:t>.</w:t>
            </w:r>
          </w:p>
          <w:p w14:paraId="3D56825F" w14:textId="77777777" w:rsidR="00513658" w:rsidRPr="0047442D" w:rsidRDefault="00513658" w:rsidP="00513658">
            <w:pPr>
              <w:pStyle w:val="Betarp"/>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n</w:t>
            </w:r>
            <w:r w:rsidRPr="00F25634">
              <w:rPr>
                <w:rFonts w:ascii="Times New Roman" w:hAnsi="Times New Roman" w:cs="Times New Roman"/>
                <w:sz w:val="24"/>
                <w:szCs w:val="24"/>
              </w:rPr>
              <w:t>e mažiau kaip vien</w:t>
            </w:r>
            <w:r>
              <w:rPr>
                <w:rFonts w:ascii="Times New Roman" w:hAnsi="Times New Roman" w:cs="Times New Roman"/>
                <w:sz w:val="24"/>
                <w:szCs w:val="24"/>
              </w:rPr>
              <w:t>ą</w:t>
            </w:r>
            <w:r w:rsidRPr="00F25634">
              <w:rPr>
                <w:rFonts w:ascii="Times New Roman" w:hAnsi="Times New Roman" w:cs="Times New Roman"/>
                <w:sz w:val="24"/>
                <w:szCs w:val="24"/>
              </w:rPr>
              <w:t xml:space="preserve"> vikšrin</w:t>
            </w:r>
            <w:r>
              <w:rPr>
                <w:rFonts w:ascii="Times New Roman" w:hAnsi="Times New Roman" w:cs="Times New Roman"/>
                <w:sz w:val="24"/>
                <w:szCs w:val="24"/>
              </w:rPr>
              <w:t>į</w:t>
            </w:r>
            <w:r w:rsidRPr="00F25634">
              <w:rPr>
                <w:rFonts w:ascii="Times New Roman" w:hAnsi="Times New Roman" w:cs="Times New Roman"/>
                <w:sz w:val="24"/>
                <w:szCs w:val="24"/>
              </w:rPr>
              <w:t xml:space="preserve"> ekskavatori</w:t>
            </w:r>
            <w:r>
              <w:rPr>
                <w:rFonts w:ascii="Times New Roman" w:hAnsi="Times New Roman" w:cs="Times New Roman"/>
                <w:sz w:val="24"/>
                <w:szCs w:val="24"/>
              </w:rPr>
              <w:t>ų</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454B2" w14:textId="77777777" w:rsidR="00513658" w:rsidRDefault="00513658" w:rsidP="00F34F4A">
            <w:pPr>
              <w:pStyle w:val="Betarp"/>
              <w:spacing w:line="276" w:lineRule="auto"/>
              <w:jc w:val="both"/>
              <w:rPr>
                <w:rFonts w:ascii="Times New Roman" w:hAnsi="Times New Roman" w:cs="Times New Roman"/>
                <w:sz w:val="24"/>
                <w:szCs w:val="24"/>
              </w:rPr>
            </w:pPr>
            <w:r w:rsidRPr="0047442D">
              <w:rPr>
                <w:rFonts w:ascii="Times New Roman" w:hAnsi="Times New Roman" w:cs="Times New Roman"/>
                <w:sz w:val="24"/>
                <w:szCs w:val="24"/>
              </w:rPr>
              <w:t>Pateikiama:</w:t>
            </w:r>
          </w:p>
          <w:p w14:paraId="7EC216DD" w14:textId="77777777" w:rsidR="00513658" w:rsidRPr="002F5183" w:rsidRDefault="00513658" w:rsidP="00F34F4A">
            <w:pPr>
              <w:pStyle w:val="Betarp"/>
              <w:spacing w:line="276" w:lineRule="auto"/>
              <w:jc w:val="both"/>
              <w:rPr>
                <w:rFonts w:ascii="Times New Roman" w:hAnsi="Times New Roman" w:cs="Times New Roman"/>
                <w:sz w:val="24"/>
                <w:szCs w:val="24"/>
              </w:rPr>
            </w:pPr>
            <w:r w:rsidRPr="002F5183">
              <w:rPr>
                <w:rFonts w:ascii="Times New Roman" w:hAnsi="Times New Roman" w:cs="Times New Roman"/>
                <w:sz w:val="24"/>
                <w:szCs w:val="24"/>
              </w:rPr>
              <w:t>Pažyma apie tiekėjo sutarčiai vykdyti turimus įrankius, įrenginius, technines priemones,</w:t>
            </w:r>
          </w:p>
          <w:p w14:paraId="76F41331" w14:textId="77777777" w:rsidR="00513658" w:rsidRPr="0047442D" w:rsidRDefault="00513658" w:rsidP="00F34F4A">
            <w:pPr>
              <w:pStyle w:val="Betarp"/>
              <w:spacing w:line="276" w:lineRule="auto"/>
              <w:jc w:val="both"/>
              <w:rPr>
                <w:rFonts w:ascii="Times New Roman" w:hAnsi="Times New Roman" w:cs="Times New Roman"/>
                <w:sz w:val="24"/>
                <w:szCs w:val="24"/>
              </w:rPr>
            </w:pPr>
            <w:r w:rsidRPr="002F5183">
              <w:rPr>
                <w:rFonts w:ascii="Times New Roman" w:hAnsi="Times New Roman" w:cs="Times New Roman"/>
                <w:sz w:val="24"/>
                <w:szCs w:val="24"/>
              </w:rPr>
              <w:t>gali būti pateikiamas šių priemonių sąrašas, kuriame pateikiamas jų aprašymas arba gamintojo ar įgalioto atstovo techninių dokumentų kopijos ar nuorodos arba kiti lygiaverčiai įrodymai, nurodant turimus arba galimus pasitelkti nuomos, panaudos ar kitais pagrindais (pateikiamos nuomos sutartys, preliminarios sutartys, lizingo sutartys, ketinimo protokolai ar kitokie nuomos, panaudos ar įsigijimo  galimybes patvirtinantys dokumentai) įrankius, įrenginius, technines priemones arba kompetentingos oficialios institucijos pažyma apie tai, kad tiekėjų techninės galimybės leidžia įvykdyti pirkimo sutartimi prisiimtus įsipareigojimus.</w:t>
            </w:r>
          </w:p>
          <w:p w14:paraId="0C914932" w14:textId="77777777" w:rsidR="00513658" w:rsidRDefault="00513658" w:rsidP="00F34F4A">
            <w:pPr>
              <w:pStyle w:val="Betarp"/>
              <w:spacing w:line="276" w:lineRule="auto"/>
              <w:jc w:val="both"/>
              <w:rPr>
                <w:rFonts w:ascii="Times New Roman" w:hAnsi="Times New Roman" w:cs="Times New Roman"/>
                <w:i/>
                <w:sz w:val="24"/>
                <w:szCs w:val="24"/>
              </w:rPr>
            </w:pPr>
            <w:r w:rsidRPr="007748D9">
              <w:rPr>
                <w:rFonts w:ascii="Times New Roman" w:hAnsi="Times New Roman" w:cs="Times New Roman"/>
                <w:i/>
                <w:sz w:val="24"/>
                <w:szCs w:val="24"/>
              </w:rPr>
              <w:t>Pateikiami skenuoti dokumentai elektronine forma.</w:t>
            </w:r>
          </w:p>
          <w:p w14:paraId="3CB1C986" w14:textId="77777777" w:rsidR="00513658" w:rsidRPr="007748D9" w:rsidRDefault="00513658" w:rsidP="00F34F4A">
            <w:pPr>
              <w:spacing w:after="0" w:line="257" w:lineRule="atLeast"/>
              <w:jc w:val="both"/>
            </w:pPr>
            <w:r w:rsidRPr="00CD00AF">
              <w:rPr>
                <w:rFonts w:ascii="Times New Roman" w:hAnsi="Times New Roman" w:cs="Times New Roman"/>
                <w:i/>
                <w:sz w:val="24"/>
                <w:szCs w:val="24"/>
              </w:rPr>
              <w:t>Tiekėjo (ūkio subjektų grupės narių), ūkio subjektų, kurių pajėgumais tiekėjas remiasi, subtiekėjų pajėgumai sumuojami.</w:t>
            </w:r>
            <w:r w:rsidRPr="009041B4" w:rsidDel="006C410D">
              <w:rPr>
                <w:rFonts w:ascii="Times New Roman" w:hAnsi="Times New Roman" w:cs="Times New Roman"/>
                <w:i/>
                <w:sz w:val="24"/>
                <w:szCs w:val="24"/>
              </w:rPr>
              <w:t xml:space="preserve"> </w:t>
            </w:r>
          </w:p>
        </w:tc>
      </w:tr>
      <w:bookmarkEnd w:id="3"/>
    </w:tbl>
    <w:p w14:paraId="35D07DA7" w14:textId="77777777" w:rsidR="00513658" w:rsidRDefault="00513658" w:rsidP="00513658">
      <w:pPr>
        <w:spacing w:after="0"/>
        <w:jc w:val="both"/>
        <w:rPr>
          <w:rFonts w:ascii="Times New Roman" w:hAnsi="Times New Roman" w:cs="Times New Roman"/>
          <w:sz w:val="24"/>
          <w:szCs w:val="24"/>
        </w:rPr>
      </w:pPr>
    </w:p>
    <w:p w14:paraId="0374BC10" w14:textId="5F207F4C" w:rsidR="00513658" w:rsidRPr="00637224" w:rsidRDefault="00D94EEE" w:rsidP="00513658">
      <w:pPr>
        <w:ind w:hanging="284"/>
        <w:jc w:val="right"/>
        <w:rPr>
          <w:rFonts w:ascii="Times New Roman" w:hAnsi="Times New Roman" w:cs="Times New Roman"/>
          <w:sz w:val="24"/>
          <w:szCs w:val="24"/>
        </w:rPr>
      </w:pPr>
      <w:r>
        <w:rPr>
          <w:rFonts w:ascii="Times New Roman" w:hAnsi="Times New Roman" w:cs="Times New Roman"/>
          <w:b/>
          <w:bCs/>
          <w:sz w:val="24"/>
          <w:szCs w:val="24"/>
        </w:rPr>
        <w:t>2</w:t>
      </w:r>
      <w:r w:rsidR="00513658" w:rsidRPr="00637224">
        <w:rPr>
          <w:rFonts w:ascii="Times New Roman" w:hAnsi="Times New Roman" w:cs="Times New Roman"/>
          <w:b/>
          <w:bCs/>
          <w:sz w:val="24"/>
          <w:szCs w:val="24"/>
        </w:rPr>
        <w:t xml:space="preserve"> lentelė. Aplinkos apsaugos vadybos sistemos reikalavimai</w:t>
      </w:r>
      <w:r w:rsidR="00513658" w:rsidRPr="00637224">
        <w:rPr>
          <w:rFonts w:ascii="Times New Roman" w:hAnsi="Times New Roman" w:cs="Times New Roman"/>
          <w:sz w:val="24"/>
          <w:szCs w:val="24"/>
        </w:rPr>
        <w:t xml:space="preserve"> </w:t>
      </w:r>
      <w:proofErr w:type="spellStart"/>
      <w:r w:rsidR="00513658" w:rsidRPr="00AD672D">
        <w:rPr>
          <w:rFonts w:ascii="Times New Roman" w:hAnsi="Times New Roman" w:cs="Times New Roman"/>
          <w:b/>
          <w:bCs/>
          <w:sz w:val="24"/>
          <w:szCs w:val="24"/>
        </w:rPr>
        <w:t>reikalavimai</w:t>
      </w:r>
      <w:proofErr w:type="spellEnd"/>
    </w:p>
    <w:tbl>
      <w:tblPr>
        <w:tblStyle w:val="Lentelstinklelis"/>
        <w:tblW w:w="9776" w:type="dxa"/>
        <w:tblLook w:val="04A0" w:firstRow="1" w:lastRow="0" w:firstColumn="1" w:lastColumn="0" w:noHBand="0" w:noVBand="1"/>
      </w:tblPr>
      <w:tblGrid>
        <w:gridCol w:w="846"/>
        <w:gridCol w:w="4111"/>
        <w:gridCol w:w="4819"/>
      </w:tblGrid>
      <w:tr w:rsidR="00513658" w:rsidRPr="00663368" w14:paraId="505B46DB" w14:textId="77777777" w:rsidTr="00F34F4A">
        <w:tc>
          <w:tcPr>
            <w:tcW w:w="846" w:type="dxa"/>
            <w:vAlign w:val="center"/>
          </w:tcPr>
          <w:p w14:paraId="305F6597" w14:textId="77777777" w:rsidR="00513658" w:rsidRPr="00663368" w:rsidRDefault="00513658" w:rsidP="00F34F4A">
            <w:pPr>
              <w:jc w:val="center"/>
              <w:rPr>
                <w:rFonts w:ascii="Times New Roman" w:hAnsi="Times New Roman" w:cs="Times New Roman"/>
                <w:sz w:val="24"/>
                <w:szCs w:val="24"/>
              </w:rPr>
            </w:pPr>
            <w:r w:rsidRPr="00663368">
              <w:rPr>
                <w:rFonts w:ascii="Times New Roman" w:hAnsi="Times New Roman" w:cs="Times New Roman"/>
                <w:sz w:val="24"/>
                <w:szCs w:val="24"/>
              </w:rPr>
              <w:t>Eil. Nr.</w:t>
            </w:r>
          </w:p>
        </w:tc>
        <w:tc>
          <w:tcPr>
            <w:tcW w:w="4111" w:type="dxa"/>
            <w:vAlign w:val="center"/>
          </w:tcPr>
          <w:p w14:paraId="56C91909" w14:textId="77777777" w:rsidR="00513658" w:rsidRPr="00663368" w:rsidRDefault="00513658" w:rsidP="00F34F4A">
            <w:pPr>
              <w:jc w:val="center"/>
              <w:rPr>
                <w:rFonts w:ascii="Times New Roman" w:hAnsi="Times New Roman" w:cs="Times New Roman"/>
                <w:sz w:val="24"/>
                <w:szCs w:val="24"/>
              </w:rPr>
            </w:pPr>
            <w:r w:rsidRPr="00663368">
              <w:rPr>
                <w:rFonts w:ascii="Times New Roman" w:hAnsi="Times New Roman" w:cs="Times New Roman"/>
                <w:sz w:val="24"/>
                <w:szCs w:val="24"/>
              </w:rPr>
              <w:t>Reikalavimai</w:t>
            </w:r>
          </w:p>
        </w:tc>
        <w:tc>
          <w:tcPr>
            <w:tcW w:w="4819" w:type="dxa"/>
            <w:vAlign w:val="center"/>
          </w:tcPr>
          <w:p w14:paraId="7BD25D89" w14:textId="77777777" w:rsidR="00513658" w:rsidRPr="00663368" w:rsidRDefault="00513658" w:rsidP="00F34F4A">
            <w:pPr>
              <w:jc w:val="center"/>
              <w:rPr>
                <w:rFonts w:ascii="Times New Roman" w:hAnsi="Times New Roman" w:cs="Times New Roman"/>
                <w:sz w:val="24"/>
                <w:szCs w:val="24"/>
              </w:rPr>
            </w:pPr>
            <w:r w:rsidRPr="00663368">
              <w:rPr>
                <w:rFonts w:ascii="Times New Roman" w:hAnsi="Times New Roman" w:cs="Times New Roman"/>
                <w:sz w:val="24"/>
                <w:szCs w:val="24"/>
              </w:rPr>
              <w:t>Kvalifikacijos reikalavimus įrodantys dokumentai</w:t>
            </w:r>
          </w:p>
        </w:tc>
      </w:tr>
      <w:tr w:rsidR="00513658" w:rsidRPr="00663368" w14:paraId="5E5C0AE6" w14:textId="77777777" w:rsidTr="00F34F4A">
        <w:tc>
          <w:tcPr>
            <w:tcW w:w="846" w:type="dxa"/>
            <w:shd w:val="clear" w:color="auto" w:fill="auto"/>
          </w:tcPr>
          <w:p w14:paraId="58BA2396" w14:textId="418B63A5" w:rsidR="00513658" w:rsidRPr="00CD4D90" w:rsidRDefault="00D94EEE" w:rsidP="00F34F4A">
            <w:pPr>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shd w:val="clear" w:color="auto" w:fill="auto"/>
          </w:tcPr>
          <w:p w14:paraId="77F41E23" w14:textId="77777777" w:rsidR="00513658" w:rsidRPr="00663368" w:rsidRDefault="00513658" w:rsidP="00F34F4A">
            <w:pPr>
              <w:jc w:val="both"/>
              <w:rPr>
                <w:rFonts w:ascii="Times New Roman" w:hAnsi="Times New Roman" w:cs="Times New Roman"/>
                <w:sz w:val="23"/>
                <w:szCs w:val="23"/>
              </w:rPr>
            </w:pPr>
            <w:r w:rsidRPr="00663368">
              <w:rPr>
                <w:rFonts w:ascii="Times New Roman" w:hAnsi="Times New Roman" w:cs="Times New Roman"/>
                <w:sz w:val="23"/>
                <w:szCs w:val="23"/>
              </w:rPr>
              <w:t xml:space="preserve">Tiekėjas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w:t>
            </w:r>
            <w:r w:rsidRPr="00663368">
              <w:rPr>
                <w:rFonts w:ascii="Times New Roman" w:hAnsi="Times New Roman" w:cs="Times New Roman"/>
                <w:sz w:val="23"/>
                <w:szCs w:val="23"/>
              </w:rPr>
              <w:lastRenderedPageBreak/>
              <w:t>standartus), ar kitais tiekėjo pateiktais lygiaverčiais įrodymais.</w:t>
            </w:r>
          </w:p>
          <w:p w14:paraId="6B350D16" w14:textId="77777777" w:rsidR="00513658" w:rsidRPr="00663368" w:rsidRDefault="00513658" w:rsidP="00F34F4A">
            <w:pPr>
              <w:jc w:val="both"/>
              <w:rPr>
                <w:rFonts w:ascii="Times New Roman" w:hAnsi="Times New Roman" w:cs="Times New Roman"/>
                <w:sz w:val="23"/>
                <w:szCs w:val="23"/>
              </w:rPr>
            </w:pPr>
          </w:p>
          <w:p w14:paraId="6D44063E" w14:textId="77777777" w:rsidR="00513658" w:rsidRPr="00663368" w:rsidRDefault="00513658" w:rsidP="00F34F4A">
            <w:pPr>
              <w:ind w:left="113"/>
              <w:jc w:val="both"/>
              <w:rPr>
                <w:rFonts w:ascii="Times New Roman" w:hAnsi="Times New Roman" w:cs="Times New Roman"/>
                <w:sz w:val="24"/>
                <w:szCs w:val="24"/>
              </w:rPr>
            </w:pPr>
          </w:p>
        </w:tc>
        <w:tc>
          <w:tcPr>
            <w:tcW w:w="4819" w:type="dxa"/>
            <w:shd w:val="clear" w:color="auto" w:fill="auto"/>
          </w:tcPr>
          <w:p w14:paraId="65B05F19" w14:textId="77777777" w:rsidR="00513658" w:rsidRPr="00663368" w:rsidRDefault="00513658" w:rsidP="00F34F4A">
            <w:pPr>
              <w:jc w:val="both"/>
              <w:rPr>
                <w:rFonts w:ascii="Times New Roman" w:hAnsi="Times New Roman" w:cs="Times New Roman"/>
                <w:b/>
                <w:sz w:val="23"/>
                <w:szCs w:val="23"/>
              </w:rPr>
            </w:pPr>
            <w:r w:rsidRPr="00663368">
              <w:rPr>
                <w:rFonts w:ascii="Times New Roman" w:hAnsi="Times New Roman" w:cs="Times New Roman"/>
                <w:b/>
                <w:i/>
                <w:iCs/>
                <w:sz w:val="23"/>
                <w:szCs w:val="23"/>
              </w:rPr>
              <w:lastRenderedPageBreak/>
              <w:t>Dokumentai, kuriuos turės pateikti galimas laimėtojas:</w:t>
            </w:r>
          </w:p>
          <w:p w14:paraId="3A3D358C" w14:textId="77777777" w:rsidR="00513658" w:rsidRPr="00663368" w:rsidRDefault="00513658" w:rsidP="00F34F4A">
            <w:pPr>
              <w:jc w:val="both"/>
              <w:rPr>
                <w:rFonts w:ascii="Times New Roman" w:hAnsi="Times New Roman" w:cs="Times New Roman"/>
                <w:sz w:val="23"/>
                <w:szCs w:val="23"/>
              </w:rPr>
            </w:pPr>
            <w:r w:rsidRPr="00663368">
              <w:rPr>
                <w:rFonts w:ascii="Times New Roman" w:hAnsi="Times New Roman" w:cs="Times New Roman"/>
                <w:sz w:val="23"/>
                <w:szCs w:val="23"/>
              </w:rPr>
              <w:t xml:space="preserve">Atitiktį reikalavimams įrodantys dokumentai: </w:t>
            </w:r>
            <w:r w:rsidRPr="00663368">
              <w:rPr>
                <w:rFonts w:ascii="Times New Roman" w:hAnsi="Times New Roman" w:cs="Times New Roman"/>
                <w:i/>
                <w:iCs/>
                <w:sz w:val="23"/>
                <w:szCs w:val="23"/>
              </w:rPr>
              <w:t>EMAS</w:t>
            </w:r>
            <w:r w:rsidRPr="00663368">
              <w:rPr>
                <w:rFonts w:ascii="Times New Roman" w:hAnsi="Times New Roman" w:cs="Times New Roman"/>
                <w:sz w:val="23"/>
                <w:szCs w:val="23"/>
              </w:rPr>
              <w:t xml:space="preserve"> arba </w:t>
            </w:r>
            <w:r w:rsidRPr="00663368">
              <w:rPr>
                <w:rFonts w:ascii="Times New Roman" w:hAnsi="Times New Roman" w:cs="Times New Roman"/>
                <w:i/>
                <w:iCs/>
                <w:sz w:val="23"/>
                <w:szCs w:val="23"/>
              </w:rPr>
              <w:t>LST EN ISO 14001</w:t>
            </w:r>
            <w:r w:rsidRPr="00663368">
              <w:rPr>
                <w:rFonts w:ascii="Times New Roman" w:hAnsi="Times New Roman" w:cs="Times New Roman"/>
                <w:sz w:val="23"/>
                <w:szCs w:val="23"/>
              </w:rPr>
              <w:t xml:space="preserve"> sertifikatas, arba kitas lygiavertis sertifikatas, išduotas kitose valstybėse narėse įsteigtų nepriklausomų įstaigų.</w:t>
            </w:r>
          </w:p>
          <w:p w14:paraId="593C122D" w14:textId="77777777" w:rsidR="00513658" w:rsidRPr="00663368" w:rsidRDefault="00513658" w:rsidP="00F34F4A">
            <w:pPr>
              <w:pStyle w:val="Sraopastraipa"/>
              <w:spacing w:line="276" w:lineRule="auto"/>
              <w:ind w:left="113" w:firstLine="0"/>
              <w:jc w:val="both"/>
              <w:rPr>
                <w:sz w:val="23"/>
                <w:szCs w:val="23"/>
                <w:shd w:val="clear" w:color="auto" w:fill="FFFFFF"/>
              </w:rPr>
            </w:pPr>
            <w:r w:rsidRPr="00663368">
              <w:rPr>
                <w:sz w:val="23"/>
                <w:szCs w:val="23"/>
                <w:shd w:val="clear" w:color="auto" w:fill="FFFFFF"/>
              </w:rPr>
              <w:t>Kaip lygiaverčių aplinkos apsaugos vadybos užtikrinimo priemonių įrodymą, tiekėjas</w:t>
            </w:r>
            <w:r>
              <w:rPr>
                <w:sz w:val="23"/>
                <w:szCs w:val="23"/>
                <w:shd w:val="clear" w:color="auto" w:fill="FFFFFF"/>
              </w:rPr>
              <w:t xml:space="preserve"> taip pat</w:t>
            </w:r>
            <w:r w:rsidRPr="00663368">
              <w:rPr>
                <w:sz w:val="23"/>
                <w:szCs w:val="23"/>
                <w:shd w:val="clear" w:color="auto" w:fill="FFFFFF"/>
              </w:rPr>
              <w:t xml:space="preserve"> gali pateikti lygiaverčių taikomų aplinkos apsaugos vadybos priemonių aprašymą, parengtą pagal Lietuvos Respublikos aplinkos ministro </w:t>
            </w:r>
            <w:r w:rsidRPr="00663368">
              <w:rPr>
                <w:sz w:val="23"/>
                <w:szCs w:val="23"/>
                <w:shd w:val="clear" w:color="auto" w:fill="FFFFFF"/>
              </w:rPr>
              <w:lastRenderedPageBreak/>
              <w:t>2011 m. birželio 28 d. įsakymu Nr. D1-508 (Lietuvos Respublikos aplinkos ministro 2021 m. kovo 31 d. įsakymo Nr. D1-192 redakcija)</w:t>
            </w:r>
            <w:r w:rsidRPr="00663368">
              <w:rPr>
                <w:b/>
                <w:bCs/>
                <w:sz w:val="23"/>
                <w:szCs w:val="23"/>
                <w:shd w:val="clear" w:color="auto" w:fill="FFFFFF"/>
              </w:rPr>
              <w:t> </w:t>
            </w:r>
            <w:r w:rsidRPr="00663368">
              <w:rPr>
                <w:sz w:val="23"/>
                <w:szCs w:val="23"/>
                <w:shd w:val="clear" w:color="auto" w:fill="FFFFFF"/>
              </w:rPr>
              <w:t>patvirtintomis Aplinkos apsaugos kriterijų, kuriuos perkančiosios organizacijos ir perkantieji subjektai turi taikyti pirkdami prekes, paslaugas ar darbus, taikymo tvarkos aprašo (toliau – Aprašas) 7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70922BC6" w14:textId="77777777" w:rsidR="00513658" w:rsidRDefault="00513658" w:rsidP="00F34F4A">
            <w:pPr>
              <w:pStyle w:val="Sraopastraipa"/>
              <w:spacing w:line="276" w:lineRule="auto"/>
              <w:ind w:left="113" w:firstLine="0"/>
              <w:jc w:val="both"/>
              <w:rPr>
                <w:rFonts w:eastAsia="Calibri"/>
                <w:i/>
                <w:iCs/>
                <w:sz w:val="24"/>
                <w:szCs w:val="24"/>
              </w:rPr>
            </w:pPr>
            <w:r w:rsidRPr="00663368">
              <w:rPr>
                <w:rFonts w:eastAsia="Calibri"/>
                <w:i/>
                <w:iCs/>
                <w:sz w:val="24"/>
                <w:szCs w:val="24"/>
              </w:rPr>
              <w:t>Pateikiamas skenuotas dokumentas elektroninėje formoje.</w:t>
            </w:r>
          </w:p>
          <w:p w14:paraId="32A64C8F" w14:textId="77777777" w:rsidR="00513658" w:rsidRPr="00222D0F" w:rsidRDefault="00513658" w:rsidP="00F34F4A">
            <w:pPr>
              <w:ind w:left="25"/>
              <w:jc w:val="both"/>
              <w:rPr>
                <w:rFonts w:ascii="Times New Roman" w:hAnsi="Times New Roman" w:cs="Times New Roman"/>
                <w:i/>
                <w:iCs/>
                <w:sz w:val="24"/>
                <w:szCs w:val="24"/>
              </w:rPr>
            </w:pPr>
            <w:r w:rsidRPr="00222D0F">
              <w:rPr>
                <w:rFonts w:ascii="Times New Roman" w:hAnsi="Times New Roman" w:cs="Times New Roman"/>
                <w:i/>
                <w:iCs/>
                <w:sz w:val="24"/>
                <w:szCs w:val="24"/>
              </w:rPr>
              <w:t>Jeigu pasiūlymą teikia ūkio subjektų grupė – reikalavimą turi atitikti ūkio subjektų grupės narys (-</w:t>
            </w:r>
            <w:proofErr w:type="spellStart"/>
            <w:r w:rsidRPr="00222D0F">
              <w:rPr>
                <w:rFonts w:ascii="Times New Roman" w:hAnsi="Times New Roman" w:cs="Times New Roman"/>
                <w:i/>
                <w:iCs/>
                <w:sz w:val="24"/>
                <w:szCs w:val="24"/>
              </w:rPr>
              <w:t>iai</w:t>
            </w:r>
            <w:proofErr w:type="spellEnd"/>
            <w:r w:rsidRPr="00222D0F">
              <w:rPr>
                <w:rFonts w:ascii="Times New Roman" w:hAnsi="Times New Roman" w:cs="Times New Roman"/>
                <w:i/>
                <w:iCs/>
                <w:sz w:val="24"/>
                <w:szCs w:val="24"/>
              </w:rPr>
              <w:t>), atsižvelgiant į jų prisiimamus įsipareigojimus pirkimo sutarčiai vykdyti;</w:t>
            </w:r>
          </w:p>
          <w:p w14:paraId="30D3C6B8" w14:textId="77777777" w:rsidR="00513658" w:rsidRDefault="00513658" w:rsidP="00F34F4A">
            <w:pPr>
              <w:ind w:left="25"/>
              <w:jc w:val="both"/>
              <w:rPr>
                <w:rFonts w:ascii="Times New Roman" w:hAnsi="Times New Roman" w:cs="Times New Roman"/>
                <w:i/>
                <w:iCs/>
                <w:sz w:val="24"/>
                <w:szCs w:val="24"/>
              </w:rPr>
            </w:pPr>
            <w:r>
              <w:rPr>
                <w:rFonts w:ascii="Times New Roman" w:hAnsi="Times New Roman" w:cs="Times New Roman"/>
                <w:i/>
                <w:iCs/>
                <w:sz w:val="24"/>
                <w:szCs w:val="24"/>
              </w:rPr>
              <w:t>T</w:t>
            </w:r>
            <w:r w:rsidRPr="00222D0F">
              <w:rPr>
                <w:rFonts w:ascii="Times New Roman" w:hAnsi="Times New Roman" w:cs="Times New Roman"/>
                <w:i/>
                <w:iCs/>
                <w:sz w:val="24"/>
                <w:szCs w:val="24"/>
              </w:rPr>
              <w:t>iekėjas gali remtis kitų ūkio subjektų pajėgumais atsižvelgiant į jų prisiimamus įsipareigojimus pirkimo sutarčiai vykdyti;</w:t>
            </w:r>
          </w:p>
          <w:p w14:paraId="477B403C" w14:textId="77777777" w:rsidR="00513658" w:rsidRPr="00222D0F" w:rsidRDefault="00513658" w:rsidP="00F34F4A">
            <w:pPr>
              <w:ind w:left="25"/>
              <w:jc w:val="both"/>
              <w:rPr>
                <w:i/>
                <w:iCs/>
                <w:sz w:val="24"/>
                <w:szCs w:val="24"/>
              </w:rPr>
            </w:pPr>
            <w:r>
              <w:rPr>
                <w:rFonts w:ascii="Times New Roman" w:hAnsi="Times New Roman" w:cs="Times New Roman"/>
                <w:i/>
                <w:iCs/>
                <w:sz w:val="24"/>
                <w:szCs w:val="24"/>
              </w:rPr>
              <w:t>Subtiekėjai</w:t>
            </w:r>
            <w:r w:rsidRPr="00222D0F">
              <w:rPr>
                <w:rFonts w:ascii="Times New Roman" w:hAnsi="Times New Roman" w:cs="Times New Roman"/>
                <w:i/>
                <w:iCs/>
                <w:sz w:val="24"/>
                <w:szCs w:val="24"/>
              </w:rPr>
              <w:t xml:space="preserve"> turi laikytis reikalaujamų aplinkos apsaugos vadybos priemonių, atsižvelgiant į jų prisiimamus įsipareigojimus pirkimo sutarčiai vykdyti.</w:t>
            </w:r>
          </w:p>
        </w:tc>
      </w:tr>
    </w:tbl>
    <w:p w14:paraId="0036838E" w14:textId="77777777" w:rsidR="009B04B1" w:rsidRDefault="009B04B1"/>
    <w:sectPr w:rsidR="009B0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A074B"/>
    <w:multiLevelType w:val="hybridMultilevel"/>
    <w:tmpl w:val="32E6E7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A0123"/>
    <w:multiLevelType w:val="hybridMultilevel"/>
    <w:tmpl w:val="728CF574"/>
    <w:lvl w:ilvl="0" w:tplc="17B4A67E">
      <w:start w:val="3"/>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16cid:durableId="1196887399">
    <w:abstractNumId w:val="1"/>
  </w:num>
  <w:num w:numId="2" w16cid:durableId="98280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B1"/>
    <w:rsid w:val="000376B6"/>
    <w:rsid w:val="00094FC7"/>
    <w:rsid w:val="00192241"/>
    <w:rsid w:val="001B3C21"/>
    <w:rsid w:val="001D4F0E"/>
    <w:rsid w:val="00513658"/>
    <w:rsid w:val="009B04B1"/>
    <w:rsid w:val="00B130E8"/>
    <w:rsid w:val="00D31C47"/>
    <w:rsid w:val="00D94EEE"/>
    <w:rsid w:val="0813588A"/>
    <w:rsid w:val="0CC90E61"/>
    <w:rsid w:val="0D0C3C19"/>
    <w:rsid w:val="222803E8"/>
    <w:rsid w:val="60D1C4B8"/>
    <w:rsid w:val="7AEC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43E7"/>
  <w15:chartTrackingRefBased/>
  <w15:docId w15:val="{65B1BB4C-C069-402C-96C8-7C086D75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2">
    <w:name w:val="heading 2"/>
    <w:basedOn w:val="prastasis"/>
    <w:next w:val="prastasis"/>
    <w:link w:val="Antrat2Diagrama"/>
    <w:uiPriority w:val="9"/>
    <w:semiHidden/>
    <w:unhideWhenUsed/>
    <w:qFormat/>
    <w:rsid w:val="00D94EEE"/>
    <w:pPr>
      <w:keepNext/>
      <w:keepLines/>
      <w:spacing w:before="120" w:after="0" w:line="240" w:lineRule="auto"/>
      <w:outlineLvl w:val="1"/>
    </w:pPr>
    <w:rPr>
      <w:rFonts w:asciiTheme="majorHAnsi" w:eastAsiaTheme="majorEastAsia" w:hAnsiTheme="majorHAnsi" w:cstheme="majorBidi"/>
      <w:color w:val="ED7D31" w:themeColor="accent2"/>
      <w:kern w:val="0"/>
      <w:sz w:val="36"/>
      <w:szCs w:val="36"/>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513658"/>
    <w:pPr>
      <w:spacing w:after="0" w:line="240" w:lineRule="auto"/>
    </w:pPr>
    <w:rPr>
      <w:rFonts w:ascii="Calibri" w:eastAsia="Calibri" w:hAnsi="Calibri" w:cs="Calibri"/>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12"/>
    <w:basedOn w:val="prastasis"/>
    <w:link w:val="SraopastraipaDiagrama"/>
    <w:uiPriority w:val="34"/>
    <w:qFormat/>
    <w:rsid w:val="00513658"/>
    <w:pPr>
      <w:spacing w:after="0" w:line="240" w:lineRule="auto"/>
      <w:ind w:left="1296" w:hanging="142"/>
    </w:pPr>
    <w:rPr>
      <w:rFonts w:ascii="Times New Roman" w:eastAsia="Times New Roman" w:hAnsi="Times New Roman" w:cs="Times New Roman"/>
      <w:kern w:val="0"/>
      <w14:ligatures w14:val="none"/>
    </w:rPr>
  </w:style>
  <w:style w:type="paragraph" w:styleId="Betarp">
    <w:name w:val="No Spacing"/>
    <w:link w:val="BetarpDiagrama"/>
    <w:uiPriority w:val="1"/>
    <w:qFormat/>
    <w:rsid w:val="00513658"/>
    <w:pPr>
      <w:spacing w:after="0" w:line="240" w:lineRule="auto"/>
    </w:pPr>
    <w:rPr>
      <w:rFonts w:ascii="Calibri" w:eastAsia="Calibri" w:hAnsi="Calibri" w:cs="Calibri"/>
      <w:kern w:val="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13658"/>
    <w:rPr>
      <w:rFonts w:ascii="Times New Roman" w:eastAsia="Times New Roman" w:hAnsi="Times New Roman" w:cs="Times New Roman"/>
      <w:kern w:val="0"/>
      <w:lang w:val="lt-LT"/>
      <w14:ligatures w14:val="none"/>
    </w:rPr>
  </w:style>
  <w:style w:type="character" w:customStyle="1" w:styleId="BetarpDiagrama">
    <w:name w:val="Be tarpų Diagrama"/>
    <w:link w:val="Betarp"/>
    <w:uiPriority w:val="1"/>
    <w:rsid w:val="00513658"/>
    <w:rPr>
      <w:rFonts w:ascii="Calibri" w:eastAsia="Calibri" w:hAnsi="Calibri" w:cs="Calibri"/>
      <w:kern w:val="0"/>
      <w:lang w:val="lt-LT"/>
      <w14:ligatures w14:val="none"/>
    </w:rPr>
  </w:style>
  <w:style w:type="character" w:customStyle="1" w:styleId="Antrat2Diagrama">
    <w:name w:val="Antraštė 2 Diagrama"/>
    <w:basedOn w:val="Numatytasispastraiposriftas"/>
    <w:link w:val="Antrat2"/>
    <w:uiPriority w:val="9"/>
    <w:semiHidden/>
    <w:rsid w:val="00D94EEE"/>
    <w:rPr>
      <w:rFonts w:asciiTheme="majorHAnsi" w:eastAsiaTheme="majorEastAsia" w:hAnsiTheme="majorHAnsi" w:cstheme="majorBidi"/>
      <w:color w:val="ED7D31" w:themeColor="accent2"/>
      <w:kern w:val="0"/>
      <w:sz w:val="36"/>
      <w:szCs w:val="36"/>
      <w:lang w:val="lt-LT" w:eastAsia="lt-LT"/>
      <w14:ligatures w14:val="none"/>
    </w:rPr>
  </w:style>
  <w:style w:type="character" w:styleId="Komentaronuoroda">
    <w:name w:val="annotation reference"/>
    <w:basedOn w:val="Numatytasispastraiposriftas"/>
    <w:uiPriority w:val="99"/>
    <w:semiHidden/>
    <w:unhideWhenUsed/>
    <w:rsid w:val="00192241"/>
    <w:rPr>
      <w:sz w:val="16"/>
      <w:szCs w:val="16"/>
    </w:rPr>
  </w:style>
  <w:style w:type="paragraph" w:styleId="Komentarotekstas">
    <w:name w:val="annotation text"/>
    <w:basedOn w:val="prastasis"/>
    <w:link w:val="KomentarotekstasDiagrama"/>
    <w:uiPriority w:val="99"/>
    <w:unhideWhenUsed/>
    <w:rsid w:val="0019224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92241"/>
    <w:rPr>
      <w:sz w:val="20"/>
      <w:szCs w:val="20"/>
      <w:lang w:val="lt-LT"/>
    </w:rPr>
  </w:style>
  <w:style w:type="paragraph" w:styleId="Komentarotema">
    <w:name w:val="annotation subject"/>
    <w:basedOn w:val="Komentarotekstas"/>
    <w:next w:val="Komentarotekstas"/>
    <w:link w:val="KomentarotemaDiagrama"/>
    <w:uiPriority w:val="99"/>
    <w:semiHidden/>
    <w:unhideWhenUsed/>
    <w:rsid w:val="00192241"/>
    <w:rPr>
      <w:b/>
      <w:bCs/>
    </w:rPr>
  </w:style>
  <w:style w:type="character" w:customStyle="1" w:styleId="KomentarotemaDiagrama">
    <w:name w:val="Komentaro tema Diagrama"/>
    <w:basedOn w:val="KomentarotekstasDiagrama"/>
    <w:link w:val="Komentarotema"/>
    <w:uiPriority w:val="99"/>
    <w:semiHidden/>
    <w:rsid w:val="00192241"/>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B4661CDFA663468C071E27C2A75F2F" ma:contentTypeVersion="15" ma:contentTypeDescription="Kurkite naują dokumentą." ma:contentTypeScope="" ma:versionID="7e888b19e99faf001b27fe9be9f122f7">
  <xsd:schema xmlns:xsd="http://www.w3.org/2001/XMLSchema" xmlns:xs="http://www.w3.org/2001/XMLSchema" xmlns:p="http://schemas.microsoft.com/office/2006/metadata/properties" xmlns:ns2="ebc911d6-abfb-4b40-b558-a742396be0f4" xmlns:ns3="82f2e14a-2da5-4a00-81ae-5875d87890e8" targetNamespace="http://schemas.microsoft.com/office/2006/metadata/properties" ma:root="true" ma:fieldsID="1c0c7abfbbaba7b2e80ce91473190bfa" ns2:_="" ns3:_="">
    <xsd:import namespace="ebc911d6-abfb-4b40-b558-a742396be0f4"/>
    <xsd:import namespace="82f2e14a-2da5-4a00-81ae-5875d8789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911d6-abfb-4b40-b558-a742396be0f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6f14934f-3d53-4bfd-81fe-269dd4474ab6}" ma:internalName="TaxCatchAll" ma:showField="CatchAllData" ma:web="ebc911d6-abfb-4b40-b558-a742396be0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f2e14a-2da5-4a00-81ae-5875d87890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ca30ffb-156e-4d19-b1d9-34b56b5445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c911d6-abfb-4b40-b558-a742396be0f4" xsi:nil="true"/>
    <lcf76f155ced4ddcb4097134ff3c332f xmlns="82f2e14a-2da5-4a00-81ae-5875d87890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E24707-32D8-4FEC-A9BF-D09342151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911d6-abfb-4b40-b558-a742396be0f4"/>
    <ds:schemaRef ds:uri="82f2e14a-2da5-4a00-81ae-5875d8789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BF2F8-21D7-40B4-8B39-2C20C17E9395}">
  <ds:schemaRefs>
    <ds:schemaRef ds:uri="http://schemas.microsoft.com/sharepoint/v3/contenttype/forms"/>
  </ds:schemaRefs>
</ds:datastoreItem>
</file>

<file path=customXml/itemProps3.xml><?xml version="1.0" encoding="utf-8"?>
<ds:datastoreItem xmlns:ds="http://schemas.openxmlformats.org/officeDocument/2006/customXml" ds:itemID="{CE2C2E68-14AF-433D-BAFE-D59787194DDD}">
  <ds:schemaRefs>
    <ds:schemaRef ds:uri="http://schemas.microsoft.com/office/2006/metadata/properties"/>
    <ds:schemaRef ds:uri="http://schemas.microsoft.com/office/infopath/2007/PartnerControls"/>
    <ds:schemaRef ds:uri="ebc911d6-abfb-4b40-b558-a742396be0f4"/>
    <ds:schemaRef ds:uri="82f2e14a-2da5-4a00-81ae-5875d87890e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3463</Words>
  <Characters>1974</Characters>
  <Application>Microsoft Office Word</Application>
  <DocSecurity>0</DocSecurity>
  <Lines>16</Lines>
  <Paragraphs>10</Paragraphs>
  <ScaleCrop>false</ScaleCrop>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Dikšaitė</dc:creator>
  <cp:keywords/>
  <dc:description/>
  <cp:lastModifiedBy>Artiom Valujev</cp:lastModifiedBy>
  <cp:revision>4</cp:revision>
  <dcterms:created xsi:type="dcterms:W3CDTF">2024-11-28T19:30:00Z</dcterms:created>
  <dcterms:modified xsi:type="dcterms:W3CDTF">2025-01-14T05:26:00Z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0x0101009DB4661CDFA663468C071E27C2A75F2F</vt:lpwstr>
  </property>
  <property fmtid="{D5CDD505-2E9C-101B-9397-08002B2CF9AE}" pid="3" name="MediaServiceImageTags">
    <vt:lpwstr/>
  </property>
</Properties>
</file>