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61A10BBA" w14:textId="32B74AB7" w:rsidR="00497052"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 xml:space="preserve">                        </w:t>
            </w:r>
            <w:r w:rsidR="00584F35" w:rsidRPr="000D7E74">
              <w:rPr>
                <w:sz w:val="22"/>
                <w:szCs w:val="22"/>
              </w:rPr>
              <w:t>202</w:t>
            </w:r>
            <w:r w:rsidR="007D2F0F">
              <w:rPr>
                <w:sz w:val="22"/>
                <w:szCs w:val="22"/>
              </w:rPr>
              <w:t>6</w:t>
            </w:r>
            <w:r w:rsidR="00AB1EBD" w:rsidRPr="000D7E74">
              <w:rPr>
                <w:sz w:val="22"/>
                <w:szCs w:val="22"/>
              </w:rPr>
              <w:t>-</w:t>
            </w:r>
            <w:r w:rsidR="007D2F0F">
              <w:rPr>
                <w:sz w:val="22"/>
                <w:szCs w:val="22"/>
              </w:rPr>
              <w:t>04</w:t>
            </w:r>
            <w:r w:rsidR="00FB153D">
              <w:rPr>
                <w:sz w:val="22"/>
                <w:szCs w:val="22"/>
              </w:rPr>
              <w:t>-</w:t>
            </w:r>
            <w:r w:rsidR="007335F3">
              <w:rPr>
                <w:sz w:val="22"/>
                <w:szCs w:val="22"/>
              </w:rPr>
              <w:t>24,</w:t>
            </w:r>
          </w:p>
          <w:p w14:paraId="66DC8936" w14:textId="54E061B6" w:rsidR="007335F3" w:rsidRPr="000D7E74" w:rsidRDefault="007335F3"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Nr. 2026-SD-385</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0D7E74" w:rsidRDefault="00497052" w:rsidP="005011CE">
      <w:pPr>
        <w:pStyle w:val="Default"/>
        <w:spacing w:line="360" w:lineRule="auto"/>
        <w:jc w:val="center"/>
        <w:rPr>
          <w:sz w:val="22"/>
          <w:szCs w:val="22"/>
        </w:rPr>
      </w:pPr>
    </w:p>
    <w:p w14:paraId="082711B2" w14:textId="1B11A8AF" w:rsidR="00D40FE5" w:rsidRPr="000D7E74" w:rsidRDefault="004A0746" w:rsidP="00B72CDC">
      <w:pPr>
        <w:pStyle w:val="Default"/>
        <w:spacing w:line="240" w:lineRule="auto"/>
        <w:ind w:left="142"/>
        <w:jc w:val="both"/>
        <w:rPr>
          <w:b/>
          <w:bCs/>
          <w:sz w:val="22"/>
          <w:szCs w:val="22"/>
        </w:rPr>
      </w:pPr>
      <w:r w:rsidRPr="000D7E74">
        <w:rPr>
          <w:b/>
          <w:bCs/>
          <w:sz w:val="22"/>
          <w:szCs w:val="22"/>
        </w:rPr>
        <w:t xml:space="preserve">DĖL </w:t>
      </w:r>
      <w:r w:rsidR="004F5315" w:rsidRPr="000D7E74">
        <w:rPr>
          <w:b/>
          <w:bCs/>
          <w:sz w:val="22"/>
          <w:szCs w:val="22"/>
        </w:rPr>
        <w:t>PIRKIMO DOKUMENTŲ PAAIŠKINIMO / PATIKSLINIMO (</w:t>
      </w:r>
      <w:r w:rsidR="00F174C8">
        <w:rPr>
          <w:b/>
          <w:bCs/>
          <w:sz w:val="22"/>
          <w:szCs w:val="22"/>
        </w:rPr>
        <w:t>4</w:t>
      </w:r>
      <w:r w:rsidR="004F5315" w:rsidRPr="000D7E74">
        <w:rPr>
          <w:b/>
          <w:bCs/>
          <w:sz w:val="22"/>
          <w:szCs w:val="22"/>
        </w:rPr>
        <w:t>)</w:t>
      </w:r>
    </w:p>
    <w:p w14:paraId="73920697" w14:textId="77777777" w:rsidR="00D40FE5" w:rsidRPr="000D7E74" w:rsidRDefault="00D40FE5" w:rsidP="00B72CDC">
      <w:pPr>
        <w:pStyle w:val="Default"/>
        <w:spacing w:line="360" w:lineRule="auto"/>
        <w:ind w:left="142"/>
        <w:rPr>
          <w:sz w:val="22"/>
          <w:szCs w:val="22"/>
        </w:rPr>
      </w:pPr>
    </w:p>
    <w:p w14:paraId="53FD65FD" w14:textId="0133157D" w:rsidR="004F5315" w:rsidRDefault="004F5315" w:rsidP="00241613">
      <w:pPr>
        <w:ind w:left="142" w:firstLine="425"/>
        <w:jc w:val="both"/>
        <w:rPr>
          <w:rFonts w:ascii="Arial" w:hAnsi="Arial" w:cs="Arial"/>
          <w:sz w:val="22"/>
          <w:szCs w:val="22"/>
          <w:lang w:val="lt-LT"/>
        </w:rPr>
      </w:pPr>
      <w:r w:rsidRPr="000D7E74">
        <w:rPr>
          <w:rFonts w:ascii="Arial" w:hAnsi="Arial" w:cs="Arial"/>
          <w:sz w:val="22"/>
          <w:szCs w:val="22"/>
          <w:lang w:val="lt-LT"/>
        </w:rPr>
        <w:t>Akcinė bendrovė „Via Lietuva“</w:t>
      </w:r>
      <w:r w:rsidR="009575AB" w:rsidRPr="000D7E74">
        <w:rPr>
          <w:rFonts w:ascii="Arial" w:hAnsi="Arial" w:cs="Arial"/>
          <w:sz w:val="22"/>
          <w:szCs w:val="22"/>
          <w:lang w:val="lt-LT"/>
        </w:rPr>
        <w:t xml:space="preserve"> (toliau – Perkančioji organizacija)</w:t>
      </w:r>
      <w:r w:rsidRPr="000D7E74">
        <w:rPr>
          <w:rFonts w:ascii="Arial" w:hAnsi="Arial" w:cs="Arial"/>
          <w:sz w:val="22"/>
          <w:szCs w:val="22"/>
          <w:lang w:val="lt-LT"/>
        </w:rPr>
        <w:t xml:space="preserve"> gavo </w:t>
      </w:r>
      <w:r w:rsidR="00715525">
        <w:rPr>
          <w:rFonts w:ascii="Arial" w:hAnsi="Arial" w:cs="Arial"/>
          <w:sz w:val="22"/>
          <w:szCs w:val="22"/>
          <w:lang w:val="lt-LT"/>
        </w:rPr>
        <w:t>tiekėjo</w:t>
      </w:r>
      <w:r w:rsidRPr="000D7E74">
        <w:rPr>
          <w:rFonts w:ascii="Arial" w:hAnsi="Arial" w:cs="Arial"/>
          <w:sz w:val="22"/>
          <w:szCs w:val="22"/>
          <w:lang w:val="lt-LT"/>
        </w:rPr>
        <w:t xml:space="preserve"> klausim</w:t>
      </w:r>
      <w:r w:rsidR="00291F94">
        <w:rPr>
          <w:rFonts w:ascii="Arial" w:hAnsi="Arial" w:cs="Arial"/>
          <w:sz w:val="22"/>
          <w:szCs w:val="22"/>
          <w:lang w:val="lt-LT"/>
        </w:rPr>
        <w:t>ų</w:t>
      </w:r>
      <w:r w:rsidRPr="000D7E74">
        <w:rPr>
          <w:rFonts w:ascii="Arial" w:hAnsi="Arial" w:cs="Arial"/>
          <w:sz w:val="22"/>
          <w:szCs w:val="22"/>
          <w:lang w:val="lt-LT"/>
        </w:rPr>
        <w:t xml:space="preserve"> dėl viešojo pirkimo </w:t>
      </w:r>
      <w:r w:rsidR="00AB1EBD" w:rsidRPr="000D7E74">
        <w:rPr>
          <w:rFonts w:ascii="Arial" w:hAnsi="Arial" w:cs="Arial"/>
          <w:sz w:val="22"/>
          <w:szCs w:val="22"/>
          <w:lang w:val="lt-LT"/>
        </w:rPr>
        <w:t>(</w:t>
      </w:r>
      <w:r w:rsidR="001E7FF7" w:rsidRPr="000D7E74">
        <w:rPr>
          <w:rFonts w:ascii="Arial" w:hAnsi="Arial" w:cs="Arial"/>
          <w:sz w:val="22"/>
          <w:szCs w:val="22"/>
          <w:lang w:val="lt-LT"/>
        </w:rPr>
        <w:t>pirkimo ID</w:t>
      </w:r>
      <w:r w:rsidR="00EB0474" w:rsidRPr="000D7E74">
        <w:rPr>
          <w:rFonts w:ascii="Arial" w:hAnsi="Arial" w:cs="Arial"/>
          <w:sz w:val="22"/>
          <w:szCs w:val="22"/>
          <w:lang w:val="lt-LT"/>
        </w:rPr>
        <w:t xml:space="preserve"> </w:t>
      </w:r>
      <w:r w:rsidR="001E7FF7" w:rsidRPr="000D7E74">
        <w:rPr>
          <w:rFonts w:ascii="Arial" w:hAnsi="Arial" w:cs="Arial"/>
          <w:sz w:val="22"/>
          <w:szCs w:val="22"/>
          <w:lang w:val="lt-LT"/>
        </w:rPr>
        <w:t xml:space="preserve">Centrinėje viešųjų pirkimų informacinėje sistemoje </w:t>
      </w:r>
      <w:r w:rsidR="00F8394D" w:rsidRPr="000D7E74">
        <w:rPr>
          <w:rFonts w:ascii="Arial" w:hAnsi="Arial" w:cs="Arial"/>
          <w:sz w:val="22"/>
          <w:szCs w:val="22"/>
          <w:lang w:val="lt-LT"/>
        </w:rPr>
        <w:t>–</w:t>
      </w:r>
      <w:r w:rsidR="001E7FF7" w:rsidRPr="000D7E74">
        <w:rPr>
          <w:rFonts w:ascii="Arial" w:hAnsi="Arial" w:cs="Arial"/>
          <w:sz w:val="22"/>
          <w:szCs w:val="22"/>
          <w:lang w:val="lt-LT"/>
        </w:rPr>
        <w:t xml:space="preserve"> </w:t>
      </w:r>
      <w:r w:rsidR="00F8394D" w:rsidRPr="00F8394D">
        <w:rPr>
          <w:rFonts w:ascii="Arial" w:hAnsi="Arial" w:cs="Arial"/>
          <w:sz w:val="22"/>
          <w:szCs w:val="22"/>
          <w:lang w:val="lt-LT"/>
        </w:rPr>
        <w:t>7286437</w:t>
      </w:r>
      <w:r w:rsidR="00AB1EBD" w:rsidRPr="000D7E74">
        <w:rPr>
          <w:rFonts w:ascii="Arial" w:hAnsi="Arial" w:cs="Arial"/>
          <w:sz w:val="22"/>
          <w:szCs w:val="22"/>
          <w:lang w:val="lt-LT"/>
        </w:rPr>
        <w:t xml:space="preserve">) </w:t>
      </w:r>
      <w:r w:rsidRPr="000D7E74">
        <w:rPr>
          <w:rFonts w:ascii="Arial" w:hAnsi="Arial" w:cs="Arial"/>
          <w:sz w:val="22"/>
          <w:szCs w:val="22"/>
          <w:lang w:val="lt-LT"/>
        </w:rPr>
        <w:t>„</w:t>
      </w:r>
      <w:r w:rsidR="005923B7" w:rsidRPr="005923B7">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0D7E74">
        <w:rPr>
          <w:rFonts w:ascii="Arial" w:hAnsi="Arial" w:cs="Arial"/>
          <w:sz w:val="22"/>
          <w:szCs w:val="22"/>
          <w:lang w:val="lt-LT"/>
        </w:rPr>
        <w:t>“</w:t>
      </w:r>
      <w:r w:rsidR="009575AB" w:rsidRPr="000D7E74">
        <w:rPr>
          <w:rFonts w:ascii="Arial" w:hAnsi="Arial" w:cs="Arial"/>
          <w:sz w:val="22"/>
          <w:szCs w:val="22"/>
          <w:lang w:val="lt-LT"/>
        </w:rPr>
        <w:t xml:space="preserve"> </w:t>
      </w:r>
      <w:r w:rsidRPr="000D7E74">
        <w:rPr>
          <w:rFonts w:ascii="Arial" w:hAnsi="Arial" w:cs="Arial"/>
          <w:sz w:val="22"/>
          <w:szCs w:val="22"/>
          <w:lang w:val="lt-LT"/>
        </w:rPr>
        <w:t>dokumentų.</w:t>
      </w:r>
    </w:p>
    <w:p w14:paraId="22B7AD42" w14:textId="77777777" w:rsidR="003F5652" w:rsidRDefault="003F5652" w:rsidP="00241613">
      <w:pPr>
        <w:ind w:left="142" w:firstLine="425"/>
        <w:jc w:val="both"/>
        <w:rPr>
          <w:rFonts w:ascii="Arial" w:hAnsi="Arial" w:cs="Arial"/>
          <w:sz w:val="22"/>
          <w:szCs w:val="22"/>
          <w:lang w:val="lt-LT"/>
        </w:rPr>
      </w:pPr>
    </w:p>
    <w:p w14:paraId="75105544" w14:textId="107DDA26" w:rsidR="00D87B04" w:rsidRPr="00D9353E" w:rsidRDefault="00291F94" w:rsidP="00241613">
      <w:pPr>
        <w:ind w:left="142" w:firstLine="425"/>
        <w:jc w:val="both"/>
        <w:rPr>
          <w:rFonts w:ascii="Arial" w:hAnsi="Arial" w:cs="Arial"/>
          <w:sz w:val="22"/>
          <w:szCs w:val="22"/>
          <w:lang w:val="lt-LT"/>
        </w:rPr>
      </w:pPr>
      <w:r w:rsidRPr="00D9353E">
        <w:rPr>
          <w:rFonts w:ascii="Arial" w:hAnsi="Arial" w:cs="Arial"/>
          <w:sz w:val="22"/>
          <w:szCs w:val="22"/>
          <w:lang w:val="lt-LT"/>
        </w:rPr>
        <w:t>Tiekėjas rašo</w:t>
      </w:r>
      <w:r w:rsidR="00320295" w:rsidRPr="00D9353E">
        <w:rPr>
          <w:rFonts w:ascii="Arial" w:hAnsi="Arial" w:cs="Arial"/>
          <w:sz w:val="22"/>
          <w:szCs w:val="22"/>
          <w:lang w:val="lt-LT"/>
        </w:rPr>
        <w:t xml:space="preserve"> ir</w:t>
      </w:r>
      <w:r w:rsidR="00CE5616" w:rsidRPr="00D9353E">
        <w:rPr>
          <w:rFonts w:ascii="Arial" w:hAnsi="Arial" w:cs="Arial"/>
          <w:sz w:val="22"/>
          <w:szCs w:val="22"/>
          <w:lang w:val="lt-LT"/>
        </w:rPr>
        <w:t xml:space="preserve"> po to </w:t>
      </w:r>
      <w:r w:rsidR="00320295" w:rsidRPr="00D9353E">
        <w:rPr>
          <w:rFonts w:ascii="Arial" w:hAnsi="Arial" w:cs="Arial"/>
          <w:sz w:val="22"/>
          <w:szCs w:val="22"/>
          <w:lang w:val="lt-LT"/>
        </w:rPr>
        <w:t xml:space="preserve"> teikia klausimus</w:t>
      </w:r>
      <w:r w:rsidR="00CE5616" w:rsidRPr="00D9353E">
        <w:rPr>
          <w:rFonts w:ascii="Arial" w:hAnsi="Arial" w:cs="Arial"/>
          <w:sz w:val="22"/>
          <w:szCs w:val="22"/>
          <w:lang w:val="lt-LT"/>
        </w:rPr>
        <w:t>, kurie išdėstyti lentelės 2 stulpelyje</w:t>
      </w:r>
      <w:r w:rsidR="00D058E7">
        <w:rPr>
          <w:rFonts w:ascii="Arial" w:hAnsi="Arial" w:cs="Arial"/>
          <w:sz w:val="22"/>
          <w:szCs w:val="22"/>
          <w:lang w:val="lt-LT"/>
        </w:rPr>
        <w:t xml:space="preserve"> (tiekėjo atsiųstas tekstas išdėstomas pasvirusiomis raidėmis)</w:t>
      </w:r>
      <w:r w:rsidRPr="00D9353E">
        <w:rPr>
          <w:rFonts w:ascii="Arial" w:hAnsi="Arial" w:cs="Arial"/>
          <w:sz w:val="22"/>
          <w:szCs w:val="22"/>
          <w:lang w:val="lt-LT"/>
        </w:rPr>
        <w:t>:</w:t>
      </w:r>
    </w:p>
    <w:p w14:paraId="65FF8E49" w14:textId="77777777" w:rsidR="00CE5616" w:rsidRPr="00D9353E" w:rsidRDefault="00CE5616" w:rsidP="00241613">
      <w:pPr>
        <w:ind w:left="142" w:firstLine="425"/>
        <w:jc w:val="both"/>
        <w:rPr>
          <w:rFonts w:ascii="Arial" w:hAnsi="Arial" w:cs="Arial"/>
          <w:sz w:val="22"/>
          <w:szCs w:val="22"/>
          <w:lang w:val="lt-LT"/>
        </w:rPr>
      </w:pPr>
    </w:p>
    <w:p w14:paraId="6A6DD6E6" w14:textId="2F716DFC" w:rsidR="00291F94" w:rsidRDefault="00041D26" w:rsidP="00241613">
      <w:pPr>
        <w:ind w:left="142" w:firstLine="425"/>
        <w:jc w:val="both"/>
        <w:rPr>
          <w:rFonts w:ascii="Arial" w:hAnsi="Arial" w:cs="Arial"/>
          <w:i/>
          <w:iCs/>
          <w:sz w:val="22"/>
          <w:szCs w:val="22"/>
          <w:lang w:val="lt-LT"/>
        </w:rPr>
      </w:pPr>
      <w:r w:rsidRPr="00CA7115">
        <w:rPr>
          <w:rFonts w:ascii="Arial" w:hAnsi="Arial" w:cs="Arial"/>
          <w:i/>
          <w:iCs/>
          <w:sz w:val="22"/>
          <w:szCs w:val="22"/>
          <w:lang w:val="lt-LT"/>
        </w:rPr>
        <w:t>Susipažinus su valstybinės reikšmės magistralinio kelio A6 Kaunas–Zarasai–Daugpilis ruožo nuo 27,866 iki 29,098 km rekonstrukcijos techniniais sprendiniais bei inžinerinių geologinių ir geotechninių tyrimų (2024 m.) ataskaitomis, kyla pagrįstų klausimų dėl projekte numatytų grunto stiprinimo sprendinių pakankamumo, atsižvelgiant į faktines gruntines sąlygas ir kelio kategoriją.</w:t>
      </w:r>
    </w:p>
    <w:p w14:paraId="0C0F97C9" w14:textId="77777777" w:rsidR="00D6356A" w:rsidRPr="00CA7115" w:rsidRDefault="00D6356A" w:rsidP="00241613">
      <w:pPr>
        <w:ind w:left="142" w:firstLine="425"/>
        <w:jc w:val="both"/>
        <w:rPr>
          <w:rFonts w:ascii="Arial" w:hAnsi="Arial" w:cs="Arial"/>
          <w:i/>
          <w:iCs/>
          <w:sz w:val="22"/>
          <w:szCs w:val="22"/>
          <w:lang w:val="lt-LT"/>
        </w:rPr>
      </w:pPr>
    </w:p>
    <w:p w14:paraId="375E9A7D" w14:textId="77777777" w:rsidR="006868E2" w:rsidRPr="00CA7115" w:rsidRDefault="006868E2" w:rsidP="006868E2">
      <w:pPr>
        <w:ind w:left="142" w:firstLine="425"/>
        <w:jc w:val="both"/>
        <w:rPr>
          <w:rFonts w:ascii="Arial" w:hAnsi="Arial" w:cs="Arial"/>
          <w:i/>
          <w:iCs/>
          <w:sz w:val="22"/>
          <w:szCs w:val="22"/>
          <w:lang w:val="lt-LT"/>
        </w:rPr>
      </w:pPr>
      <w:r w:rsidRPr="00CA7115">
        <w:rPr>
          <w:rFonts w:ascii="Arial" w:hAnsi="Arial" w:cs="Arial"/>
          <w:i/>
          <w:iCs/>
          <w:sz w:val="22"/>
          <w:szCs w:val="22"/>
          <w:lang w:val="lt-LT"/>
        </w:rPr>
        <w:t>1. Faktinės gruntinės sąlygos pagal GEO ataskaitas</w:t>
      </w:r>
    </w:p>
    <w:p w14:paraId="4186ABF2" w14:textId="43599137" w:rsidR="003F5652" w:rsidRPr="00CA7115" w:rsidRDefault="006868E2" w:rsidP="006868E2">
      <w:pPr>
        <w:ind w:left="142" w:firstLine="425"/>
        <w:jc w:val="both"/>
        <w:rPr>
          <w:rFonts w:ascii="Arial" w:hAnsi="Arial" w:cs="Arial"/>
          <w:i/>
          <w:iCs/>
          <w:sz w:val="22"/>
          <w:szCs w:val="22"/>
          <w:lang w:val="lt-LT"/>
        </w:rPr>
      </w:pPr>
      <w:r w:rsidRPr="00CA7115">
        <w:rPr>
          <w:rFonts w:ascii="Arial" w:hAnsi="Arial" w:cs="Arial"/>
          <w:i/>
          <w:iCs/>
          <w:sz w:val="22"/>
          <w:szCs w:val="22"/>
          <w:lang w:val="lt-LT"/>
        </w:rPr>
        <w:t>Pagal pateiktas gręžinių ir CPT medžiagas (įskaitant, bet neapsiribojant Gr.SZ 89, Gr.SZ 87, Gr.SZ 83, Gr.SZ 91, Gr.SZ 110, Gr.SZ 96, Gr.SZ 98):</w:t>
      </w:r>
    </w:p>
    <w:p w14:paraId="7D84CEBA" w14:textId="77777777"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Iki ~5,0–6,0 m gylio daugumoje ruožo nustatyti:</w:t>
      </w:r>
    </w:p>
    <w:p w14:paraId="6AFBC31C" w14:textId="77777777"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labai purūs–purūs smėliai, vietomis su žvirgždo priemaiša;</w:t>
      </w:r>
    </w:p>
    <w:p w14:paraId="5778E7A8" w14:textId="77777777"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vandeningi smėliai, pasižymintys mažu laikomumu ir dideliu deformabilumu;</w:t>
      </w:r>
    </w:p>
    <w:p w14:paraId="545BF3D1" w14:textId="77777777" w:rsidR="00D9353E" w:rsidRPr="00CA7115" w:rsidRDefault="00D9353E" w:rsidP="00D9353E">
      <w:pPr>
        <w:ind w:left="142" w:firstLine="425"/>
        <w:jc w:val="both"/>
        <w:rPr>
          <w:rFonts w:ascii="Arial" w:hAnsi="Arial" w:cs="Arial"/>
          <w:i/>
          <w:iCs/>
          <w:sz w:val="22"/>
          <w:szCs w:val="22"/>
          <w:lang w:val="lt-LT"/>
        </w:rPr>
      </w:pPr>
    </w:p>
    <w:p w14:paraId="66A58652" w14:textId="77777777"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CPT duomenyse šiame gylyje fiksuojamos žemos kūgio pasipriešinimo (q</w:t>
      </w:r>
      <w:r w:rsidRPr="00CA7115">
        <w:rPr>
          <w:rFonts w:ascii="Cambria Math" w:hAnsi="Cambria Math" w:cs="Cambria Math"/>
          <w:i/>
          <w:iCs/>
          <w:sz w:val="22"/>
          <w:szCs w:val="22"/>
          <w:lang w:val="lt-LT"/>
        </w:rPr>
        <w:t>ₙ</w:t>
      </w:r>
      <w:r w:rsidRPr="00CA7115">
        <w:rPr>
          <w:rFonts w:ascii="Arial" w:hAnsi="Arial" w:cs="Arial"/>
          <w:i/>
          <w:iCs/>
          <w:sz w:val="22"/>
          <w:szCs w:val="22"/>
          <w:lang w:val="lt-LT"/>
        </w:rPr>
        <w:t>) ir šoninio pasipriešinimo (f</w:t>
      </w:r>
      <w:r w:rsidRPr="00CA7115">
        <w:rPr>
          <w:rFonts w:ascii="Cambria Math" w:hAnsi="Cambria Math" w:cs="Cambria Math"/>
          <w:i/>
          <w:iCs/>
          <w:sz w:val="22"/>
          <w:szCs w:val="22"/>
          <w:lang w:val="lt-LT"/>
        </w:rPr>
        <w:t>ₛ</w:t>
      </w:r>
      <w:r w:rsidRPr="00CA7115">
        <w:rPr>
          <w:rFonts w:ascii="Arial" w:hAnsi="Arial" w:cs="Arial"/>
          <w:i/>
          <w:iCs/>
          <w:sz w:val="22"/>
          <w:szCs w:val="22"/>
          <w:lang w:val="lt-LT"/>
        </w:rPr>
        <w:t>) reikšmės, rodančios nepakankamą grunto standumą transporto apkrovoms;</w:t>
      </w:r>
    </w:p>
    <w:p w14:paraId="771ED91E" w14:textId="77777777"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Tik žemiau ~5,5–6,0 m gylio daugelyje gręžinių fiksuojami stiprūs, mažai suspaudžiami gruntai (moreniniai moliai / priemoliai), galintys būti laikomuoju sluoksniu.</w:t>
      </w:r>
    </w:p>
    <w:p w14:paraId="0171A440" w14:textId="757C523A" w:rsidR="00D9353E" w:rsidRPr="00CA7115" w:rsidRDefault="00D9353E" w:rsidP="00D9353E">
      <w:pPr>
        <w:ind w:left="142" w:firstLine="425"/>
        <w:jc w:val="both"/>
        <w:rPr>
          <w:rFonts w:ascii="Arial" w:hAnsi="Arial" w:cs="Arial"/>
          <w:i/>
          <w:iCs/>
          <w:sz w:val="22"/>
          <w:szCs w:val="22"/>
          <w:lang w:val="lt-LT"/>
        </w:rPr>
      </w:pPr>
      <w:r w:rsidRPr="00CA7115">
        <w:rPr>
          <w:rFonts w:ascii="Arial" w:hAnsi="Arial" w:cs="Arial"/>
          <w:i/>
          <w:iCs/>
          <w:sz w:val="22"/>
          <w:szCs w:val="22"/>
          <w:lang w:val="lt-LT"/>
        </w:rPr>
        <w:t>Atsižvelgiant į tai, konstatuotina, kad kelio konstrukcija projektuojama ant storos (iki ~6 m) silpnų ir deformabilių gruntų sekos.</w:t>
      </w:r>
    </w:p>
    <w:p w14:paraId="3B30ACED" w14:textId="77777777" w:rsidR="002C7589" w:rsidRPr="00CA7115" w:rsidRDefault="002C7589" w:rsidP="00D9353E">
      <w:pPr>
        <w:ind w:left="142" w:firstLine="425"/>
        <w:jc w:val="both"/>
        <w:rPr>
          <w:rFonts w:ascii="Arial" w:hAnsi="Arial" w:cs="Arial"/>
          <w:i/>
          <w:iCs/>
          <w:sz w:val="22"/>
          <w:szCs w:val="22"/>
          <w:lang w:val="lt-LT"/>
        </w:rPr>
      </w:pPr>
    </w:p>
    <w:p w14:paraId="79E3544B" w14:textId="77777777"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2. Projektinių sprendinių vertinimas</w:t>
      </w:r>
    </w:p>
    <w:p w14:paraId="2125AC3F" w14:textId="77777777"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Pagal pateiktus sprendinius numatoma:</w:t>
      </w:r>
    </w:p>
    <w:p w14:paraId="3D4DAF0D" w14:textId="77777777" w:rsidR="002C7589" w:rsidRPr="00CA7115" w:rsidRDefault="002C7589" w:rsidP="002C7589">
      <w:pPr>
        <w:ind w:left="142" w:firstLine="425"/>
        <w:jc w:val="both"/>
        <w:rPr>
          <w:rFonts w:ascii="Arial" w:hAnsi="Arial" w:cs="Arial"/>
          <w:i/>
          <w:iCs/>
          <w:sz w:val="22"/>
          <w:szCs w:val="22"/>
          <w:lang w:val="lt-LT"/>
        </w:rPr>
      </w:pPr>
    </w:p>
    <w:p w14:paraId="6841481B" w14:textId="7CE691EA"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 grunto stabilizacija cementu viršutiniuose sluoksniuose, tolesnis kelio konstrukcijos sluoksnių (smėlis, skaldos pagrindas, asfalto danga) įrengimas,</w:t>
      </w:r>
      <w:r w:rsidR="006457FB">
        <w:rPr>
          <w:rFonts w:ascii="Arial" w:hAnsi="Arial" w:cs="Arial"/>
          <w:i/>
          <w:iCs/>
          <w:sz w:val="22"/>
          <w:szCs w:val="22"/>
          <w:lang w:val="lt-LT"/>
        </w:rPr>
        <w:t xml:space="preserve"> </w:t>
      </w:r>
      <w:r w:rsidRPr="00CA7115">
        <w:rPr>
          <w:rFonts w:ascii="Arial" w:hAnsi="Arial" w:cs="Arial"/>
          <w:i/>
          <w:iCs/>
          <w:sz w:val="22"/>
          <w:szCs w:val="22"/>
          <w:lang w:val="lt-LT"/>
        </w:rPr>
        <w:t>tačiau nenumatytos gilaus grunto stiprinimo priemonės, kurios dirbtų visame silpno grunto storyje iki laikomojo sluoksnio.</w:t>
      </w:r>
    </w:p>
    <w:p w14:paraId="2B783177" w14:textId="77777777"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Pažymėtina, kad:</w:t>
      </w:r>
    </w:p>
    <w:p w14:paraId="3D0E6D29" w14:textId="77777777"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 grunto stabilizavimas cementu efektyviai veikia tik ribotame gylyje ir neeliminuoja ilgalaikių nuosėdų, kai po juo išlieka storas silpnų gruntų sluoksnis;</w:t>
      </w:r>
    </w:p>
    <w:p w14:paraId="64C9891C" w14:textId="6D7E89F2" w:rsidR="002C7589" w:rsidRPr="00CA7115" w:rsidRDefault="002C7589" w:rsidP="002C7589">
      <w:pPr>
        <w:ind w:left="142" w:firstLine="425"/>
        <w:jc w:val="both"/>
        <w:rPr>
          <w:rFonts w:ascii="Arial" w:hAnsi="Arial" w:cs="Arial"/>
          <w:i/>
          <w:iCs/>
          <w:sz w:val="22"/>
          <w:szCs w:val="22"/>
          <w:lang w:val="lt-LT"/>
        </w:rPr>
      </w:pPr>
      <w:r w:rsidRPr="00CA7115">
        <w:rPr>
          <w:rFonts w:ascii="Arial" w:hAnsi="Arial" w:cs="Arial"/>
          <w:i/>
          <w:iCs/>
          <w:sz w:val="22"/>
          <w:szCs w:val="22"/>
          <w:lang w:val="lt-LT"/>
        </w:rPr>
        <w:t>- magistraliniams keliams keliami padidinti ilgaamžiškumo, lygumo ir eksploatacinio patikimumo reikalavimai, kurių neįmanoma užtikrinti nevaldant ilgalaikių deformacijų.</w:t>
      </w:r>
    </w:p>
    <w:p w14:paraId="3D0FDD70" w14:textId="77777777" w:rsidR="00C80B93" w:rsidRPr="00CA7115" w:rsidRDefault="00C80B93" w:rsidP="002C7589">
      <w:pPr>
        <w:ind w:left="142" w:firstLine="425"/>
        <w:jc w:val="both"/>
        <w:rPr>
          <w:rFonts w:ascii="Arial" w:hAnsi="Arial" w:cs="Arial"/>
          <w:i/>
          <w:iCs/>
          <w:sz w:val="22"/>
          <w:szCs w:val="22"/>
          <w:lang w:val="lt-LT"/>
        </w:rPr>
      </w:pPr>
    </w:p>
    <w:p w14:paraId="632187A6" w14:textId="77777777" w:rsidR="00C80B93" w:rsidRPr="00CA7115" w:rsidRDefault="00C80B93" w:rsidP="002C7589">
      <w:pPr>
        <w:ind w:left="142" w:firstLine="425"/>
        <w:jc w:val="both"/>
        <w:rPr>
          <w:rFonts w:ascii="Arial" w:hAnsi="Arial" w:cs="Arial"/>
          <w:i/>
          <w:iCs/>
          <w:sz w:val="22"/>
          <w:szCs w:val="22"/>
          <w:lang w:val="lt-LT"/>
        </w:rPr>
      </w:pPr>
    </w:p>
    <w:p w14:paraId="617AA170" w14:textId="77777777" w:rsidR="00C80B93" w:rsidRPr="00CA7115" w:rsidRDefault="00C80B93" w:rsidP="002C7589">
      <w:pPr>
        <w:ind w:left="142" w:firstLine="425"/>
        <w:jc w:val="both"/>
        <w:rPr>
          <w:rFonts w:ascii="Arial" w:hAnsi="Arial" w:cs="Arial"/>
          <w:i/>
          <w:iCs/>
          <w:sz w:val="22"/>
          <w:szCs w:val="22"/>
          <w:lang w:val="lt-LT"/>
        </w:rPr>
      </w:pPr>
    </w:p>
    <w:p w14:paraId="0EBCB132" w14:textId="77777777" w:rsidR="00C80B93" w:rsidRPr="00CA7115" w:rsidRDefault="00C80B93" w:rsidP="002C7589">
      <w:pPr>
        <w:ind w:left="142" w:firstLine="425"/>
        <w:jc w:val="both"/>
        <w:rPr>
          <w:rFonts w:ascii="Arial" w:hAnsi="Arial" w:cs="Arial"/>
          <w:i/>
          <w:iCs/>
          <w:sz w:val="22"/>
          <w:szCs w:val="22"/>
          <w:lang w:val="lt-LT"/>
        </w:rPr>
      </w:pPr>
    </w:p>
    <w:p w14:paraId="3758ACEA" w14:textId="77777777" w:rsidR="00EF0D5C" w:rsidRPr="00CA7115" w:rsidRDefault="00EF0D5C" w:rsidP="00EF0D5C">
      <w:pPr>
        <w:ind w:left="142" w:firstLine="425"/>
        <w:jc w:val="both"/>
        <w:rPr>
          <w:rFonts w:ascii="Arial" w:hAnsi="Arial" w:cs="Arial"/>
          <w:i/>
          <w:iCs/>
          <w:sz w:val="22"/>
          <w:szCs w:val="22"/>
          <w:lang w:val="lt-LT"/>
        </w:rPr>
      </w:pPr>
      <w:r w:rsidRPr="00CA7115">
        <w:rPr>
          <w:rFonts w:ascii="Arial" w:hAnsi="Arial" w:cs="Arial"/>
          <w:i/>
          <w:iCs/>
          <w:sz w:val="22"/>
          <w:szCs w:val="22"/>
          <w:lang w:val="lt-LT"/>
        </w:rPr>
        <w:t>3. Rizikos neįgyvendinus gilaus grunto stiprinimo</w:t>
      </w:r>
    </w:p>
    <w:p w14:paraId="643E4116" w14:textId="5FEE4F05" w:rsidR="00C80B93" w:rsidRPr="00CA7115" w:rsidRDefault="00EF0D5C" w:rsidP="00EF0D5C">
      <w:pPr>
        <w:ind w:left="142" w:firstLine="425"/>
        <w:jc w:val="both"/>
        <w:rPr>
          <w:rFonts w:ascii="Arial" w:hAnsi="Arial" w:cs="Arial"/>
          <w:i/>
          <w:iCs/>
          <w:sz w:val="22"/>
          <w:szCs w:val="22"/>
          <w:lang w:val="lt-LT"/>
        </w:rPr>
      </w:pPr>
      <w:r w:rsidRPr="00CA7115">
        <w:rPr>
          <w:rFonts w:ascii="Arial" w:hAnsi="Arial" w:cs="Arial"/>
          <w:i/>
          <w:iCs/>
          <w:sz w:val="22"/>
          <w:szCs w:val="22"/>
          <w:lang w:val="lt-LT"/>
        </w:rPr>
        <w:t>Esant nustatytoms gruntinėms sąlygoms ir nenumatant gilaus grunto stiprinimo, prognozuojama padidinta rizika:</w:t>
      </w:r>
    </w:p>
    <w:p w14:paraId="04F7F6E9" w14:textId="77777777" w:rsidR="00C80B93" w:rsidRPr="00CA7115" w:rsidRDefault="00C80B93" w:rsidP="002C7589">
      <w:pPr>
        <w:ind w:left="142" w:firstLine="425"/>
        <w:jc w:val="both"/>
        <w:rPr>
          <w:rFonts w:ascii="Arial" w:hAnsi="Arial" w:cs="Arial"/>
          <w:i/>
          <w:iCs/>
          <w:sz w:val="22"/>
          <w:szCs w:val="22"/>
          <w:lang w:val="lt-LT"/>
        </w:rPr>
      </w:pPr>
    </w:p>
    <w:p w14:paraId="5BD01BAD" w14:textId="77777777" w:rsidR="00FC1BB5" w:rsidRPr="00CA7115" w:rsidRDefault="00FC1BB5" w:rsidP="00FC1BB5">
      <w:pPr>
        <w:ind w:left="142" w:firstLine="425"/>
        <w:jc w:val="both"/>
        <w:rPr>
          <w:rFonts w:ascii="Arial" w:hAnsi="Arial" w:cs="Arial"/>
          <w:i/>
          <w:iCs/>
          <w:sz w:val="22"/>
          <w:szCs w:val="22"/>
          <w:lang w:val="lt-LT"/>
        </w:rPr>
      </w:pPr>
      <w:r w:rsidRPr="00CA7115">
        <w:rPr>
          <w:rFonts w:ascii="Arial" w:hAnsi="Arial" w:cs="Arial"/>
          <w:i/>
          <w:iCs/>
          <w:sz w:val="22"/>
          <w:szCs w:val="22"/>
          <w:lang w:val="lt-LT"/>
        </w:rPr>
        <w:t>- ilgalaikėms ir diferencinėms nuosėdoms;</w:t>
      </w:r>
    </w:p>
    <w:p w14:paraId="59C29456" w14:textId="77777777" w:rsidR="00FC1BB5" w:rsidRPr="00CA7115" w:rsidRDefault="00FC1BB5" w:rsidP="00FC1BB5">
      <w:pPr>
        <w:ind w:left="142" w:firstLine="425"/>
        <w:jc w:val="both"/>
        <w:rPr>
          <w:rFonts w:ascii="Arial" w:hAnsi="Arial" w:cs="Arial"/>
          <w:i/>
          <w:iCs/>
          <w:sz w:val="22"/>
          <w:szCs w:val="22"/>
          <w:lang w:val="lt-LT"/>
        </w:rPr>
      </w:pPr>
      <w:r w:rsidRPr="00CA7115">
        <w:rPr>
          <w:rFonts w:ascii="Arial" w:hAnsi="Arial" w:cs="Arial"/>
          <w:i/>
          <w:iCs/>
          <w:sz w:val="22"/>
          <w:szCs w:val="22"/>
          <w:lang w:val="lt-LT"/>
        </w:rPr>
        <w:t>- kelio dangos bangavimui, provėžų formavimuisi;</w:t>
      </w:r>
    </w:p>
    <w:p w14:paraId="18C194F1" w14:textId="77777777" w:rsidR="00FC1BB5" w:rsidRPr="00CA7115" w:rsidRDefault="00FC1BB5" w:rsidP="00FC1BB5">
      <w:pPr>
        <w:ind w:left="142" w:firstLine="425"/>
        <w:jc w:val="both"/>
        <w:rPr>
          <w:rFonts w:ascii="Arial" w:hAnsi="Arial" w:cs="Arial"/>
          <w:i/>
          <w:iCs/>
          <w:sz w:val="22"/>
          <w:szCs w:val="22"/>
          <w:lang w:val="lt-LT"/>
        </w:rPr>
      </w:pPr>
      <w:r w:rsidRPr="00CA7115">
        <w:rPr>
          <w:rFonts w:ascii="Arial" w:hAnsi="Arial" w:cs="Arial"/>
          <w:i/>
          <w:iCs/>
          <w:sz w:val="22"/>
          <w:szCs w:val="22"/>
          <w:lang w:val="lt-LT"/>
        </w:rPr>
        <w:t>- ankstyviems asfalto dangos pažeidimams;</w:t>
      </w:r>
    </w:p>
    <w:p w14:paraId="3557E08A" w14:textId="557B9207" w:rsidR="00C80B93" w:rsidRPr="00CA7115" w:rsidRDefault="00FC1BB5" w:rsidP="00FC1BB5">
      <w:pPr>
        <w:ind w:left="142" w:firstLine="425"/>
        <w:jc w:val="both"/>
        <w:rPr>
          <w:rFonts w:ascii="Arial" w:hAnsi="Arial" w:cs="Arial"/>
          <w:i/>
          <w:iCs/>
          <w:sz w:val="22"/>
          <w:szCs w:val="22"/>
          <w:lang w:val="lt-LT"/>
        </w:rPr>
      </w:pPr>
      <w:r w:rsidRPr="00CA7115">
        <w:rPr>
          <w:rFonts w:ascii="Arial" w:hAnsi="Arial" w:cs="Arial"/>
          <w:i/>
          <w:iCs/>
          <w:sz w:val="22"/>
          <w:szCs w:val="22"/>
          <w:lang w:val="lt-LT"/>
        </w:rPr>
        <w:t>- padidintoms priežiūros ir remonto sąnaudoms eksploatacijos metu.</w:t>
      </w:r>
    </w:p>
    <w:p w14:paraId="7E902E80" w14:textId="77777777" w:rsidR="00696032" w:rsidRPr="00CA7115" w:rsidRDefault="00696032" w:rsidP="00FC1BB5">
      <w:pPr>
        <w:ind w:left="142" w:firstLine="425"/>
        <w:jc w:val="both"/>
        <w:rPr>
          <w:rFonts w:ascii="Arial" w:hAnsi="Arial" w:cs="Arial"/>
          <w:i/>
          <w:iCs/>
          <w:sz w:val="22"/>
          <w:szCs w:val="22"/>
          <w:lang w:val="lt-LT"/>
        </w:rPr>
      </w:pPr>
    </w:p>
    <w:p w14:paraId="5DD6F628" w14:textId="22BC293E" w:rsidR="00696032" w:rsidRPr="00CA7115" w:rsidRDefault="00696032" w:rsidP="00696032">
      <w:pPr>
        <w:ind w:left="142" w:firstLine="425"/>
        <w:jc w:val="both"/>
        <w:rPr>
          <w:rFonts w:ascii="Arial" w:hAnsi="Arial" w:cs="Arial"/>
          <w:i/>
          <w:iCs/>
          <w:sz w:val="22"/>
          <w:szCs w:val="22"/>
          <w:lang w:val="lt-LT"/>
        </w:rPr>
      </w:pPr>
      <w:r w:rsidRPr="00CA7115">
        <w:rPr>
          <w:rFonts w:ascii="Arial" w:hAnsi="Arial" w:cs="Arial"/>
          <w:i/>
          <w:iCs/>
          <w:sz w:val="22"/>
          <w:szCs w:val="22"/>
          <w:lang w:val="lt-LT"/>
        </w:rPr>
        <w:t>Tokios pasekmės būtų nesuderinamos su valstybinės reikšmės magistralinio kelio funkciniais ir eksploataciniais reikalavimais.</w:t>
      </w:r>
    </w:p>
    <w:p w14:paraId="606D9349" w14:textId="77777777" w:rsidR="00396ECE" w:rsidRPr="00CA7115" w:rsidRDefault="00396ECE" w:rsidP="00696032">
      <w:pPr>
        <w:ind w:left="142" w:firstLine="425"/>
        <w:jc w:val="both"/>
        <w:rPr>
          <w:rFonts w:ascii="Arial" w:hAnsi="Arial" w:cs="Arial"/>
          <w:i/>
          <w:iCs/>
          <w:sz w:val="22"/>
          <w:szCs w:val="22"/>
          <w:lang w:val="lt-LT"/>
        </w:rPr>
      </w:pPr>
    </w:p>
    <w:p w14:paraId="5DA2019A" w14:textId="77777777" w:rsidR="00396ECE" w:rsidRPr="00CA7115" w:rsidRDefault="00396ECE" w:rsidP="00396ECE">
      <w:pPr>
        <w:ind w:left="142" w:firstLine="425"/>
        <w:jc w:val="both"/>
        <w:rPr>
          <w:rFonts w:ascii="Arial" w:hAnsi="Arial" w:cs="Arial"/>
          <w:i/>
          <w:iCs/>
          <w:sz w:val="22"/>
          <w:szCs w:val="22"/>
          <w:lang w:val="lt-LT"/>
        </w:rPr>
      </w:pPr>
      <w:r w:rsidRPr="00CA7115">
        <w:rPr>
          <w:rFonts w:ascii="Arial" w:hAnsi="Arial" w:cs="Arial"/>
          <w:i/>
          <w:iCs/>
          <w:sz w:val="22"/>
          <w:szCs w:val="22"/>
          <w:lang w:val="lt-LT"/>
        </w:rPr>
        <w:t>4. Prašomi paaiškinimai</w:t>
      </w:r>
    </w:p>
    <w:p w14:paraId="2B244D55" w14:textId="77777777" w:rsidR="00396ECE" w:rsidRPr="00CA7115" w:rsidRDefault="00396ECE" w:rsidP="00396ECE">
      <w:pPr>
        <w:ind w:left="142" w:firstLine="425"/>
        <w:jc w:val="both"/>
        <w:rPr>
          <w:rFonts w:ascii="Arial" w:hAnsi="Arial" w:cs="Arial"/>
          <w:i/>
          <w:iCs/>
          <w:sz w:val="22"/>
          <w:szCs w:val="22"/>
          <w:lang w:val="lt-LT"/>
        </w:rPr>
      </w:pPr>
      <w:r w:rsidRPr="00CA7115">
        <w:rPr>
          <w:rFonts w:ascii="Arial" w:hAnsi="Arial" w:cs="Arial"/>
          <w:i/>
          <w:iCs/>
          <w:sz w:val="22"/>
          <w:szCs w:val="22"/>
          <w:lang w:val="lt-LT"/>
        </w:rPr>
        <w:t>Atsižvelgiant į aukščiau išdėstytas aplinkybes, prašome paaiškinti ( į kiekvieną klausimą atskirai 1-4):</w:t>
      </w:r>
    </w:p>
    <w:p w14:paraId="460208CC" w14:textId="77777777" w:rsidR="00396ECE" w:rsidRPr="00CA7115" w:rsidRDefault="00396ECE" w:rsidP="00696032">
      <w:pPr>
        <w:ind w:left="142" w:firstLine="425"/>
        <w:jc w:val="both"/>
        <w:rPr>
          <w:rFonts w:ascii="Arial" w:hAnsi="Arial" w:cs="Arial"/>
          <w:i/>
          <w:iCs/>
          <w:sz w:val="22"/>
          <w:szCs w:val="22"/>
          <w:lang w:val="lt-LT"/>
        </w:rPr>
      </w:pPr>
    </w:p>
    <w:p w14:paraId="2720D503" w14:textId="77777777" w:rsidR="00DC7301" w:rsidRDefault="00DC7301" w:rsidP="004F5315">
      <w:pPr>
        <w:ind w:firstLine="567"/>
        <w:jc w:val="both"/>
        <w:rPr>
          <w:rFonts w:ascii="Arial" w:hAnsi="Arial" w:cs="Arial"/>
          <w:sz w:val="8"/>
          <w:szCs w:val="8"/>
          <w:lang w:val="lt-LT"/>
        </w:rPr>
      </w:pPr>
    </w:p>
    <w:p w14:paraId="615647A9" w14:textId="77777777" w:rsidR="00D87B04" w:rsidRDefault="00D87B04" w:rsidP="004F5315">
      <w:pPr>
        <w:ind w:firstLine="567"/>
        <w:jc w:val="both"/>
        <w:rPr>
          <w:rFonts w:ascii="Arial" w:hAnsi="Arial" w:cs="Arial"/>
          <w:sz w:val="8"/>
          <w:szCs w:val="8"/>
          <w:lang w:val="lt-LT"/>
        </w:rPr>
      </w:pPr>
    </w:p>
    <w:p w14:paraId="3F401420" w14:textId="77777777" w:rsidR="00D87B04" w:rsidRPr="000D7E74" w:rsidRDefault="00D87B04"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4531"/>
        <w:gridCol w:w="4536"/>
      </w:tblGrid>
      <w:tr w:rsidR="004F5315" w:rsidRPr="00CE6F6E" w14:paraId="4F866A33" w14:textId="77777777" w:rsidTr="007B50CB">
        <w:trPr>
          <w:trHeight w:val="521"/>
          <w:jc w:val="center"/>
        </w:trPr>
        <w:tc>
          <w:tcPr>
            <w:tcW w:w="709" w:type="dxa"/>
            <w:vAlign w:val="center"/>
          </w:tcPr>
          <w:p w14:paraId="69360917" w14:textId="77777777" w:rsidR="004F5315" w:rsidRPr="00CE6F6E" w:rsidRDefault="004F5315" w:rsidP="007B50CB">
            <w:pPr>
              <w:jc w:val="center"/>
              <w:rPr>
                <w:rFonts w:ascii="Arial" w:hAnsi="Arial" w:cs="Arial"/>
                <w:b/>
                <w:bCs/>
                <w:sz w:val="22"/>
                <w:szCs w:val="22"/>
                <w:lang w:val="lt-LT"/>
              </w:rPr>
            </w:pPr>
            <w:r w:rsidRPr="00CE6F6E">
              <w:rPr>
                <w:rFonts w:ascii="Arial" w:hAnsi="Arial" w:cs="Arial"/>
                <w:b/>
                <w:bCs/>
                <w:sz w:val="22"/>
                <w:szCs w:val="22"/>
                <w:lang w:val="lt-LT"/>
              </w:rPr>
              <w:t>Eil. Nr.</w:t>
            </w:r>
          </w:p>
        </w:tc>
        <w:tc>
          <w:tcPr>
            <w:tcW w:w="4531" w:type="dxa"/>
            <w:vAlign w:val="center"/>
          </w:tcPr>
          <w:p w14:paraId="5907B994" w14:textId="490E39F8" w:rsidR="004F5315" w:rsidRPr="00CE6F6E" w:rsidRDefault="004F5315" w:rsidP="007B50CB">
            <w:pPr>
              <w:jc w:val="center"/>
              <w:rPr>
                <w:rFonts w:ascii="Arial" w:hAnsi="Arial" w:cs="Arial"/>
                <w:b/>
                <w:bCs/>
                <w:sz w:val="22"/>
                <w:szCs w:val="22"/>
                <w:lang w:val="lt-LT"/>
              </w:rPr>
            </w:pPr>
            <w:r w:rsidRPr="00CE6F6E">
              <w:rPr>
                <w:rFonts w:ascii="Arial" w:hAnsi="Arial" w:cs="Arial"/>
                <w:b/>
                <w:bCs/>
                <w:sz w:val="22"/>
                <w:szCs w:val="22"/>
                <w:lang w:val="lt-LT"/>
              </w:rPr>
              <w:t>Klausimas</w:t>
            </w:r>
            <w:r w:rsidR="001E7FF7" w:rsidRPr="00CE6F6E">
              <w:rPr>
                <w:rStyle w:val="FootnoteReference"/>
                <w:rFonts w:ascii="Arial" w:hAnsi="Arial" w:cs="Arial"/>
                <w:b/>
                <w:bCs/>
                <w:sz w:val="22"/>
                <w:szCs w:val="22"/>
                <w:lang w:val="lt-LT"/>
              </w:rPr>
              <w:footnoteReference w:id="1"/>
            </w:r>
          </w:p>
        </w:tc>
        <w:tc>
          <w:tcPr>
            <w:tcW w:w="4536" w:type="dxa"/>
            <w:vAlign w:val="center"/>
          </w:tcPr>
          <w:p w14:paraId="18675722" w14:textId="5B41EA15" w:rsidR="004F5315" w:rsidRPr="00CE6F6E" w:rsidRDefault="003F5652" w:rsidP="007B50CB">
            <w:pPr>
              <w:jc w:val="center"/>
              <w:rPr>
                <w:rFonts w:ascii="Arial" w:hAnsi="Arial" w:cs="Arial"/>
                <w:b/>
                <w:bCs/>
                <w:sz w:val="22"/>
                <w:szCs w:val="22"/>
                <w:lang w:val="lt-LT"/>
              </w:rPr>
            </w:pPr>
            <w:r>
              <w:rPr>
                <w:rFonts w:ascii="Arial" w:hAnsi="Arial" w:cs="Arial"/>
                <w:b/>
                <w:bCs/>
                <w:sz w:val="22"/>
                <w:szCs w:val="22"/>
                <w:lang w:val="lt-LT"/>
              </w:rPr>
              <w:t>Perkančiosios organizacijos a</w:t>
            </w:r>
            <w:r w:rsidR="004F5315" w:rsidRPr="00CE6F6E">
              <w:rPr>
                <w:rFonts w:ascii="Arial" w:hAnsi="Arial" w:cs="Arial"/>
                <w:b/>
                <w:bCs/>
                <w:sz w:val="22"/>
                <w:szCs w:val="22"/>
                <w:lang w:val="lt-LT"/>
              </w:rPr>
              <w:t>tsakymas</w:t>
            </w:r>
            <w:r w:rsidR="001E7FF7" w:rsidRPr="00CE6F6E">
              <w:rPr>
                <w:rStyle w:val="FootnoteReference"/>
                <w:rFonts w:ascii="Arial" w:hAnsi="Arial" w:cs="Arial"/>
                <w:b/>
                <w:bCs/>
                <w:sz w:val="22"/>
                <w:szCs w:val="22"/>
                <w:lang w:val="lt-LT"/>
              </w:rPr>
              <w:footnoteReference w:id="2"/>
            </w:r>
          </w:p>
        </w:tc>
      </w:tr>
      <w:tr w:rsidR="00320295" w:rsidRPr="00715525" w14:paraId="7C4EE560" w14:textId="77777777" w:rsidTr="007B50CB">
        <w:trPr>
          <w:jc w:val="center"/>
        </w:trPr>
        <w:tc>
          <w:tcPr>
            <w:tcW w:w="709" w:type="dxa"/>
          </w:tcPr>
          <w:p w14:paraId="1F4D3509" w14:textId="79C27DD2" w:rsidR="00320295" w:rsidRPr="00CE6F6E" w:rsidRDefault="00320295" w:rsidP="00320295">
            <w:pPr>
              <w:ind w:left="31"/>
              <w:jc w:val="center"/>
              <w:rPr>
                <w:rFonts w:ascii="Arial" w:hAnsi="Arial" w:cs="Arial"/>
                <w:sz w:val="22"/>
                <w:szCs w:val="22"/>
                <w:lang w:val="lt-LT"/>
              </w:rPr>
            </w:pPr>
            <w:r>
              <w:rPr>
                <w:rFonts w:ascii="Arial" w:hAnsi="Arial" w:cs="Arial"/>
                <w:sz w:val="22"/>
                <w:szCs w:val="22"/>
                <w:lang w:val="lt-LT"/>
              </w:rPr>
              <w:t>1</w:t>
            </w:r>
          </w:p>
        </w:tc>
        <w:tc>
          <w:tcPr>
            <w:tcW w:w="4531" w:type="dxa"/>
          </w:tcPr>
          <w:p w14:paraId="6FF86785" w14:textId="3561DB80" w:rsidR="00320295" w:rsidRPr="00CE6F6E" w:rsidRDefault="00320295" w:rsidP="00320295">
            <w:pPr>
              <w:jc w:val="center"/>
              <w:rPr>
                <w:rFonts w:ascii="Arial" w:hAnsi="Arial" w:cs="Arial"/>
                <w:sz w:val="22"/>
                <w:szCs w:val="22"/>
                <w:lang w:val="lt-LT"/>
              </w:rPr>
            </w:pPr>
            <w:r>
              <w:rPr>
                <w:rFonts w:ascii="Arial" w:hAnsi="Arial" w:cs="Arial"/>
                <w:sz w:val="22"/>
                <w:szCs w:val="22"/>
                <w:lang w:val="lt-LT"/>
              </w:rPr>
              <w:t>2</w:t>
            </w:r>
          </w:p>
        </w:tc>
        <w:tc>
          <w:tcPr>
            <w:tcW w:w="4536" w:type="dxa"/>
          </w:tcPr>
          <w:p w14:paraId="27A83D93" w14:textId="062E7ADF" w:rsidR="00320295" w:rsidRPr="00CE6F6E" w:rsidRDefault="00320295" w:rsidP="00320295">
            <w:pPr>
              <w:jc w:val="center"/>
              <w:rPr>
                <w:rFonts w:ascii="Arial" w:hAnsi="Arial" w:cs="Arial"/>
                <w:sz w:val="22"/>
                <w:szCs w:val="22"/>
                <w:lang w:val="lt-LT"/>
              </w:rPr>
            </w:pPr>
            <w:r>
              <w:rPr>
                <w:rFonts w:ascii="Arial" w:hAnsi="Arial" w:cs="Arial"/>
                <w:sz w:val="22"/>
                <w:szCs w:val="22"/>
                <w:lang w:val="lt-LT"/>
              </w:rPr>
              <w:t>3</w:t>
            </w:r>
          </w:p>
        </w:tc>
      </w:tr>
      <w:tr w:rsidR="00FB153D" w:rsidRPr="007335F3" w14:paraId="685BA654" w14:textId="77777777" w:rsidTr="007B50CB">
        <w:trPr>
          <w:jc w:val="center"/>
        </w:trPr>
        <w:tc>
          <w:tcPr>
            <w:tcW w:w="709" w:type="dxa"/>
          </w:tcPr>
          <w:p w14:paraId="7740A5D6" w14:textId="253C39CD" w:rsidR="00A83772" w:rsidRPr="00451872" w:rsidRDefault="005F689C" w:rsidP="007B50CB">
            <w:pPr>
              <w:ind w:left="31"/>
              <w:jc w:val="center"/>
              <w:rPr>
                <w:rFonts w:ascii="Arial" w:hAnsi="Arial" w:cs="Arial"/>
                <w:i/>
                <w:iCs/>
                <w:sz w:val="22"/>
                <w:szCs w:val="22"/>
                <w:lang w:val="lt-LT"/>
              </w:rPr>
            </w:pPr>
            <w:r w:rsidRPr="00451872">
              <w:rPr>
                <w:rFonts w:ascii="Arial" w:hAnsi="Arial" w:cs="Arial"/>
                <w:i/>
                <w:iCs/>
                <w:sz w:val="22"/>
                <w:szCs w:val="22"/>
                <w:lang w:val="lt-LT"/>
              </w:rPr>
              <w:t>1.</w:t>
            </w:r>
          </w:p>
        </w:tc>
        <w:tc>
          <w:tcPr>
            <w:tcW w:w="4531" w:type="dxa"/>
          </w:tcPr>
          <w:p w14:paraId="0626F9BB" w14:textId="0E5E6DE5" w:rsidR="00A83772" w:rsidRPr="00CA7115" w:rsidRDefault="00A3680F" w:rsidP="007B50CB">
            <w:pPr>
              <w:jc w:val="both"/>
              <w:rPr>
                <w:rFonts w:ascii="Arial" w:hAnsi="Arial" w:cs="Arial"/>
                <w:i/>
                <w:iCs/>
                <w:sz w:val="22"/>
                <w:szCs w:val="22"/>
                <w:lang w:val="lt-LT"/>
              </w:rPr>
            </w:pPr>
            <w:r w:rsidRPr="00CA7115">
              <w:rPr>
                <w:rFonts w:ascii="Arial" w:hAnsi="Arial" w:cs="Arial"/>
                <w:i/>
                <w:iCs/>
                <w:sz w:val="22"/>
                <w:szCs w:val="22"/>
                <w:lang w:val="lt-LT"/>
              </w:rPr>
              <w:t>Kokiais skaičiavimais ir norminiais kriterijais pagrįstas sprendimas, kad esant iki ~6,0 m storio silpnų, vandeningų smėlių sluoksniui (pvz., pagal Gr.SZ</w:t>
            </w:r>
            <w:r w:rsidRPr="00CA7115">
              <w:rPr>
                <w:rFonts w:ascii="Arial" w:hAnsi="Arial" w:cs="Arial"/>
                <w:i/>
                <w:iCs/>
                <w:sz w:val="22"/>
                <w:szCs w:val="22"/>
                <w:lang w:val="lt-LT"/>
              </w:rPr>
              <w:noBreakHyphen/>
              <w:t>89, Gr.SZ</w:t>
            </w:r>
            <w:r w:rsidRPr="00CA7115">
              <w:rPr>
                <w:rFonts w:ascii="Arial" w:hAnsi="Arial" w:cs="Arial"/>
                <w:i/>
                <w:iCs/>
                <w:sz w:val="22"/>
                <w:szCs w:val="22"/>
                <w:lang w:val="lt-LT"/>
              </w:rPr>
              <w:noBreakHyphen/>
              <w:t>87, Gr.SZ</w:t>
            </w:r>
            <w:r w:rsidRPr="00CA7115">
              <w:rPr>
                <w:rFonts w:ascii="Arial" w:hAnsi="Arial" w:cs="Arial"/>
                <w:i/>
                <w:iCs/>
                <w:sz w:val="22"/>
                <w:szCs w:val="22"/>
                <w:lang w:val="lt-LT"/>
              </w:rPr>
              <w:noBreakHyphen/>
              <w:t>83, Gr.SZ</w:t>
            </w:r>
            <w:r w:rsidRPr="00CA7115">
              <w:rPr>
                <w:rFonts w:ascii="Arial" w:hAnsi="Arial" w:cs="Arial"/>
                <w:i/>
                <w:iCs/>
                <w:sz w:val="22"/>
                <w:szCs w:val="22"/>
                <w:lang w:val="lt-LT"/>
              </w:rPr>
              <w:noBreakHyphen/>
              <w:t>110), kelio konstrukcijai pakanka tik paviršinio grunto stabilizavimo cementu?</w:t>
            </w:r>
          </w:p>
        </w:tc>
        <w:tc>
          <w:tcPr>
            <w:tcW w:w="4536" w:type="dxa"/>
          </w:tcPr>
          <w:p w14:paraId="20473F7F" w14:textId="31EE1E6D" w:rsidR="008F205C" w:rsidRPr="00CE6F6E" w:rsidRDefault="0095637E" w:rsidP="007B50CB">
            <w:pPr>
              <w:jc w:val="both"/>
              <w:rPr>
                <w:rFonts w:ascii="Arial" w:hAnsi="Arial" w:cs="Arial"/>
                <w:sz w:val="22"/>
                <w:szCs w:val="22"/>
                <w:lang w:val="lt-LT"/>
              </w:rPr>
            </w:pPr>
            <w:r w:rsidRPr="00CE6F6E">
              <w:rPr>
                <w:rFonts w:ascii="Arial" w:hAnsi="Arial" w:cs="Arial"/>
                <w:sz w:val="22"/>
                <w:szCs w:val="22"/>
                <w:lang w:val="lt-LT"/>
              </w:rPr>
              <w:t xml:space="preserve">Remiantis ĮT ŽS 17 </w:t>
            </w:r>
            <w:r w:rsidR="007C797B">
              <w:rPr>
                <w:rFonts w:ascii="Arial" w:hAnsi="Arial" w:cs="Arial"/>
                <w:sz w:val="22"/>
                <w:szCs w:val="22"/>
                <w:lang w:val="lt-LT"/>
              </w:rPr>
              <w:t xml:space="preserve"> </w:t>
            </w:r>
            <w:r w:rsidRPr="00CE6F6E">
              <w:rPr>
                <w:rFonts w:ascii="Arial" w:hAnsi="Arial" w:cs="Arial"/>
                <w:sz w:val="22"/>
                <w:szCs w:val="22"/>
                <w:lang w:val="lt-LT"/>
              </w:rPr>
              <w:t xml:space="preserve">5.14 punkto reikalavimais, silpniems gruntams priskiriami įvairios kilmės dumblai, durpės, gruntai su didele organinės medžiagos priemaiša, buitinės ir pramoninės atliekos, kurios yra daugiau kaip 6 % organinių medžiagų. </w:t>
            </w:r>
            <w:r w:rsidRPr="00715525">
              <w:rPr>
                <w:rFonts w:ascii="Arial" w:hAnsi="Arial" w:cs="Arial"/>
                <w:sz w:val="22"/>
                <w:szCs w:val="22"/>
                <w:lang w:val="lt-LT"/>
              </w:rPr>
              <w:t>Suprojektuotame kelio ruože vietomis slūgso purūs smėlingi gruntai. Kelias numatomas esamų pievų vietoje, nuėmus augalinį sluoksnį, esami gruntai turi būti sutankinti ir įrengiama žemės sankasa pagal ĮT ŽS 17 keliamus reikalavimus. Remiantis Automobilių kelių standartizuotų dangų konstrukcijų projektavimo taisyklių 73 punkto keliamais reikalavimais kai DK 100–DK 2 dangų konstrukcijų klasės žemės sankasos įrengimui numatoma naudoti F2 ir (arba) F3 klasių gruntus, turi būti numatomas gruntų sustiprinimas pagal MN GPSR 12.</w:t>
            </w:r>
          </w:p>
        </w:tc>
      </w:tr>
      <w:tr w:rsidR="00972E44" w:rsidRPr="007335F3" w14:paraId="6737DD8C" w14:textId="77777777" w:rsidTr="007B50CB">
        <w:trPr>
          <w:jc w:val="center"/>
        </w:trPr>
        <w:tc>
          <w:tcPr>
            <w:tcW w:w="709" w:type="dxa"/>
          </w:tcPr>
          <w:p w14:paraId="503F6068" w14:textId="2CDA350E" w:rsidR="00972E44" w:rsidRPr="00237E78" w:rsidRDefault="00972E44" w:rsidP="007B50CB">
            <w:pPr>
              <w:ind w:left="31"/>
              <w:jc w:val="center"/>
              <w:rPr>
                <w:rFonts w:ascii="Arial" w:hAnsi="Arial" w:cs="Arial"/>
                <w:i/>
                <w:iCs/>
                <w:sz w:val="22"/>
                <w:szCs w:val="22"/>
                <w:lang w:val="lt-LT"/>
              </w:rPr>
            </w:pPr>
            <w:r w:rsidRPr="00237E78">
              <w:rPr>
                <w:rFonts w:ascii="Arial" w:hAnsi="Arial" w:cs="Arial"/>
                <w:i/>
                <w:iCs/>
                <w:sz w:val="22"/>
                <w:szCs w:val="22"/>
                <w:lang w:val="lt-LT"/>
              </w:rPr>
              <w:t>2.</w:t>
            </w:r>
          </w:p>
        </w:tc>
        <w:tc>
          <w:tcPr>
            <w:tcW w:w="4531" w:type="dxa"/>
          </w:tcPr>
          <w:p w14:paraId="2A62602E" w14:textId="4AC13801" w:rsidR="00972E44" w:rsidRPr="00CA7115" w:rsidRDefault="00F52BF2" w:rsidP="007B50CB">
            <w:pPr>
              <w:jc w:val="both"/>
              <w:rPr>
                <w:rFonts w:ascii="Arial" w:hAnsi="Arial" w:cs="Arial"/>
                <w:i/>
                <w:iCs/>
                <w:sz w:val="22"/>
                <w:szCs w:val="22"/>
                <w:lang w:val="lt-LT"/>
              </w:rPr>
            </w:pPr>
            <w:r w:rsidRPr="00CA7115">
              <w:rPr>
                <w:rFonts w:ascii="Arial" w:hAnsi="Arial" w:cs="Arial"/>
                <w:i/>
                <w:iCs/>
                <w:sz w:val="22"/>
                <w:szCs w:val="22"/>
                <w:lang w:val="lt-LT"/>
              </w:rPr>
              <w:t>Ar buvo atliktas ilgalaikių nuosėdų vertinimas, įskaitant eksploatacines apkrovas ir jų pasiskirstymą magistralinio kelio sąlygomis?</w:t>
            </w:r>
          </w:p>
        </w:tc>
        <w:tc>
          <w:tcPr>
            <w:tcW w:w="4536" w:type="dxa"/>
          </w:tcPr>
          <w:p w14:paraId="1B109BDB" w14:textId="5FB698F1" w:rsidR="00972E44" w:rsidRPr="00C24B4D" w:rsidRDefault="00FC7E66" w:rsidP="007B50CB">
            <w:pPr>
              <w:jc w:val="both"/>
              <w:rPr>
                <w:rFonts w:ascii="Arial" w:hAnsi="Arial" w:cs="Arial"/>
                <w:sz w:val="22"/>
                <w:szCs w:val="22"/>
                <w:lang w:val="lt-LT"/>
              </w:rPr>
            </w:pPr>
            <w:r w:rsidRPr="00CE6F6E">
              <w:rPr>
                <w:rFonts w:ascii="Arial" w:hAnsi="Arial" w:cs="Arial"/>
                <w:sz w:val="22"/>
                <w:szCs w:val="22"/>
                <w:lang w:val="lt-LT"/>
              </w:rPr>
              <w:t xml:space="preserve">Buvo atliktas ilgalaikių nusėdimų vertinimas ir nustatyta, kad numatomi nuosėdžiai neturi reikšmingos įtakos kelio eksploatacinėms savybėms. </w:t>
            </w:r>
            <w:r w:rsidRPr="00C24B4D">
              <w:rPr>
                <w:rFonts w:ascii="Arial" w:hAnsi="Arial" w:cs="Arial"/>
                <w:sz w:val="22"/>
                <w:szCs w:val="22"/>
                <w:lang w:val="lt-LT"/>
              </w:rPr>
              <w:t>Kadangi esamoje situacijoje kelio nėra pašalinus esamą dirvožemį turi būti atlikti žemės sankasos įrengimo darbai pagal ĮT ŽS 17 keliamus reikalavimus</w:t>
            </w:r>
            <w:r w:rsidR="00C24B4D" w:rsidRPr="00C24B4D">
              <w:rPr>
                <w:rFonts w:ascii="Arial" w:hAnsi="Arial" w:cs="Arial"/>
                <w:sz w:val="22"/>
                <w:szCs w:val="22"/>
                <w:lang w:val="lt-LT"/>
              </w:rPr>
              <w:t>.</w:t>
            </w:r>
          </w:p>
        </w:tc>
      </w:tr>
      <w:tr w:rsidR="00972E44" w:rsidRPr="007335F3" w14:paraId="0A854A08" w14:textId="77777777" w:rsidTr="007B50CB">
        <w:trPr>
          <w:jc w:val="center"/>
        </w:trPr>
        <w:tc>
          <w:tcPr>
            <w:tcW w:w="709" w:type="dxa"/>
          </w:tcPr>
          <w:p w14:paraId="20E2A5B5" w14:textId="02A2E0E9" w:rsidR="00972E44" w:rsidRPr="00237E78" w:rsidRDefault="00972E44" w:rsidP="007B50CB">
            <w:pPr>
              <w:ind w:left="31"/>
              <w:jc w:val="center"/>
              <w:rPr>
                <w:rFonts w:ascii="Arial" w:hAnsi="Arial" w:cs="Arial"/>
                <w:i/>
                <w:iCs/>
                <w:sz w:val="22"/>
                <w:szCs w:val="22"/>
                <w:lang w:val="lt-LT"/>
              </w:rPr>
            </w:pPr>
            <w:r w:rsidRPr="00237E78">
              <w:rPr>
                <w:rFonts w:ascii="Arial" w:hAnsi="Arial" w:cs="Arial"/>
                <w:i/>
                <w:iCs/>
                <w:sz w:val="22"/>
                <w:szCs w:val="22"/>
                <w:lang w:val="lt-LT"/>
              </w:rPr>
              <w:lastRenderedPageBreak/>
              <w:t>3.</w:t>
            </w:r>
          </w:p>
        </w:tc>
        <w:tc>
          <w:tcPr>
            <w:tcW w:w="4531" w:type="dxa"/>
          </w:tcPr>
          <w:p w14:paraId="31FBE280" w14:textId="3AE55ADB" w:rsidR="00972E44" w:rsidRPr="00CA7115" w:rsidRDefault="009E646B" w:rsidP="007B50CB">
            <w:pPr>
              <w:jc w:val="both"/>
              <w:rPr>
                <w:rFonts w:ascii="Arial" w:hAnsi="Arial" w:cs="Arial"/>
                <w:i/>
                <w:iCs/>
                <w:sz w:val="22"/>
                <w:szCs w:val="22"/>
                <w:lang w:val="lt-LT"/>
              </w:rPr>
            </w:pPr>
            <w:r w:rsidRPr="00CA7115">
              <w:rPr>
                <w:rFonts w:ascii="Arial" w:hAnsi="Arial" w:cs="Arial"/>
                <w:i/>
                <w:iCs/>
                <w:sz w:val="22"/>
                <w:szCs w:val="22"/>
                <w:lang w:val="lt-LT"/>
              </w:rPr>
              <w:t>Ar buvo svarstyti gilaus grunto stiprinimo sprendiniai (pvz., skaldos poliai, standžios inkliuzijos ar analogiški metodai), atitinkantys nustatytą silpnų gruntų storį?</w:t>
            </w:r>
          </w:p>
        </w:tc>
        <w:tc>
          <w:tcPr>
            <w:tcW w:w="4536" w:type="dxa"/>
          </w:tcPr>
          <w:p w14:paraId="272D28DC" w14:textId="185A4CB9" w:rsidR="00972E44" w:rsidRPr="00CE6F6E" w:rsidRDefault="00723FC8" w:rsidP="007B50CB">
            <w:pPr>
              <w:jc w:val="both"/>
              <w:rPr>
                <w:rFonts w:ascii="Arial" w:hAnsi="Arial" w:cs="Arial"/>
                <w:sz w:val="22"/>
                <w:szCs w:val="22"/>
                <w:lang w:val="lt-LT"/>
              </w:rPr>
            </w:pPr>
            <w:r w:rsidRPr="00CE6F6E">
              <w:rPr>
                <w:rFonts w:ascii="Arial" w:hAnsi="Arial" w:cs="Arial"/>
                <w:sz w:val="22"/>
                <w:szCs w:val="22"/>
                <w:lang w:val="lt-LT"/>
              </w:rPr>
              <w:t>Gilaus grunto stiprinimo sprendiniai tokie kaip skaldos poliai, standžios inkliuzijos nagrinėjamu atveju yra technologiškai nenaudingi.</w:t>
            </w:r>
          </w:p>
        </w:tc>
      </w:tr>
      <w:tr w:rsidR="00972E44" w:rsidRPr="007335F3" w14:paraId="4E734918" w14:textId="77777777" w:rsidTr="007B50CB">
        <w:trPr>
          <w:jc w:val="center"/>
        </w:trPr>
        <w:tc>
          <w:tcPr>
            <w:tcW w:w="709" w:type="dxa"/>
          </w:tcPr>
          <w:p w14:paraId="6F8E9DCE" w14:textId="008660BF" w:rsidR="00972E44" w:rsidRPr="00237E78" w:rsidRDefault="00972E44" w:rsidP="007B50CB">
            <w:pPr>
              <w:ind w:left="31"/>
              <w:jc w:val="center"/>
              <w:rPr>
                <w:rFonts w:ascii="Arial" w:hAnsi="Arial" w:cs="Arial"/>
                <w:i/>
                <w:iCs/>
                <w:sz w:val="22"/>
                <w:szCs w:val="22"/>
                <w:lang w:val="lt-LT"/>
              </w:rPr>
            </w:pPr>
            <w:r w:rsidRPr="00237E78">
              <w:rPr>
                <w:rFonts w:ascii="Arial" w:hAnsi="Arial" w:cs="Arial"/>
                <w:i/>
                <w:iCs/>
                <w:sz w:val="22"/>
                <w:szCs w:val="22"/>
                <w:lang w:val="lt-LT"/>
              </w:rPr>
              <w:t>4.</w:t>
            </w:r>
          </w:p>
        </w:tc>
        <w:tc>
          <w:tcPr>
            <w:tcW w:w="4531" w:type="dxa"/>
          </w:tcPr>
          <w:p w14:paraId="4D48E0D8" w14:textId="2269C932" w:rsidR="00972E44" w:rsidRPr="00CA7115" w:rsidRDefault="00316050" w:rsidP="007B50CB">
            <w:pPr>
              <w:jc w:val="both"/>
              <w:rPr>
                <w:rFonts w:ascii="Arial" w:hAnsi="Arial" w:cs="Arial"/>
                <w:i/>
                <w:iCs/>
                <w:sz w:val="22"/>
                <w:szCs w:val="22"/>
                <w:lang w:val="pt-BR"/>
              </w:rPr>
            </w:pPr>
            <w:r w:rsidRPr="00CA7115">
              <w:rPr>
                <w:rFonts w:ascii="Arial" w:hAnsi="Arial" w:cs="Arial"/>
                <w:i/>
                <w:iCs/>
                <w:sz w:val="22"/>
                <w:szCs w:val="22"/>
                <w:lang w:val="pt-BR"/>
              </w:rPr>
              <w:t>Jei tokie sprendiniai buvo vertinti – kokiais argumentais pagrįstas jų netaikymas projekte?</w:t>
            </w:r>
          </w:p>
        </w:tc>
        <w:tc>
          <w:tcPr>
            <w:tcW w:w="4536" w:type="dxa"/>
          </w:tcPr>
          <w:p w14:paraId="26EF62B6" w14:textId="77777777" w:rsidR="00877EEB" w:rsidRDefault="00CE6F6E" w:rsidP="007B50CB">
            <w:pPr>
              <w:jc w:val="both"/>
              <w:rPr>
                <w:rFonts w:ascii="Arial" w:hAnsi="Arial" w:cs="Arial"/>
                <w:sz w:val="22"/>
                <w:szCs w:val="22"/>
                <w:lang w:val="fi-FI"/>
              </w:rPr>
            </w:pPr>
            <w:r w:rsidRPr="00CE6F6E">
              <w:rPr>
                <w:rFonts w:ascii="Arial" w:hAnsi="Arial" w:cs="Arial"/>
                <w:sz w:val="22"/>
                <w:szCs w:val="22"/>
                <w:lang w:val="pt-BR"/>
              </w:rPr>
              <w:t xml:space="preserve">Atlikus ilgalaikius nusėdimų vertinimus nustatyta, kad gauti rezultatai neturi reikšmingos įtakos kelio nuosėdžiams. </w:t>
            </w:r>
            <w:r w:rsidRPr="00715525">
              <w:rPr>
                <w:rFonts w:ascii="Arial" w:hAnsi="Arial" w:cs="Arial"/>
                <w:sz w:val="22"/>
                <w:szCs w:val="22"/>
                <w:lang w:val="fi-FI"/>
              </w:rPr>
              <w:t>Sankasa turi būti įrengta taip</w:t>
            </w:r>
            <w:r w:rsidR="006613C4" w:rsidRPr="00715525">
              <w:rPr>
                <w:rFonts w:ascii="Arial" w:hAnsi="Arial" w:cs="Arial"/>
                <w:sz w:val="22"/>
                <w:szCs w:val="22"/>
                <w:lang w:val="fi-FI"/>
              </w:rPr>
              <w:t>, k</w:t>
            </w:r>
            <w:r w:rsidRPr="00715525">
              <w:rPr>
                <w:rFonts w:ascii="Arial" w:hAnsi="Arial" w:cs="Arial"/>
                <w:sz w:val="22"/>
                <w:szCs w:val="22"/>
                <w:lang w:val="fi-FI"/>
              </w:rPr>
              <w:t xml:space="preserve">ad tenkintų </w:t>
            </w:r>
          </w:p>
          <w:p w14:paraId="56065C32" w14:textId="77777777" w:rsidR="00877EEB" w:rsidRDefault="00CE6F6E" w:rsidP="007B50CB">
            <w:pPr>
              <w:jc w:val="both"/>
              <w:rPr>
                <w:rFonts w:ascii="Arial" w:hAnsi="Arial" w:cs="Arial"/>
                <w:sz w:val="22"/>
                <w:szCs w:val="22"/>
                <w:lang w:val="fi-FI"/>
              </w:rPr>
            </w:pPr>
            <w:r w:rsidRPr="00715525">
              <w:rPr>
                <w:rFonts w:ascii="Arial" w:hAnsi="Arial" w:cs="Arial"/>
                <w:sz w:val="22"/>
                <w:szCs w:val="22"/>
                <w:lang w:val="fi-FI"/>
              </w:rPr>
              <w:t>ĮT ŽS 17 </w:t>
            </w:r>
            <w:r w:rsidR="00877EEB">
              <w:rPr>
                <w:rFonts w:ascii="Arial" w:hAnsi="Arial" w:cs="Arial"/>
                <w:sz w:val="22"/>
                <w:szCs w:val="22"/>
                <w:lang w:val="fi-FI"/>
              </w:rPr>
              <w:t xml:space="preserve">   </w:t>
            </w:r>
            <w:r w:rsidRPr="00715525">
              <w:rPr>
                <w:rFonts w:ascii="Arial" w:hAnsi="Arial" w:cs="Arial"/>
                <w:sz w:val="22"/>
                <w:szCs w:val="22"/>
                <w:lang w:val="fi-FI"/>
              </w:rPr>
              <w:t xml:space="preserve">196 punkto reikalavimus. Pagal </w:t>
            </w:r>
          </w:p>
          <w:p w14:paraId="7FE6A5CB" w14:textId="48AAA846" w:rsidR="00972E44" w:rsidRPr="00715525" w:rsidRDefault="00CE6F6E" w:rsidP="007B50CB">
            <w:pPr>
              <w:jc w:val="both"/>
              <w:rPr>
                <w:rFonts w:ascii="Arial" w:hAnsi="Arial" w:cs="Arial"/>
                <w:sz w:val="22"/>
                <w:szCs w:val="22"/>
                <w:lang w:val="fi-FI"/>
              </w:rPr>
            </w:pPr>
            <w:r w:rsidRPr="00715525">
              <w:rPr>
                <w:rFonts w:ascii="Arial" w:hAnsi="Arial" w:cs="Arial"/>
                <w:sz w:val="22"/>
                <w:szCs w:val="22"/>
                <w:lang w:val="fi-FI"/>
              </w:rPr>
              <w:t>ĮT ŽS 17 </w:t>
            </w:r>
            <w:r w:rsidR="00EF76EF">
              <w:rPr>
                <w:rFonts w:ascii="Arial" w:hAnsi="Arial" w:cs="Arial"/>
                <w:sz w:val="22"/>
                <w:szCs w:val="22"/>
                <w:lang w:val="fi-FI"/>
              </w:rPr>
              <w:t xml:space="preserve"> </w:t>
            </w:r>
            <w:r w:rsidR="00877EEB">
              <w:rPr>
                <w:rFonts w:ascii="Arial" w:hAnsi="Arial" w:cs="Arial"/>
                <w:sz w:val="22"/>
                <w:szCs w:val="22"/>
                <w:lang w:val="fi-FI"/>
              </w:rPr>
              <w:t xml:space="preserve">  </w:t>
            </w:r>
            <w:r w:rsidR="00EF76EF">
              <w:rPr>
                <w:rFonts w:ascii="Arial" w:hAnsi="Arial" w:cs="Arial"/>
                <w:sz w:val="22"/>
                <w:szCs w:val="22"/>
                <w:lang w:val="fi-FI"/>
              </w:rPr>
              <w:t xml:space="preserve"> </w:t>
            </w:r>
            <w:r w:rsidRPr="00715525">
              <w:rPr>
                <w:rFonts w:ascii="Arial" w:hAnsi="Arial" w:cs="Arial"/>
                <w:sz w:val="22"/>
                <w:szCs w:val="22"/>
                <w:lang w:val="fi-FI"/>
              </w:rPr>
              <w:t xml:space="preserve">204 punkto reikalavimus,  </w:t>
            </w:r>
            <w:r w:rsidR="00BF2C78" w:rsidRPr="00715525">
              <w:rPr>
                <w:rFonts w:ascii="Arial" w:hAnsi="Arial" w:cs="Arial"/>
                <w:sz w:val="22"/>
                <w:szCs w:val="22"/>
                <w:lang w:val="fi-FI"/>
              </w:rPr>
              <w:t>j</w:t>
            </w:r>
            <w:r w:rsidRPr="00715525">
              <w:rPr>
                <w:rFonts w:ascii="Arial" w:hAnsi="Arial" w:cs="Arial"/>
                <w:sz w:val="22"/>
                <w:szCs w:val="22"/>
                <w:lang w:val="fi-FI"/>
              </w:rPr>
              <w:t>ei</w:t>
            </w:r>
            <w:r w:rsidR="00BF2C78" w:rsidRPr="00715525">
              <w:rPr>
                <w:rFonts w:ascii="Arial" w:hAnsi="Arial" w:cs="Arial"/>
                <w:sz w:val="22"/>
                <w:szCs w:val="22"/>
                <w:lang w:val="fi-FI"/>
              </w:rPr>
              <w:t>gu</w:t>
            </w:r>
            <w:r w:rsidRPr="00715525">
              <w:rPr>
                <w:rFonts w:ascii="Arial" w:hAnsi="Arial" w:cs="Arial"/>
                <w:sz w:val="22"/>
                <w:szCs w:val="22"/>
                <w:lang w:val="fi-FI"/>
              </w:rPr>
              <w:t xml:space="preserve"> atliekant statybos darbus ir įrenginėjant žemės sankasą nebūtų pasiekti žemės sankasai keliami reikalavimai turi būti priimtos papildomos priemonės keliamiems reikalavimams pasiekti. </w:t>
            </w:r>
          </w:p>
        </w:tc>
      </w:tr>
    </w:tbl>
    <w:p w14:paraId="4496FE82" w14:textId="42FAF2DB" w:rsidR="00996A37" w:rsidRDefault="007C797B" w:rsidP="00FB153D">
      <w:pPr>
        <w:pStyle w:val="Default"/>
      </w:pPr>
      <w:r>
        <w:t xml:space="preserve">  </w:t>
      </w:r>
    </w:p>
    <w:p w14:paraId="2D794833" w14:textId="77777777" w:rsidR="007C797B" w:rsidRDefault="007C797B" w:rsidP="00FB153D">
      <w:pPr>
        <w:pStyle w:val="Default"/>
      </w:pPr>
    </w:p>
    <w:p w14:paraId="714C2535" w14:textId="77777777" w:rsidR="007C797B" w:rsidRPr="000D7E74" w:rsidRDefault="007C797B" w:rsidP="00FB153D">
      <w:pPr>
        <w:pStyle w:val="Default"/>
      </w:pPr>
    </w:p>
    <w:p w14:paraId="72A5EB61" w14:textId="77777777" w:rsidR="00D6356A" w:rsidRDefault="00D6356A" w:rsidP="00D6356A">
      <w:pPr>
        <w:pStyle w:val="Default"/>
        <w:spacing w:line="276" w:lineRule="auto"/>
        <w:ind w:firstLine="720"/>
        <w:jc w:val="both"/>
        <w:rPr>
          <w:sz w:val="22"/>
          <w:szCs w:val="22"/>
        </w:rPr>
      </w:pPr>
      <w:r>
        <w:rPr>
          <w:sz w:val="22"/>
          <w:szCs w:val="22"/>
        </w:rPr>
        <w:t xml:space="preserve">Projektų grupės </w:t>
      </w:r>
    </w:p>
    <w:p w14:paraId="6243E37E" w14:textId="77777777" w:rsidR="00D6356A" w:rsidRDefault="00D6356A" w:rsidP="00D6356A">
      <w:pPr>
        <w:pStyle w:val="Default"/>
        <w:spacing w:line="276" w:lineRule="auto"/>
        <w:ind w:firstLine="720"/>
        <w:jc w:val="both"/>
        <w:rPr>
          <w:sz w:val="22"/>
          <w:szCs w:val="22"/>
        </w:rPr>
      </w:pPr>
      <w:r>
        <w:rPr>
          <w:sz w:val="22"/>
          <w:szCs w:val="22"/>
        </w:rPr>
        <w:t>Strateginių projektų skyriaus vadovas                                                         Vaidrius Andrikonis</w:t>
      </w:r>
    </w:p>
    <w:p w14:paraId="617B5155" w14:textId="77777777" w:rsidR="00D6356A" w:rsidRDefault="00D6356A" w:rsidP="00D6356A">
      <w:pPr>
        <w:pStyle w:val="Default"/>
        <w:spacing w:line="276" w:lineRule="auto"/>
        <w:ind w:firstLine="720"/>
        <w:jc w:val="both"/>
        <w:rPr>
          <w:sz w:val="22"/>
          <w:szCs w:val="22"/>
        </w:rPr>
      </w:pPr>
    </w:p>
    <w:p w14:paraId="52EC0DAF" w14:textId="77777777" w:rsidR="00D6356A" w:rsidRDefault="00D6356A" w:rsidP="00D6356A">
      <w:pPr>
        <w:pStyle w:val="Default"/>
        <w:spacing w:line="276" w:lineRule="auto"/>
        <w:ind w:firstLine="720"/>
        <w:jc w:val="both"/>
        <w:rPr>
          <w:sz w:val="22"/>
          <w:szCs w:val="22"/>
        </w:rPr>
      </w:pPr>
    </w:p>
    <w:p w14:paraId="44D5CA51" w14:textId="77777777" w:rsidR="00D6356A" w:rsidRDefault="00D6356A" w:rsidP="00D6356A">
      <w:pPr>
        <w:pStyle w:val="Default"/>
        <w:spacing w:line="276" w:lineRule="auto"/>
        <w:ind w:firstLine="720"/>
        <w:jc w:val="both"/>
        <w:rPr>
          <w:sz w:val="22"/>
          <w:szCs w:val="22"/>
        </w:rPr>
      </w:pPr>
    </w:p>
    <w:p w14:paraId="58BF53CD" w14:textId="77777777" w:rsidR="00D6356A" w:rsidRDefault="00D6356A" w:rsidP="00D6356A">
      <w:pPr>
        <w:pStyle w:val="Default"/>
        <w:spacing w:line="276" w:lineRule="auto"/>
        <w:ind w:firstLine="720"/>
        <w:jc w:val="both"/>
        <w:rPr>
          <w:sz w:val="22"/>
          <w:szCs w:val="22"/>
        </w:rPr>
      </w:pPr>
    </w:p>
    <w:p w14:paraId="3EFEB92A" w14:textId="77777777" w:rsidR="00D6356A" w:rsidRDefault="00D6356A" w:rsidP="00D6356A">
      <w:pPr>
        <w:pStyle w:val="Default"/>
        <w:spacing w:line="276" w:lineRule="auto"/>
        <w:ind w:firstLine="720"/>
        <w:jc w:val="both"/>
        <w:rPr>
          <w:sz w:val="22"/>
          <w:szCs w:val="22"/>
        </w:rPr>
      </w:pPr>
    </w:p>
    <w:p w14:paraId="4D1243FE" w14:textId="77777777" w:rsidR="00D6356A" w:rsidRDefault="00D6356A" w:rsidP="00D6356A">
      <w:pPr>
        <w:pStyle w:val="Default"/>
        <w:spacing w:line="276" w:lineRule="auto"/>
        <w:ind w:firstLine="720"/>
        <w:jc w:val="both"/>
        <w:rPr>
          <w:sz w:val="22"/>
          <w:szCs w:val="22"/>
        </w:rPr>
      </w:pPr>
    </w:p>
    <w:p w14:paraId="50C748E8" w14:textId="77777777" w:rsidR="00D6356A" w:rsidRDefault="00D6356A" w:rsidP="00D6356A">
      <w:pPr>
        <w:pStyle w:val="Default"/>
        <w:spacing w:line="276" w:lineRule="auto"/>
        <w:ind w:firstLine="720"/>
        <w:jc w:val="both"/>
        <w:rPr>
          <w:sz w:val="22"/>
          <w:szCs w:val="22"/>
        </w:rPr>
      </w:pPr>
    </w:p>
    <w:p w14:paraId="0844B9C3" w14:textId="77777777" w:rsidR="00D6356A" w:rsidRDefault="00D6356A" w:rsidP="00D6356A">
      <w:pPr>
        <w:pStyle w:val="Default"/>
        <w:spacing w:line="276" w:lineRule="auto"/>
        <w:ind w:firstLine="720"/>
        <w:jc w:val="both"/>
        <w:rPr>
          <w:sz w:val="22"/>
          <w:szCs w:val="22"/>
        </w:rPr>
      </w:pPr>
    </w:p>
    <w:p w14:paraId="76F4C56E" w14:textId="77777777" w:rsidR="00D6356A" w:rsidRDefault="00D6356A" w:rsidP="00D6356A">
      <w:pPr>
        <w:pStyle w:val="Default"/>
        <w:spacing w:line="276" w:lineRule="auto"/>
        <w:ind w:firstLine="720"/>
        <w:jc w:val="both"/>
        <w:rPr>
          <w:sz w:val="22"/>
          <w:szCs w:val="22"/>
        </w:rPr>
      </w:pPr>
    </w:p>
    <w:p w14:paraId="68B1B9F4" w14:textId="77777777" w:rsidR="00D6356A" w:rsidRDefault="00D6356A" w:rsidP="00D6356A">
      <w:pPr>
        <w:pStyle w:val="Default"/>
        <w:spacing w:line="276" w:lineRule="auto"/>
        <w:ind w:firstLine="720"/>
        <w:jc w:val="both"/>
        <w:rPr>
          <w:sz w:val="22"/>
          <w:szCs w:val="22"/>
        </w:rPr>
      </w:pPr>
    </w:p>
    <w:p w14:paraId="47DE9EF1" w14:textId="77777777" w:rsidR="00D6356A" w:rsidRDefault="00D6356A" w:rsidP="00D6356A">
      <w:pPr>
        <w:pStyle w:val="Default"/>
        <w:spacing w:line="276" w:lineRule="auto"/>
        <w:ind w:firstLine="720"/>
        <w:jc w:val="both"/>
        <w:rPr>
          <w:sz w:val="22"/>
          <w:szCs w:val="22"/>
        </w:rPr>
      </w:pPr>
    </w:p>
    <w:p w14:paraId="6BEE2C43" w14:textId="77777777" w:rsidR="00D6356A" w:rsidRDefault="00D6356A" w:rsidP="00D6356A">
      <w:pPr>
        <w:pStyle w:val="Default"/>
        <w:spacing w:line="276" w:lineRule="auto"/>
        <w:ind w:firstLine="720"/>
        <w:jc w:val="both"/>
        <w:rPr>
          <w:sz w:val="22"/>
          <w:szCs w:val="22"/>
        </w:rPr>
      </w:pPr>
    </w:p>
    <w:p w14:paraId="46E32F62" w14:textId="77777777" w:rsidR="00D6356A" w:rsidRDefault="00D6356A" w:rsidP="00D6356A">
      <w:pPr>
        <w:pStyle w:val="Default"/>
        <w:spacing w:line="276" w:lineRule="auto"/>
        <w:ind w:firstLine="720"/>
        <w:jc w:val="both"/>
        <w:rPr>
          <w:sz w:val="22"/>
          <w:szCs w:val="22"/>
        </w:rPr>
      </w:pPr>
    </w:p>
    <w:p w14:paraId="7D9B8BD0" w14:textId="77777777" w:rsidR="00D6356A" w:rsidRDefault="00D6356A" w:rsidP="00D6356A">
      <w:pPr>
        <w:pStyle w:val="Default"/>
        <w:spacing w:line="276" w:lineRule="auto"/>
        <w:ind w:firstLine="720"/>
        <w:jc w:val="both"/>
        <w:rPr>
          <w:sz w:val="22"/>
          <w:szCs w:val="22"/>
        </w:rPr>
      </w:pPr>
    </w:p>
    <w:p w14:paraId="33B2C33A" w14:textId="77777777" w:rsidR="00D6356A" w:rsidRDefault="00D6356A" w:rsidP="00D6356A">
      <w:pPr>
        <w:pStyle w:val="Default"/>
        <w:spacing w:line="276" w:lineRule="auto"/>
        <w:ind w:firstLine="720"/>
        <w:jc w:val="both"/>
        <w:rPr>
          <w:sz w:val="22"/>
          <w:szCs w:val="22"/>
        </w:rPr>
      </w:pPr>
    </w:p>
    <w:p w14:paraId="32C299F7" w14:textId="77777777" w:rsidR="00D6356A" w:rsidRDefault="00D6356A" w:rsidP="00D6356A">
      <w:pPr>
        <w:pStyle w:val="Default"/>
        <w:spacing w:line="276" w:lineRule="auto"/>
        <w:ind w:firstLine="720"/>
        <w:jc w:val="both"/>
        <w:rPr>
          <w:sz w:val="22"/>
          <w:szCs w:val="22"/>
        </w:rPr>
      </w:pPr>
    </w:p>
    <w:p w14:paraId="0D157C03" w14:textId="77777777" w:rsidR="00D6356A" w:rsidRDefault="00D6356A" w:rsidP="00D6356A">
      <w:pPr>
        <w:pStyle w:val="Default"/>
        <w:spacing w:line="276" w:lineRule="auto"/>
        <w:ind w:firstLine="720"/>
        <w:jc w:val="both"/>
        <w:rPr>
          <w:sz w:val="22"/>
          <w:szCs w:val="22"/>
        </w:rPr>
      </w:pPr>
    </w:p>
    <w:p w14:paraId="08E0B763" w14:textId="77777777" w:rsidR="00D6356A" w:rsidRDefault="00D6356A" w:rsidP="00D6356A">
      <w:pPr>
        <w:pStyle w:val="Default"/>
        <w:spacing w:line="276" w:lineRule="auto"/>
        <w:ind w:firstLine="720"/>
        <w:jc w:val="both"/>
        <w:rPr>
          <w:sz w:val="22"/>
          <w:szCs w:val="22"/>
        </w:rPr>
      </w:pPr>
    </w:p>
    <w:p w14:paraId="721EFECF" w14:textId="77777777" w:rsidR="00D6356A" w:rsidRDefault="00D6356A" w:rsidP="00D6356A">
      <w:pPr>
        <w:pStyle w:val="Default"/>
        <w:spacing w:line="276" w:lineRule="auto"/>
        <w:ind w:firstLine="720"/>
        <w:jc w:val="both"/>
        <w:rPr>
          <w:sz w:val="22"/>
          <w:szCs w:val="22"/>
        </w:rPr>
      </w:pPr>
    </w:p>
    <w:p w14:paraId="7D102A10" w14:textId="77777777" w:rsidR="00D6356A" w:rsidRDefault="00D6356A" w:rsidP="00D6356A">
      <w:pPr>
        <w:pStyle w:val="Default"/>
        <w:spacing w:line="276" w:lineRule="auto"/>
        <w:ind w:firstLine="720"/>
        <w:jc w:val="both"/>
        <w:rPr>
          <w:sz w:val="22"/>
          <w:szCs w:val="22"/>
        </w:rPr>
      </w:pPr>
    </w:p>
    <w:p w14:paraId="2F5714F5" w14:textId="77777777" w:rsidR="00D6356A" w:rsidRDefault="00D6356A" w:rsidP="00D6356A">
      <w:pPr>
        <w:pStyle w:val="Default"/>
        <w:spacing w:line="276" w:lineRule="auto"/>
        <w:ind w:firstLine="720"/>
        <w:jc w:val="both"/>
        <w:rPr>
          <w:sz w:val="22"/>
          <w:szCs w:val="22"/>
        </w:rPr>
      </w:pPr>
    </w:p>
    <w:p w14:paraId="374144B2" w14:textId="77777777" w:rsidR="00D6356A" w:rsidRDefault="00D6356A" w:rsidP="00D6356A">
      <w:pPr>
        <w:pStyle w:val="Default"/>
        <w:spacing w:line="276" w:lineRule="auto"/>
        <w:ind w:firstLine="720"/>
        <w:jc w:val="both"/>
        <w:rPr>
          <w:sz w:val="22"/>
          <w:szCs w:val="22"/>
        </w:rPr>
      </w:pPr>
    </w:p>
    <w:p w14:paraId="225109DE" w14:textId="77777777" w:rsidR="00D6356A" w:rsidRDefault="00D6356A" w:rsidP="00D6356A">
      <w:pPr>
        <w:pStyle w:val="Default"/>
        <w:spacing w:line="276" w:lineRule="auto"/>
        <w:ind w:firstLine="720"/>
        <w:jc w:val="both"/>
        <w:rPr>
          <w:sz w:val="22"/>
          <w:szCs w:val="22"/>
        </w:rPr>
      </w:pPr>
    </w:p>
    <w:p w14:paraId="4C0D2CF3" w14:textId="77777777" w:rsidR="00D6356A" w:rsidRDefault="00D6356A" w:rsidP="00D6356A">
      <w:pPr>
        <w:pStyle w:val="Default"/>
        <w:spacing w:line="276" w:lineRule="auto"/>
        <w:ind w:firstLine="720"/>
        <w:jc w:val="both"/>
        <w:rPr>
          <w:sz w:val="22"/>
          <w:szCs w:val="22"/>
        </w:rPr>
      </w:pPr>
    </w:p>
    <w:p w14:paraId="4F971A46" w14:textId="77777777" w:rsidR="00D6356A" w:rsidRDefault="00D6356A" w:rsidP="00D6356A">
      <w:pPr>
        <w:pStyle w:val="Default"/>
        <w:spacing w:line="276" w:lineRule="auto"/>
        <w:ind w:firstLine="720"/>
        <w:jc w:val="both"/>
        <w:rPr>
          <w:sz w:val="22"/>
          <w:szCs w:val="22"/>
        </w:rPr>
      </w:pPr>
    </w:p>
    <w:p w14:paraId="72D7BE40" w14:textId="77777777" w:rsidR="00D6356A" w:rsidRDefault="00D6356A" w:rsidP="00D6356A">
      <w:pPr>
        <w:pStyle w:val="Default"/>
        <w:spacing w:line="276" w:lineRule="auto"/>
        <w:ind w:firstLine="720"/>
        <w:jc w:val="both"/>
        <w:rPr>
          <w:sz w:val="22"/>
          <w:szCs w:val="22"/>
        </w:rPr>
      </w:pPr>
      <w:r>
        <w:rPr>
          <w:sz w:val="22"/>
          <w:szCs w:val="22"/>
        </w:rPr>
        <w:t>Antanas Narbutas, antanas.narbutas@vialietuva.lt</w:t>
      </w:r>
    </w:p>
    <w:p w14:paraId="59AAA0BF" w14:textId="77777777" w:rsidR="00D6356A" w:rsidRPr="000D7E74" w:rsidRDefault="00D6356A" w:rsidP="00D6356A">
      <w:pPr>
        <w:pStyle w:val="Default"/>
        <w:spacing w:line="276" w:lineRule="auto"/>
        <w:ind w:firstLine="720"/>
        <w:jc w:val="both"/>
        <w:rPr>
          <w:sz w:val="22"/>
          <w:szCs w:val="22"/>
        </w:rPr>
      </w:pPr>
    </w:p>
    <w:p w14:paraId="4E6613D0" w14:textId="77777777" w:rsidR="00996A37" w:rsidRPr="000D7E74" w:rsidRDefault="00996A37" w:rsidP="00FB153D">
      <w:pPr>
        <w:pStyle w:val="Default"/>
        <w:spacing w:line="276" w:lineRule="auto"/>
        <w:ind w:firstLine="720"/>
        <w:jc w:val="both"/>
        <w:rPr>
          <w:sz w:val="22"/>
          <w:szCs w:val="22"/>
        </w:rPr>
      </w:pPr>
    </w:p>
    <w:sectPr w:rsidR="00996A37"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5172" w14:textId="77777777" w:rsidR="00B7490B" w:rsidRDefault="00B7490B">
      <w:r>
        <w:separator/>
      </w:r>
    </w:p>
  </w:endnote>
  <w:endnote w:type="continuationSeparator" w:id="0">
    <w:p w14:paraId="72E42190" w14:textId="77777777" w:rsidR="00B7490B" w:rsidRDefault="00B7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A170" w14:textId="77777777" w:rsidR="00B7490B" w:rsidRDefault="00B7490B">
      <w:r>
        <w:separator/>
      </w:r>
    </w:p>
  </w:footnote>
  <w:footnote w:type="continuationSeparator" w:id="0">
    <w:p w14:paraId="17341477" w14:textId="77777777" w:rsidR="00B7490B" w:rsidRDefault="00B7490B">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C204D5"/>
    <w:multiLevelType w:val="hybridMultilevel"/>
    <w:tmpl w:val="1954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44C32852"/>
    <w:multiLevelType w:val="hybridMultilevel"/>
    <w:tmpl w:val="85E8948E"/>
    <w:lvl w:ilvl="0" w:tplc="77FA324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1"/>
  </w:num>
  <w:num w:numId="3" w16cid:durableId="819350345">
    <w:abstractNumId w:val="9"/>
  </w:num>
  <w:num w:numId="4" w16cid:durableId="605118950">
    <w:abstractNumId w:val="7"/>
  </w:num>
  <w:num w:numId="5" w16cid:durableId="913584666">
    <w:abstractNumId w:val="5"/>
  </w:num>
  <w:num w:numId="6" w16cid:durableId="1928490244">
    <w:abstractNumId w:val="4"/>
  </w:num>
  <w:num w:numId="7" w16cid:durableId="1903715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10"/>
  </w:num>
  <w:num w:numId="10" w16cid:durableId="1358772431">
    <w:abstractNumId w:val="0"/>
  </w:num>
  <w:num w:numId="11" w16cid:durableId="138889817">
    <w:abstractNumId w:val="1"/>
  </w:num>
  <w:num w:numId="12" w16cid:durableId="151449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2064C"/>
    <w:rsid w:val="00036769"/>
    <w:rsid w:val="0003760E"/>
    <w:rsid w:val="00041D26"/>
    <w:rsid w:val="00042E51"/>
    <w:rsid w:val="00044E63"/>
    <w:rsid w:val="00047162"/>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5EAE"/>
    <w:rsid w:val="000D6BEA"/>
    <w:rsid w:val="000D7E74"/>
    <w:rsid w:val="000F5326"/>
    <w:rsid w:val="000F5F48"/>
    <w:rsid w:val="0010660B"/>
    <w:rsid w:val="001200BE"/>
    <w:rsid w:val="00122987"/>
    <w:rsid w:val="00133BC6"/>
    <w:rsid w:val="00142221"/>
    <w:rsid w:val="00144C6E"/>
    <w:rsid w:val="00144E29"/>
    <w:rsid w:val="00154419"/>
    <w:rsid w:val="00164338"/>
    <w:rsid w:val="00177B8F"/>
    <w:rsid w:val="00183018"/>
    <w:rsid w:val="0018341E"/>
    <w:rsid w:val="001906AE"/>
    <w:rsid w:val="00192D24"/>
    <w:rsid w:val="001A22E0"/>
    <w:rsid w:val="001A5122"/>
    <w:rsid w:val="001B394E"/>
    <w:rsid w:val="001C0744"/>
    <w:rsid w:val="001C12B1"/>
    <w:rsid w:val="001C3BA3"/>
    <w:rsid w:val="001D0F28"/>
    <w:rsid w:val="001D2F2F"/>
    <w:rsid w:val="001D3232"/>
    <w:rsid w:val="001D474B"/>
    <w:rsid w:val="001D518D"/>
    <w:rsid w:val="001D6A7E"/>
    <w:rsid w:val="001E209C"/>
    <w:rsid w:val="001E3629"/>
    <w:rsid w:val="001E7FF7"/>
    <w:rsid w:val="001F4992"/>
    <w:rsid w:val="00200ED5"/>
    <w:rsid w:val="00204A80"/>
    <w:rsid w:val="002145C8"/>
    <w:rsid w:val="00215C51"/>
    <w:rsid w:val="00216854"/>
    <w:rsid w:val="002170F3"/>
    <w:rsid w:val="002208A7"/>
    <w:rsid w:val="00220A75"/>
    <w:rsid w:val="002273DA"/>
    <w:rsid w:val="002321D5"/>
    <w:rsid w:val="002329F0"/>
    <w:rsid w:val="002333A5"/>
    <w:rsid w:val="00237CB8"/>
    <w:rsid w:val="00237E01"/>
    <w:rsid w:val="00237E78"/>
    <w:rsid w:val="00241613"/>
    <w:rsid w:val="002477FD"/>
    <w:rsid w:val="00254B37"/>
    <w:rsid w:val="0025591A"/>
    <w:rsid w:val="0025607B"/>
    <w:rsid w:val="002600B7"/>
    <w:rsid w:val="00263735"/>
    <w:rsid w:val="00263B95"/>
    <w:rsid w:val="00264EC5"/>
    <w:rsid w:val="00280633"/>
    <w:rsid w:val="002837B5"/>
    <w:rsid w:val="00291F94"/>
    <w:rsid w:val="00296E15"/>
    <w:rsid w:val="002A3D3F"/>
    <w:rsid w:val="002A530D"/>
    <w:rsid w:val="002A5847"/>
    <w:rsid w:val="002B1558"/>
    <w:rsid w:val="002B20C1"/>
    <w:rsid w:val="002B77B7"/>
    <w:rsid w:val="002C5C31"/>
    <w:rsid w:val="002C7589"/>
    <w:rsid w:val="002D7903"/>
    <w:rsid w:val="002E10E5"/>
    <w:rsid w:val="002E2467"/>
    <w:rsid w:val="002E65B5"/>
    <w:rsid w:val="002E69AA"/>
    <w:rsid w:val="002F1755"/>
    <w:rsid w:val="003017C7"/>
    <w:rsid w:val="003017E8"/>
    <w:rsid w:val="003047DA"/>
    <w:rsid w:val="0031031F"/>
    <w:rsid w:val="00313B0D"/>
    <w:rsid w:val="00313C36"/>
    <w:rsid w:val="003150DF"/>
    <w:rsid w:val="00316050"/>
    <w:rsid w:val="00320295"/>
    <w:rsid w:val="00321F2A"/>
    <w:rsid w:val="003301F3"/>
    <w:rsid w:val="003410C7"/>
    <w:rsid w:val="0034229E"/>
    <w:rsid w:val="003469FE"/>
    <w:rsid w:val="0034750B"/>
    <w:rsid w:val="003505F0"/>
    <w:rsid w:val="003576E6"/>
    <w:rsid w:val="00357F71"/>
    <w:rsid w:val="00360FA3"/>
    <w:rsid w:val="00364EC1"/>
    <w:rsid w:val="00366FBB"/>
    <w:rsid w:val="00367AB2"/>
    <w:rsid w:val="003708A1"/>
    <w:rsid w:val="0037519D"/>
    <w:rsid w:val="003850F6"/>
    <w:rsid w:val="003937B2"/>
    <w:rsid w:val="00396ECE"/>
    <w:rsid w:val="00397F52"/>
    <w:rsid w:val="003A0129"/>
    <w:rsid w:val="003B4274"/>
    <w:rsid w:val="003B58DA"/>
    <w:rsid w:val="003C2025"/>
    <w:rsid w:val="003C2402"/>
    <w:rsid w:val="003C6DD0"/>
    <w:rsid w:val="003D67BA"/>
    <w:rsid w:val="003E1CA5"/>
    <w:rsid w:val="003F1701"/>
    <w:rsid w:val="003F3631"/>
    <w:rsid w:val="003F5652"/>
    <w:rsid w:val="004009AC"/>
    <w:rsid w:val="00401A39"/>
    <w:rsid w:val="00411370"/>
    <w:rsid w:val="00426A91"/>
    <w:rsid w:val="004331FD"/>
    <w:rsid w:val="00433DFD"/>
    <w:rsid w:val="0043432C"/>
    <w:rsid w:val="00436CA5"/>
    <w:rsid w:val="00436D3F"/>
    <w:rsid w:val="00444709"/>
    <w:rsid w:val="00446F39"/>
    <w:rsid w:val="00450558"/>
    <w:rsid w:val="0045160E"/>
    <w:rsid w:val="00451872"/>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973D8"/>
    <w:rsid w:val="004A0746"/>
    <w:rsid w:val="004B2B66"/>
    <w:rsid w:val="004B5169"/>
    <w:rsid w:val="004C4D9D"/>
    <w:rsid w:val="004D674D"/>
    <w:rsid w:val="004E773D"/>
    <w:rsid w:val="004F040B"/>
    <w:rsid w:val="004F11B2"/>
    <w:rsid w:val="004F5315"/>
    <w:rsid w:val="004F661E"/>
    <w:rsid w:val="00500B68"/>
    <w:rsid w:val="005011CE"/>
    <w:rsid w:val="00501D4B"/>
    <w:rsid w:val="005044B3"/>
    <w:rsid w:val="0051666C"/>
    <w:rsid w:val="00520DFF"/>
    <w:rsid w:val="00523EEC"/>
    <w:rsid w:val="005250D5"/>
    <w:rsid w:val="00526294"/>
    <w:rsid w:val="00532C74"/>
    <w:rsid w:val="005360E1"/>
    <w:rsid w:val="005417ED"/>
    <w:rsid w:val="005514B7"/>
    <w:rsid w:val="00552AEB"/>
    <w:rsid w:val="00554B38"/>
    <w:rsid w:val="00575109"/>
    <w:rsid w:val="00575CDE"/>
    <w:rsid w:val="00584F35"/>
    <w:rsid w:val="005923B7"/>
    <w:rsid w:val="00594547"/>
    <w:rsid w:val="005A1F10"/>
    <w:rsid w:val="005A6D8B"/>
    <w:rsid w:val="005A728A"/>
    <w:rsid w:val="005B1258"/>
    <w:rsid w:val="005B6549"/>
    <w:rsid w:val="005C6EBD"/>
    <w:rsid w:val="005D10DB"/>
    <w:rsid w:val="005D450F"/>
    <w:rsid w:val="005E4D8F"/>
    <w:rsid w:val="005F03AD"/>
    <w:rsid w:val="005F40DB"/>
    <w:rsid w:val="005F412D"/>
    <w:rsid w:val="005F689C"/>
    <w:rsid w:val="00607769"/>
    <w:rsid w:val="00610480"/>
    <w:rsid w:val="00610D35"/>
    <w:rsid w:val="00620A96"/>
    <w:rsid w:val="00626C3F"/>
    <w:rsid w:val="0062765D"/>
    <w:rsid w:val="00640992"/>
    <w:rsid w:val="00643984"/>
    <w:rsid w:val="006457FB"/>
    <w:rsid w:val="00646062"/>
    <w:rsid w:val="00647833"/>
    <w:rsid w:val="0065772F"/>
    <w:rsid w:val="006613C4"/>
    <w:rsid w:val="00663213"/>
    <w:rsid w:val="0067081F"/>
    <w:rsid w:val="006719D6"/>
    <w:rsid w:val="00672B97"/>
    <w:rsid w:val="00674FC9"/>
    <w:rsid w:val="0067571E"/>
    <w:rsid w:val="0068619F"/>
    <w:rsid w:val="006868E2"/>
    <w:rsid w:val="006870D6"/>
    <w:rsid w:val="00694392"/>
    <w:rsid w:val="00695EB8"/>
    <w:rsid w:val="00696032"/>
    <w:rsid w:val="0069665E"/>
    <w:rsid w:val="006A07C3"/>
    <w:rsid w:val="006A2D97"/>
    <w:rsid w:val="006B0379"/>
    <w:rsid w:val="006B3935"/>
    <w:rsid w:val="006B4412"/>
    <w:rsid w:val="006C0F25"/>
    <w:rsid w:val="006D341E"/>
    <w:rsid w:val="006D36EF"/>
    <w:rsid w:val="006F3E5C"/>
    <w:rsid w:val="00715525"/>
    <w:rsid w:val="00716D67"/>
    <w:rsid w:val="00720DE6"/>
    <w:rsid w:val="007218B6"/>
    <w:rsid w:val="00721C41"/>
    <w:rsid w:val="00723FC8"/>
    <w:rsid w:val="007273DE"/>
    <w:rsid w:val="00731320"/>
    <w:rsid w:val="007314BE"/>
    <w:rsid w:val="00731D97"/>
    <w:rsid w:val="007335F3"/>
    <w:rsid w:val="007378DC"/>
    <w:rsid w:val="00737964"/>
    <w:rsid w:val="00741ADA"/>
    <w:rsid w:val="00755EE8"/>
    <w:rsid w:val="00756396"/>
    <w:rsid w:val="0075667D"/>
    <w:rsid w:val="00757FE9"/>
    <w:rsid w:val="00774663"/>
    <w:rsid w:val="00783590"/>
    <w:rsid w:val="0079001B"/>
    <w:rsid w:val="00794768"/>
    <w:rsid w:val="007A1A7B"/>
    <w:rsid w:val="007A3FF8"/>
    <w:rsid w:val="007A4073"/>
    <w:rsid w:val="007A5FD2"/>
    <w:rsid w:val="007B2C9F"/>
    <w:rsid w:val="007B50CB"/>
    <w:rsid w:val="007B6F84"/>
    <w:rsid w:val="007B6FF3"/>
    <w:rsid w:val="007C0F51"/>
    <w:rsid w:val="007C1BAC"/>
    <w:rsid w:val="007C607F"/>
    <w:rsid w:val="007C797B"/>
    <w:rsid w:val="007D2F0F"/>
    <w:rsid w:val="007D5720"/>
    <w:rsid w:val="007D6A05"/>
    <w:rsid w:val="007E0817"/>
    <w:rsid w:val="007E3CD5"/>
    <w:rsid w:val="007F1362"/>
    <w:rsid w:val="007F326B"/>
    <w:rsid w:val="007F49FE"/>
    <w:rsid w:val="008022BB"/>
    <w:rsid w:val="00825FDC"/>
    <w:rsid w:val="00831273"/>
    <w:rsid w:val="008322B7"/>
    <w:rsid w:val="00837873"/>
    <w:rsid w:val="00837BC4"/>
    <w:rsid w:val="00850319"/>
    <w:rsid w:val="00850CD6"/>
    <w:rsid w:val="008569B0"/>
    <w:rsid w:val="00866153"/>
    <w:rsid w:val="008673D9"/>
    <w:rsid w:val="008718B8"/>
    <w:rsid w:val="008735ED"/>
    <w:rsid w:val="0087386E"/>
    <w:rsid w:val="00877EEB"/>
    <w:rsid w:val="00884922"/>
    <w:rsid w:val="00890116"/>
    <w:rsid w:val="00891812"/>
    <w:rsid w:val="008B11DE"/>
    <w:rsid w:val="008B63D7"/>
    <w:rsid w:val="008C163E"/>
    <w:rsid w:val="008C325B"/>
    <w:rsid w:val="008D1F0B"/>
    <w:rsid w:val="008D5B55"/>
    <w:rsid w:val="008D758F"/>
    <w:rsid w:val="008E59BF"/>
    <w:rsid w:val="008E5D72"/>
    <w:rsid w:val="008F205C"/>
    <w:rsid w:val="00910385"/>
    <w:rsid w:val="00924086"/>
    <w:rsid w:val="00926824"/>
    <w:rsid w:val="00926998"/>
    <w:rsid w:val="009330DF"/>
    <w:rsid w:val="0093328F"/>
    <w:rsid w:val="009357D5"/>
    <w:rsid w:val="00940517"/>
    <w:rsid w:val="00940CE1"/>
    <w:rsid w:val="00942D5F"/>
    <w:rsid w:val="00942ED2"/>
    <w:rsid w:val="0094411F"/>
    <w:rsid w:val="0095637E"/>
    <w:rsid w:val="00956B3E"/>
    <w:rsid w:val="009575AB"/>
    <w:rsid w:val="00972E44"/>
    <w:rsid w:val="00976B15"/>
    <w:rsid w:val="00980F14"/>
    <w:rsid w:val="0098289F"/>
    <w:rsid w:val="00996A37"/>
    <w:rsid w:val="00997DE7"/>
    <w:rsid w:val="009A228A"/>
    <w:rsid w:val="009B39CB"/>
    <w:rsid w:val="009B7C13"/>
    <w:rsid w:val="009C3B50"/>
    <w:rsid w:val="009C4EF5"/>
    <w:rsid w:val="009D066C"/>
    <w:rsid w:val="009D6E91"/>
    <w:rsid w:val="009E1B5A"/>
    <w:rsid w:val="009E50EF"/>
    <w:rsid w:val="009E646B"/>
    <w:rsid w:val="009E6537"/>
    <w:rsid w:val="009E7A32"/>
    <w:rsid w:val="009F0151"/>
    <w:rsid w:val="00A0037A"/>
    <w:rsid w:val="00A23EF7"/>
    <w:rsid w:val="00A32516"/>
    <w:rsid w:val="00A3680F"/>
    <w:rsid w:val="00A43345"/>
    <w:rsid w:val="00A46C90"/>
    <w:rsid w:val="00A64316"/>
    <w:rsid w:val="00A64BD2"/>
    <w:rsid w:val="00A759B3"/>
    <w:rsid w:val="00A814B0"/>
    <w:rsid w:val="00A83772"/>
    <w:rsid w:val="00A91A5F"/>
    <w:rsid w:val="00A932B1"/>
    <w:rsid w:val="00A97A7C"/>
    <w:rsid w:val="00AA0E2C"/>
    <w:rsid w:val="00AA1CF5"/>
    <w:rsid w:val="00AB1EBD"/>
    <w:rsid w:val="00AC38C8"/>
    <w:rsid w:val="00AE29D5"/>
    <w:rsid w:val="00AE54BE"/>
    <w:rsid w:val="00AE6CA8"/>
    <w:rsid w:val="00AF2788"/>
    <w:rsid w:val="00AF400A"/>
    <w:rsid w:val="00B00285"/>
    <w:rsid w:val="00B04E25"/>
    <w:rsid w:val="00B248C6"/>
    <w:rsid w:val="00B44199"/>
    <w:rsid w:val="00B507F2"/>
    <w:rsid w:val="00B51BF6"/>
    <w:rsid w:val="00B65041"/>
    <w:rsid w:val="00B66C77"/>
    <w:rsid w:val="00B672CF"/>
    <w:rsid w:val="00B70EFA"/>
    <w:rsid w:val="00B72CDC"/>
    <w:rsid w:val="00B7490B"/>
    <w:rsid w:val="00B75CEE"/>
    <w:rsid w:val="00B76653"/>
    <w:rsid w:val="00B80A8C"/>
    <w:rsid w:val="00B81081"/>
    <w:rsid w:val="00B936F2"/>
    <w:rsid w:val="00BB55B9"/>
    <w:rsid w:val="00BC3853"/>
    <w:rsid w:val="00BC6A5B"/>
    <w:rsid w:val="00BD210A"/>
    <w:rsid w:val="00BD2814"/>
    <w:rsid w:val="00BE2BC1"/>
    <w:rsid w:val="00BE3D84"/>
    <w:rsid w:val="00BE5975"/>
    <w:rsid w:val="00BF2C78"/>
    <w:rsid w:val="00BF35B4"/>
    <w:rsid w:val="00BF5580"/>
    <w:rsid w:val="00BF5AC7"/>
    <w:rsid w:val="00BF60FE"/>
    <w:rsid w:val="00C049CF"/>
    <w:rsid w:val="00C06EC8"/>
    <w:rsid w:val="00C12975"/>
    <w:rsid w:val="00C169AA"/>
    <w:rsid w:val="00C17D81"/>
    <w:rsid w:val="00C21B5F"/>
    <w:rsid w:val="00C234F2"/>
    <w:rsid w:val="00C236CF"/>
    <w:rsid w:val="00C23E59"/>
    <w:rsid w:val="00C24B4D"/>
    <w:rsid w:val="00C2576A"/>
    <w:rsid w:val="00C25BD9"/>
    <w:rsid w:val="00C344B5"/>
    <w:rsid w:val="00C36C16"/>
    <w:rsid w:val="00C37E5F"/>
    <w:rsid w:val="00C6436E"/>
    <w:rsid w:val="00C663C7"/>
    <w:rsid w:val="00C80B93"/>
    <w:rsid w:val="00C8305B"/>
    <w:rsid w:val="00C87DAF"/>
    <w:rsid w:val="00C90A50"/>
    <w:rsid w:val="00C931F8"/>
    <w:rsid w:val="00CA0464"/>
    <w:rsid w:val="00CA5967"/>
    <w:rsid w:val="00CA7115"/>
    <w:rsid w:val="00CB0E0E"/>
    <w:rsid w:val="00CB4339"/>
    <w:rsid w:val="00CB4550"/>
    <w:rsid w:val="00CC41EA"/>
    <w:rsid w:val="00CD68BE"/>
    <w:rsid w:val="00CE5616"/>
    <w:rsid w:val="00CE6F6E"/>
    <w:rsid w:val="00CF0B54"/>
    <w:rsid w:val="00CF1C0F"/>
    <w:rsid w:val="00D058E7"/>
    <w:rsid w:val="00D13952"/>
    <w:rsid w:val="00D14A5F"/>
    <w:rsid w:val="00D154DA"/>
    <w:rsid w:val="00D169B4"/>
    <w:rsid w:val="00D33F5B"/>
    <w:rsid w:val="00D40C82"/>
    <w:rsid w:val="00D40FE5"/>
    <w:rsid w:val="00D44A84"/>
    <w:rsid w:val="00D47EAF"/>
    <w:rsid w:val="00D53829"/>
    <w:rsid w:val="00D53A64"/>
    <w:rsid w:val="00D567C7"/>
    <w:rsid w:val="00D5748E"/>
    <w:rsid w:val="00D6356A"/>
    <w:rsid w:val="00D67A65"/>
    <w:rsid w:val="00D71985"/>
    <w:rsid w:val="00D7414F"/>
    <w:rsid w:val="00D75754"/>
    <w:rsid w:val="00D76C74"/>
    <w:rsid w:val="00D80764"/>
    <w:rsid w:val="00D83476"/>
    <w:rsid w:val="00D87B04"/>
    <w:rsid w:val="00D9353E"/>
    <w:rsid w:val="00DA0CBA"/>
    <w:rsid w:val="00DA4C11"/>
    <w:rsid w:val="00DB17FF"/>
    <w:rsid w:val="00DB27CA"/>
    <w:rsid w:val="00DC11EF"/>
    <w:rsid w:val="00DC42A9"/>
    <w:rsid w:val="00DC64BD"/>
    <w:rsid w:val="00DC7301"/>
    <w:rsid w:val="00DD2C39"/>
    <w:rsid w:val="00DD40B8"/>
    <w:rsid w:val="00DE3ABB"/>
    <w:rsid w:val="00DE46EF"/>
    <w:rsid w:val="00E018EA"/>
    <w:rsid w:val="00E01F12"/>
    <w:rsid w:val="00E04554"/>
    <w:rsid w:val="00E04793"/>
    <w:rsid w:val="00E04BC5"/>
    <w:rsid w:val="00E05117"/>
    <w:rsid w:val="00E0687C"/>
    <w:rsid w:val="00E06F02"/>
    <w:rsid w:val="00E079E6"/>
    <w:rsid w:val="00E20942"/>
    <w:rsid w:val="00E26FD3"/>
    <w:rsid w:val="00E27C37"/>
    <w:rsid w:val="00E31D07"/>
    <w:rsid w:val="00E37403"/>
    <w:rsid w:val="00E37861"/>
    <w:rsid w:val="00E37A8C"/>
    <w:rsid w:val="00E461A5"/>
    <w:rsid w:val="00E618FA"/>
    <w:rsid w:val="00E62AC1"/>
    <w:rsid w:val="00E64E0B"/>
    <w:rsid w:val="00E65F84"/>
    <w:rsid w:val="00E664B6"/>
    <w:rsid w:val="00E716D5"/>
    <w:rsid w:val="00E81E54"/>
    <w:rsid w:val="00E82FF8"/>
    <w:rsid w:val="00E8517A"/>
    <w:rsid w:val="00E96696"/>
    <w:rsid w:val="00EB0474"/>
    <w:rsid w:val="00EC0FAA"/>
    <w:rsid w:val="00EC3D98"/>
    <w:rsid w:val="00ED310A"/>
    <w:rsid w:val="00EE046F"/>
    <w:rsid w:val="00EE13C6"/>
    <w:rsid w:val="00EF0957"/>
    <w:rsid w:val="00EF0D5C"/>
    <w:rsid w:val="00EF76EF"/>
    <w:rsid w:val="00F001A7"/>
    <w:rsid w:val="00F00986"/>
    <w:rsid w:val="00F161E9"/>
    <w:rsid w:val="00F174C8"/>
    <w:rsid w:val="00F23C89"/>
    <w:rsid w:val="00F252F3"/>
    <w:rsid w:val="00F255F6"/>
    <w:rsid w:val="00F309F5"/>
    <w:rsid w:val="00F30FB2"/>
    <w:rsid w:val="00F46361"/>
    <w:rsid w:val="00F46FC2"/>
    <w:rsid w:val="00F52BF2"/>
    <w:rsid w:val="00F53493"/>
    <w:rsid w:val="00F72868"/>
    <w:rsid w:val="00F77115"/>
    <w:rsid w:val="00F825FD"/>
    <w:rsid w:val="00F8394D"/>
    <w:rsid w:val="00F84CD0"/>
    <w:rsid w:val="00F96855"/>
    <w:rsid w:val="00FA13AD"/>
    <w:rsid w:val="00FB153D"/>
    <w:rsid w:val="00FB2F2E"/>
    <w:rsid w:val="00FC08C7"/>
    <w:rsid w:val="00FC1BB5"/>
    <w:rsid w:val="00FC7D14"/>
    <w:rsid w:val="00FC7E66"/>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3737</Words>
  <Characters>2131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7</cp:revision>
  <cp:lastPrinted>2024-07-09T11:43:00Z</cp:lastPrinted>
  <dcterms:created xsi:type="dcterms:W3CDTF">2026-04-23T13:24:00Z</dcterms:created>
  <dcterms:modified xsi:type="dcterms:W3CDTF">2026-04-24T13:33:00Z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