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584AF" w14:textId="52386407" w:rsidR="00BD39F1" w:rsidRPr="00BD39F1" w:rsidRDefault="00BD39F1" w:rsidP="00BD39F1">
      <w:pPr>
        <w:jc w:val="center"/>
        <w:rPr>
          <w:b/>
          <w:lang w:eastAsia="ar-SA"/>
        </w:rPr>
      </w:pPr>
      <w:r w:rsidRPr="00BD39F1">
        <w:rPr>
          <w:b/>
          <w:lang w:eastAsia="ar-SA"/>
        </w:rPr>
        <w:t xml:space="preserve">DEGALŲ ĮSIGIJIMO </w:t>
      </w:r>
      <w:r>
        <w:rPr>
          <w:b/>
          <w:lang w:eastAsia="ar-SA"/>
        </w:rPr>
        <w:t>(DEGALINĖJE)</w:t>
      </w:r>
      <w:r w:rsidRPr="00BD39F1">
        <w:rPr>
          <w:b/>
          <w:lang w:eastAsia="ar-SA"/>
        </w:rPr>
        <w:t xml:space="preserve"> TECHNINĖ SPECIFIKACIJA</w:t>
      </w:r>
    </w:p>
    <w:p w14:paraId="4DCF0953" w14:textId="77777777" w:rsidR="00BD39F1" w:rsidRPr="00BD39F1" w:rsidRDefault="00BD39F1" w:rsidP="00BD39F1">
      <w:pPr>
        <w:jc w:val="center"/>
        <w:rPr>
          <w:b/>
          <w:lang w:eastAsia="ar-SA"/>
        </w:rPr>
      </w:pPr>
    </w:p>
    <w:p w14:paraId="1AA588B3" w14:textId="77777777" w:rsidR="00BD39F1" w:rsidRPr="00BD39F1" w:rsidRDefault="00BD39F1" w:rsidP="00BD39F1">
      <w:pPr>
        <w:jc w:val="center"/>
        <w:rPr>
          <w:b/>
          <w:lang w:eastAsia="ar-SA"/>
        </w:rPr>
      </w:pPr>
      <w:r w:rsidRPr="00BD39F1">
        <w:rPr>
          <w:b/>
          <w:lang w:eastAsia="ar-SA"/>
        </w:rPr>
        <w:t>1. BENDROSIOS NUOSTATOS</w:t>
      </w:r>
    </w:p>
    <w:p w14:paraId="5B7A02CF" w14:textId="77777777" w:rsidR="00BD39F1" w:rsidRPr="00BD39F1" w:rsidRDefault="00BD39F1" w:rsidP="00BD39F1">
      <w:pPr>
        <w:jc w:val="center"/>
        <w:rPr>
          <w:b/>
          <w:lang w:eastAsia="ar-SA"/>
        </w:rPr>
      </w:pPr>
    </w:p>
    <w:p w14:paraId="72CA997C" w14:textId="4A1B43AC" w:rsidR="00BD39F1" w:rsidRDefault="00BD39F1" w:rsidP="00041FD4">
      <w:pPr>
        <w:pStyle w:val="Sraopastraipa"/>
        <w:numPr>
          <w:ilvl w:val="1"/>
          <w:numId w:val="1"/>
        </w:numPr>
        <w:jc w:val="both"/>
        <w:rPr>
          <w:bCs/>
          <w:lang w:eastAsia="ar-SA"/>
        </w:rPr>
      </w:pPr>
      <w:r w:rsidRPr="00D10D10">
        <w:rPr>
          <w:bCs/>
          <w:lang w:eastAsia="ar-SA"/>
        </w:rPr>
        <w:t xml:space="preserve">Automobiliniai degalai - </w:t>
      </w:r>
      <w:r w:rsidR="00D24D79" w:rsidRPr="00D10D10">
        <w:rPr>
          <w:bCs/>
          <w:lang w:eastAsia="ar-SA"/>
        </w:rPr>
        <w:t xml:space="preserve">dyzelinas ir </w:t>
      </w:r>
      <w:r w:rsidRPr="00D10D10">
        <w:rPr>
          <w:bCs/>
          <w:lang w:eastAsia="ar-SA"/>
        </w:rPr>
        <w:t>95 markės benzinas ir (toliau – degalai) bus įsigyjami iš Tiekėjo degalinių, naudojantis Tiekėjo išduotomis atsiskaitymo kreditinėmis mokėjimo kortelėmis (toliau – kortelė).</w:t>
      </w:r>
    </w:p>
    <w:p w14:paraId="3F11A2CD" w14:textId="1ACC7030" w:rsidR="00E3598A" w:rsidRDefault="00E3598A" w:rsidP="00041FD4">
      <w:pPr>
        <w:pStyle w:val="Sraopastraipa"/>
        <w:numPr>
          <w:ilvl w:val="1"/>
          <w:numId w:val="1"/>
        </w:numPr>
        <w:jc w:val="both"/>
        <w:rPr>
          <w:bCs/>
          <w:lang w:eastAsia="ar-SA"/>
        </w:rPr>
      </w:pPr>
      <w:r>
        <w:rPr>
          <w:bCs/>
          <w:lang w:eastAsia="ar-SA"/>
        </w:rPr>
        <w:t>D</w:t>
      </w:r>
      <w:r w:rsidRPr="00D10D10">
        <w:rPr>
          <w:bCs/>
          <w:lang w:eastAsia="ar-SA"/>
        </w:rPr>
        <w:t>egalai</w:t>
      </w:r>
      <w:r w:rsidRPr="00E3598A">
        <w:rPr>
          <w:bCs/>
          <w:lang w:eastAsia="ar-SA"/>
        </w:rPr>
        <w:t xml:space="preserve"> </w:t>
      </w:r>
      <w:r>
        <w:rPr>
          <w:bCs/>
          <w:lang w:eastAsia="ar-SA"/>
        </w:rPr>
        <w:t>skirti mokyklin</w:t>
      </w:r>
      <w:r w:rsidR="00114E73">
        <w:rPr>
          <w:bCs/>
          <w:lang w:eastAsia="ar-SA"/>
        </w:rPr>
        <w:t>iams autobusams (</w:t>
      </w:r>
      <w:r w:rsidRPr="00E3598A">
        <w:rPr>
          <w:bCs/>
          <w:lang w:eastAsia="ar-SA"/>
        </w:rPr>
        <w:t>automobiliams</w:t>
      </w:r>
      <w:r w:rsidR="00114E73">
        <w:rPr>
          <w:bCs/>
          <w:lang w:eastAsia="ar-SA"/>
        </w:rPr>
        <w:t>)</w:t>
      </w:r>
      <w:r w:rsidRPr="00E3598A">
        <w:rPr>
          <w:bCs/>
          <w:lang w:eastAsia="ar-SA"/>
        </w:rPr>
        <w:t xml:space="preserve"> bei ūkinėms reikmėms</w:t>
      </w:r>
      <w:r w:rsidR="00114E73">
        <w:rPr>
          <w:bCs/>
          <w:lang w:eastAsia="ar-SA"/>
        </w:rPr>
        <w:t>.</w:t>
      </w:r>
    </w:p>
    <w:p w14:paraId="59CAFFE7" w14:textId="32743799" w:rsidR="00C4297A" w:rsidRPr="00CE728D" w:rsidRDefault="0044202D" w:rsidP="00041FD4">
      <w:pPr>
        <w:pStyle w:val="Sraopastraipa"/>
        <w:numPr>
          <w:ilvl w:val="1"/>
          <w:numId w:val="1"/>
        </w:numPr>
        <w:jc w:val="both"/>
        <w:rPr>
          <w:bCs/>
          <w:lang w:eastAsia="ar-SA"/>
        </w:rPr>
      </w:pPr>
      <w:r>
        <w:rPr>
          <w:bCs/>
          <w:lang w:eastAsia="ar-SA"/>
        </w:rPr>
        <w:t xml:space="preserve">Preliminarūs kiekiai </w:t>
      </w:r>
      <w:r w:rsidR="00EB76FA">
        <w:rPr>
          <w:bCs/>
          <w:u w:val="single"/>
          <w:lang w:eastAsia="ar-SA"/>
        </w:rPr>
        <w:t>36</w:t>
      </w:r>
      <w:r w:rsidRPr="00D87EE4">
        <w:rPr>
          <w:bCs/>
          <w:u w:val="single"/>
          <w:lang w:eastAsia="ar-SA"/>
        </w:rPr>
        <w:t xml:space="preserve"> mėnesių</w:t>
      </w:r>
      <w:r>
        <w:rPr>
          <w:bCs/>
          <w:lang w:eastAsia="ar-SA"/>
        </w:rPr>
        <w:t xml:space="preserve">: </w:t>
      </w:r>
      <w:r w:rsidR="00C4297A" w:rsidRPr="00C4297A">
        <w:rPr>
          <w:bCs/>
          <w:lang w:eastAsia="ar-SA"/>
        </w:rPr>
        <w:t>dyzelini</w:t>
      </w:r>
      <w:r w:rsidR="00F001EB">
        <w:rPr>
          <w:bCs/>
          <w:lang w:eastAsia="ar-SA"/>
        </w:rPr>
        <w:t>o</w:t>
      </w:r>
      <w:r w:rsidR="00C4297A" w:rsidRPr="00C4297A">
        <w:rPr>
          <w:bCs/>
          <w:lang w:eastAsia="ar-SA"/>
        </w:rPr>
        <w:t xml:space="preserve"> kur</w:t>
      </w:r>
      <w:r w:rsidR="00F001EB">
        <w:rPr>
          <w:bCs/>
          <w:lang w:eastAsia="ar-SA"/>
        </w:rPr>
        <w:t>o</w:t>
      </w:r>
      <w:r w:rsidR="00C4297A" w:rsidRPr="00C4297A">
        <w:rPr>
          <w:bCs/>
          <w:lang w:eastAsia="ar-SA"/>
        </w:rPr>
        <w:t xml:space="preserve"> preliminarus kiekis yra</w:t>
      </w:r>
      <w:r>
        <w:rPr>
          <w:bCs/>
          <w:lang w:eastAsia="ar-SA"/>
        </w:rPr>
        <w:t xml:space="preserve"> apie </w:t>
      </w:r>
      <w:r w:rsidR="00155FAC">
        <w:rPr>
          <w:bCs/>
          <w:lang w:eastAsia="ar-SA"/>
        </w:rPr>
        <w:t>58500</w:t>
      </w:r>
      <w:r w:rsidR="00C4297A" w:rsidRPr="00C4297A">
        <w:rPr>
          <w:bCs/>
          <w:lang w:eastAsia="ar-SA"/>
        </w:rPr>
        <w:t xml:space="preserve"> l, benzin</w:t>
      </w:r>
      <w:r w:rsidR="00F001EB">
        <w:rPr>
          <w:bCs/>
          <w:lang w:eastAsia="ar-SA"/>
        </w:rPr>
        <w:t>o</w:t>
      </w:r>
      <w:r w:rsidR="00C4297A" w:rsidRPr="00C4297A">
        <w:rPr>
          <w:bCs/>
          <w:lang w:eastAsia="ar-SA"/>
        </w:rPr>
        <w:t xml:space="preserve"> </w:t>
      </w:r>
      <w:r w:rsidR="00C4297A" w:rsidRPr="00CE728D">
        <w:rPr>
          <w:bCs/>
          <w:lang w:eastAsia="ar-SA"/>
        </w:rPr>
        <w:t xml:space="preserve">A95  preliminarus kiekis yra </w:t>
      </w:r>
      <w:r w:rsidR="00F001EB" w:rsidRPr="00CE728D">
        <w:rPr>
          <w:bCs/>
          <w:lang w:eastAsia="ar-SA"/>
        </w:rPr>
        <w:t xml:space="preserve">apie </w:t>
      </w:r>
      <w:r w:rsidR="00253A03" w:rsidRPr="00CE728D">
        <w:rPr>
          <w:bCs/>
          <w:lang w:eastAsia="ar-SA"/>
        </w:rPr>
        <w:t>27</w:t>
      </w:r>
      <w:r w:rsidR="00F001EB" w:rsidRPr="00CE728D">
        <w:rPr>
          <w:bCs/>
          <w:lang w:eastAsia="ar-SA"/>
        </w:rPr>
        <w:t>0</w:t>
      </w:r>
      <w:r w:rsidR="00C4297A" w:rsidRPr="00CE728D">
        <w:rPr>
          <w:bCs/>
          <w:lang w:eastAsia="ar-SA"/>
        </w:rPr>
        <w:t>0 l</w:t>
      </w:r>
      <w:r w:rsidR="001370BF" w:rsidRPr="00CE728D">
        <w:rPr>
          <w:bCs/>
          <w:lang w:eastAsia="ar-SA"/>
        </w:rPr>
        <w:t>.</w:t>
      </w:r>
    </w:p>
    <w:p w14:paraId="101297EF" w14:textId="25A6647E" w:rsidR="007B49C0" w:rsidRDefault="007B49C0" w:rsidP="00041FD4">
      <w:pPr>
        <w:pStyle w:val="Sraopastraipa"/>
        <w:numPr>
          <w:ilvl w:val="1"/>
          <w:numId w:val="1"/>
        </w:numPr>
        <w:jc w:val="both"/>
        <w:rPr>
          <w:bCs/>
          <w:lang w:eastAsia="ar-SA"/>
        </w:rPr>
      </w:pPr>
      <w:r w:rsidRPr="00CE728D">
        <w:rPr>
          <w:bCs/>
          <w:lang w:eastAsia="ar-SA"/>
        </w:rPr>
        <w:t>Pirkėjas pasilieka sau teisę nupirkti mažesnį</w:t>
      </w:r>
      <w:r w:rsidR="00C56BC8" w:rsidRPr="00CE728D">
        <w:rPr>
          <w:bCs/>
          <w:lang w:eastAsia="ar-SA"/>
        </w:rPr>
        <w:t>/didesnį</w:t>
      </w:r>
      <w:r w:rsidRPr="00CE728D">
        <w:rPr>
          <w:bCs/>
          <w:lang w:eastAsia="ar-SA"/>
        </w:rPr>
        <w:t xml:space="preserve"> degalų kiekį, jeigu </w:t>
      </w:r>
      <w:r w:rsidR="00DE0FB3" w:rsidRPr="00CE728D">
        <w:rPr>
          <w:bCs/>
          <w:lang w:eastAsia="ar-SA"/>
        </w:rPr>
        <w:t>nebus neviršyta</w:t>
      </w:r>
      <w:r w:rsidR="00383BA9" w:rsidRPr="00CE728D">
        <w:rPr>
          <w:bCs/>
          <w:lang w:eastAsia="ar-SA"/>
        </w:rPr>
        <w:t xml:space="preserve"> Pradinės Sutarties vertė ir Sutarties terminas</w:t>
      </w:r>
      <w:r w:rsidRPr="00CE728D">
        <w:rPr>
          <w:bCs/>
          <w:lang w:eastAsia="ar-SA"/>
        </w:rPr>
        <w:t xml:space="preserve">. Pirkėjas neįsipareigoja </w:t>
      </w:r>
      <w:r w:rsidRPr="007B49C0">
        <w:rPr>
          <w:bCs/>
          <w:lang w:eastAsia="ar-SA"/>
        </w:rPr>
        <w:t>nupirkti viso degalų kiekio.  Nurodyti kiekiai yra preliminarūs ir gali mažėti</w:t>
      </w:r>
      <w:r w:rsidR="007130F7">
        <w:rPr>
          <w:bCs/>
          <w:lang w:eastAsia="ar-SA"/>
        </w:rPr>
        <w:t>.</w:t>
      </w:r>
    </w:p>
    <w:p w14:paraId="48DB1EBE" w14:textId="0806DC0E" w:rsidR="000C00E6" w:rsidRPr="00C4297A" w:rsidRDefault="00AC53DD" w:rsidP="00041FD4">
      <w:pPr>
        <w:pStyle w:val="Sraopastraipa"/>
        <w:numPr>
          <w:ilvl w:val="1"/>
          <w:numId w:val="1"/>
        </w:numPr>
        <w:jc w:val="both"/>
        <w:rPr>
          <w:bCs/>
          <w:lang w:eastAsia="ar-SA"/>
        </w:rPr>
      </w:pPr>
      <w:r>
        <w:rPr>
          <w:bCs/>
          <w:lang w:eastAsia="ar-SA"/>
        </w:rPr>
        <w:t xml:space="preserve">Numatomas sutarties terminas – </w:t>
      </w:r>
      <w:r w:rsidRPr="00D87EE4">
        <w:rPr>
          <w:bCs/>
          <w:u w:val="single"/>
          <w:lang w:eastAsia="ar-SA"/>
        </w:rPr>
        <w:t>36 mėnesiai</w:t>
      </w:r>
      <w:r>
        <w:rPr>
          <w:bCs/>
          <w:lang w:eastAsia="ar-SA"/>
        </w:rPr>
        <w:t>.</w:t>
      </w:r>
    </w:p>
    <w:p w14:paraId="408A1ADE" w14:textId="58DA6412" w:rsidR="00D10D10" w:rsidRPr="00D33FAB" w:rsidRDefault="00D10D10" w:rsidP="00041FD4">
      <w:pPr>
        <w:numPr>
          <w:ilvl w:val="1"/>
          <w:numId w:val="1"/>
        </w:numPr>
        <w:ind w:right="-1"/>
        <w:jc w:val="both"/>
      </w:pPr>
      <w:r>
        <w:t xml:space="preserve">Tiekėjas privalo turėti </w:t>
      </w:r>
      <w:r w:rsidRPr="00D33FAB">
        <w:t>degalin</w:t>
      </w:r>
      <w:r>
        <w:t>ę</w:t>
      </w:r>
      <w:r w:rsidRPr="00D33FAB">
        <w:t>, esanči</w:t>
      </w:r>
      <w:r>
        <w:t>ą</w:t>
      </w:r>
      <w:r w:rsidRPr="00D33FAB">
        <w:t xml:space="preserve"> </w:t>
      </w:r>
      <w:r w:rsidRPr="00D33FAB">
        <w:rPr>
          <w:b/>
          <w:i/>
        </w:rPr>
        <w:t>ne toliau kaip 5 km.</w:t>
      </w:r>
      <w:r w:rsidRPr="00D33FAB">
        <w:rPr>
          <w:i/>
        </w:rPr>
        <w:t xml:space="preserve"> spinduliu</w:t>
      </w:r>
      <w:r w:rsidRPr="00D33FAB">
        <w:t xml:space="preserve"> </w:t>
      </w:r>
      <w:r w:rsidRPr="00D33FAB">
        <w:rPr>
          <w:i/>
        </w:rPr>
        <w:t xml:space="preserve">nuo </w:t>
      </w:r>
      <w:r>
        <w:rPr>
          <w:i/>
        </w:rPr>
        <w:t>Veisiejų</w:t>
      </w:r>
      <w:r w:rsidRPr="00D33FAB">
        <w:rPr>
          <w:i/>
        </w:rPr>
        <w:t xml:space="preserve"> mstl.</w:t>
      </w:r>
      <w:r>
        <w:rPr>
          <w:i/>
        </w:rPr>
        <w:t xml:space="preserve"> Lazdijų r.</w:t>
      </w:r>
    </w:p>
    <w:p w14:paraId="616F2587" w14:textId="77777777" w:rsidR="00BD39F1" w:rsidRPr="00D24D79" w:rsidRDefault="00BD39F1" w:rsidP="00041FD4">
      <w:pPr>
        <w:jc w:val="both"/>
        <w:rPr>
          <w:bCs/>
          <w:lang w:eastAsia="ar-SA"/>
        </w:rPr>
      </w:pPr>
    </w:p>
    <w:p w14:paraId="06F78FF0" w14:textId="09206354" w:rsidR="008650DE" w:rsidRPr="00AC53DD" w:rsidRDefault="00BD39F1" w:rsidP="00AC53DD">
      <w:pPr>
        <w:pStyle w:val="Sraopastraipa"/>
        <w:numPr>
          <w:ilvl w:val="0"/>
          <w:numId w:val="1"/>
        </w:numPr>
        <w:jc w:val="center"/>
        <w:rPr>
          <w:b/>
          <w:lang w:eastAsia="ar-SA"/>
        </w:rPr>
      </w:pPr>
      <w:r w:rsidRPr="00AC53DD">
        <w:rPr>
          <w:b/>
          <w:lang w:eastAsia="ar-SA"/>
        </w:rPr>
        <w:t>DEGALŲ KOKYBEI KELIAMI REIKALAVIMAI</w:t>
      </w:r>
    </w:p>
    <w:p w14:paraId="70E7AE30" w14:textId="11E23410" w:rsidR="00ED5EFE" w:rsidRDefault="00ED5EFE" w:rsidP="008C3FA7"/>
    <w:p w14:paraId="6628018F" w14:textId="0EE2F8F5" w:rsidR="008C3FA7" w:rsidRPr="008C3FA7" w:rsidRDefault="008C3FA7" w:rsidP="008C3FA7">
      <w:pPr>
        <w:jc w:val="both"/>
      </w:pPr>
      <w:r>
        <w:t>2</w:t>
      </w:r>
      <w:r w:rsidRPr="008C3FA7">
        <w:t xml:space="preserve">.1. Degalai turi atitikti Lietuvos Respublikos galiojančius standartus: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5959"/>
      </w:tblGrid>
      <w:tr w:rsidR="008C3FA7" w:rsidRPr="008C3FA7" w14:paraId="27D6AAFE" w14:textId="77777777" w:rsidTr="0065464F">
        <w:tc>
          <w:tcPr>
            <w:tcW w:w="3686" w:type="dxa"/>
            <w:shd w:val="clear" w:color="auto" w:fill="auto"/>
          </w:tcPr>
          <w:p w14:paraId="27D0BF2A" w14:textId="77777777" w:rsidR="008C3FA7" w:rsidRPr="008C3FA7" w:rsidRDefault="008C3FA7" w:rsidP="008C3FA7">
            <w:pPr>
              <w:spacing w:after="200" w:line="276" w:lineRule="auto"/>
              <w:jc w:val="center"/>
              <w:rPr>
                <w:b/>
                <w:i/>
                <w:iCs/>
              </w:rPr>
            </w:pPr>
            <w:r w:rsidRPr="008C3FA7">
              <w:rPr>
                <w:b/>
                <w:i/>
                <w:iCs/>
              </w:rPr>
              <w:t>Degalų pavadinimas</w:t>
            </w:r>
          </w:p>
        </w:tc>
        <w:tc>
          <w:tcPr>
            <w:tcW w:w="6237" w:type="dxa"/>
            <w:shd w:val="clear" w:color="auto" w:fill="auto"/>
          </w:tcPr>
          <w:p w14:paraId="0E427D89" w14:textId="77777777" w:rsidR="008C3FA7" w:rsidRPr="008C3FA7" w:rsidRDefault="008C3FA7" w:rsidP="008C3FA7">
            <w:pPr>
              <w:spacing w:after="200" w:line="276" w:lineRule="auto"/>
              <w:jc w:val="center"/>
              <w:rPr>
                <w:b/>
                <w:i/>
                <w:iCs/>
              </w:rPr>
            </w:pPr>
            <w:r w:rsidRPr="008C3FA7">
              <w:rPr>
                <w:b/>
                <w:i/>
                <w:iCs/>
              </w:rPr>
              <w:t>Standartai</w:t>
            </w:r>
          </w:p>
        </w:tc>
      </w:tr>
      <w:tr w:rsidR="008C3FA7" w:rsidRPr="008C3FA7" w14:paraId="4A70DB27" w14:textId="77777777" w:rsidTr="0065464F">
        <w:tc>
          <w:tcPr>
            <w:tcW w:w="3686" w:type="dxa"/>
            <w:shd w:val="clear" w:color="auto" w:fill="auto"/>
          </w:tcPr>
          <w:p w14:paraId="716A8AEB" w14:textId="77777777" w:rsidR="008C3FA7" w:rsidRPr="008C3FA7" w:rsidRDefault="008C3FA7" w:rsidP="008C3FA7">
            <w:pPr>
              <w:spacing w:after="200" w:line="276" w:lineRule="auto"/>
              <w:rPr>
                <w:i/>
                <w:iCs/>
              </w:rPr>
            </w:pPr>
            <w:r w:rsidRPr="008C3FA7">
              <w:rPr>
                <w:i/>
                <w:iCs/>
              </w:rPr>
              <w:t>95 markės benzinas</w:t>
            </w:r>
          </w:p>
        </w:tc>
        <w:tc>
          <w:tcPr>
            <w:tcW w:w="6237" w:type="dxa"/>
            <w:shd w:val="clear" w:color="auto" w:fill="auto"/>
          </w:tcPr>
          <w:p w14:paraId="1F603F80" w14:textId="77777777" w:rsidR="008C3FA7" w:rsidRPr="008C3FA7" w:rsidRDefault="008C3FA7" w:rsidP="008C3FA7">
            <w:pPr>
              <w:spacing w:after="200" w:line="276" w:lineRule="auto"/>
              <w:jc w:val="both"/>
              <w:rPr>
                <w:i/>
                <w:iCs/>
              </w:rPr>
            </w:pPr>
            <w:r w:rsidRPr="008C3FA7">
              <w:rPr>
                <w:i/>
                <w:iCs/>
              </w:rPr>
              <w:t>LST EN 228 (arba lygiavertis)</w:t>
            </w:r>
          </w:p>
        </w:tc>
      </w:tr>
      <w:tr w:rsidR="008C3FA7" w:rsidRPr="008C3FA7" w14:paraId="468F2080" w14:textId="77777777" w:rsidTr="0065464F">
        <w:tc>
          <w:tcPr>
            <w:tcW w:w="3686" w:type="dxa"/>
            <w:shd w:val="clear" w:color="auto" w:fill="auto"/>
          </w:tcPr>
          <w:p w14:paraId="66945636" w14:textId="77777777" w:rsidR="008C3FA7" w:rsidRPr="008C3FA7" w:rsidRDefault="008C3FA7" w:rsidP="008C3FA7">
            <w:pPr>
              <w:spacing w:after="200" w:line="276" w:lineRule="auto"/>
              <w:rPr>
                <w:i/>
                <w:iCs/>
              </w:rPr>
            </w:pPr>
            <w:r w:rsidRPr="008C3FA7">
              <w:rPr>
                <w:i/>
                <w:iCs/>
              </w:rPr>
              <w:t>Dyzelinas</w:t>
            </w:r>
          </w:p>
        </w:tc>
        <w:tc>
          <w:tcPr>
            <w:tcW w:w="6237" w:type="dxa"/>
            <w:shd w:val="clear" w:color="auto" w:fill="auto"/>
          </w:tcPr>
          <w:p w14:paraId="63BC36CC" w14:textId="77777777" w:rsidR="008C3FA7" w:rsidRPr="008C3FA7" w:rsidRDefault="008C3FA7" w:rsidP="008C3FA7">
            <w:pPr>
              <w:spacing w:after="200" w:line="276" w:lineRule="auto"/>
              <w:jc w:val="both"/>
              <w:rPr>
                <w:i/>
                <w:iCs/>
              </w:rPr>
            </w:pPr>
            <w:r w:rsidRPr="008C3FA7">
              <w:rPr>
                <w:i/>
                <w:iCs/>
              </w:rPr>
              <w:t>LST EN 590 (arba lygiavertis)</w:t>
            </w:r>
          </w:p>
        </w:tc>
      </w:tr>
    </w:tbl>
    <w:p w14:paraId="698CF67B" w14:textId="77777777" w:rsidR="004F7C24" w:rsidRDefault="008C3FA7" w:rsidP="008C3FA7">
      <w:pPr>
        <w:tabs>
          <w:tab w:val="left" w:pos="709"/>
        </w:tabs>
        <w:jc w:val="both"/>
      </w:pPr>
      <w:r w:rsidRPr="008C3FA7">
        <w:t>2.2. Degalai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14:paraId="2A9344C2" w14:textId="6F7B5586" w:rsidR="008C3FA7" w:rsidRPr="008C3FA7" w:rsidRDefault="008C3FA7" w:rsidP="008C3FA7">
      <w:pPr>
        <w:tabs>
          <w:tab w:val="left" w:pos="709"/>
        </w:tabs>
        <w:jc w:val="both"/>
      </w:pPr>
      <w:r w:rsidRPr="008C3FA7">
        <w:t xml:space="preserve">2.3.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w:t>
      </w:r>
      <w:r w:rsidRPr="008C3FA7">
        <w:rPr>
          <w:bdr w:val="none" w:sz="0" w:space="0" w:color="auto" w:frame="1"/>
          <w:shd w:val="clear" w:color="auto" w:fill="FFFFFF"/>
        </w:rPr>
        <w:t xml:space="preserve">Lietuvos Respublikos </w:t>
      </w:r>
      <w:r w:rsidRPr="008C3FA7">
        <w:t>alternatyviųjų degalų įstatyme įtvirtintus reikalavimus. Tiekėjas turi pateikti atitiktį reikalavimams įrodantį dokumentą: tiekėjo deklaracija arba kitas lygiavertis įrodymas.</w:t>
      </w:r>
    </w:p>
    <w:p w14:paraId="4257F2B5" w14:textId="77777777" w:rsidR="008C3FA7" w:rsidRDefault="008C3FA7" w:rsidP="008C3FA7"/>
    <w:p w14:paraId="05C391C4" w14:textId="236B6CDE" w:rsidR="00182D97" w:rsidRPr="000F46CE" w:rsidRDefault="00182D97" w:rsidP="000F46CE">
      <w:pPr>
        <w:pStyle w:val="Sraopastraipa"/>
        <w:numPr>
          <w:ilvl w:val="0"/>
          <w:numId w:val="1"/>
        </w:numPr>
        <w:jc w:val="center"/>
        <w:rPr>
          <w:b/>
        </w:rPr>
      </w:pPr>
      <w:r w:rsidRPr="000F46CE">
        <w:rPr>
          <w:b/>
        </w:rPr>
        <w:t xml:space="preserve">REIKALAVIMAI </w:t>
      </w:r>
      <w:r w:rsidR="000F46CE" w:rsidRPr="000F46CE">
        <w:rPr>
          <w:b/>
        </w:rPr>
        <w:t>TIEKĖJUI</w:t>
      </w:r>
    </w:p>
    <w:p w14:paraId="6B341D36" w14:textId="77777777" w:rsidR="00B34BDA" w:rsidRPr="00B34BDA" w:rsidRDefault="00B34BDA" w:rsidP="00B34BDA">
      <w:pPr>
        <w:rPr>
          <w:b/>
        </w:rPr>
      </w:pPr>
    </w:p>
    <w:p w14:paraId="4DDF1790" w14:textId="24EC0044" w:rsidR="008939CA" w:rsidRDefault="006F69BE" w:rsidP="00041FD4">
      <w:pPr>
        <w:jc w:val="both"/>
      </w:pPr>
      <w:r>
        <w:t>3.1.</w:t>
      </w:r>
      <w:r w:rsidR="00041FD4">
        <w:t xml:space="preserve"> </w:t>
      </w:r>
      <w:r w:rsidR="008939CA">
        <w:t>Tiekėjas įsipareigoja aptarnauti Pirkėjo atstovus, pateikusius Tiekėjo išduotą kreditinę kortelę, degalinėse. Kiekviena kreditinė kortelė apsaugota slaptu apsauginiu skaičiumi arba PIN (</w:t>
      </w:r>
      <w:proofErr w:type="spellStart"/>
      <w:r w:rsidR="008939CA">
        <w:t>personalidentificationnumber</w:t>
      </w:r>
      <w:proofErr w:type="spellEnd"/>
      <w:r w:rsidR="008939CA">
        <w:t>) kodu, išduodamu kartu su kreditine kortele. PIN kodas yra konfidencialus, todėl Pirkėjo ir T</w:t>
      </w:r>
      <w:r w:rsidR="00041FD4">
        <w:t>iekėjo</w:t>
      </w:r>
      <w:r w:rsidR="008939CA">
        <w:t xml:space="preserve"> atstovai privalo jo neatskleisti kitiems asmenims. Kreditinė kortelė galioja su PIN kodu.</w:t>
      </w:r>
    </w:p>
    <w:p w14:paraId="0297DD03" w14:textId="7CA22D2E" w:rsidR="008939CA" w:rsidRDefault="00041FD4" w:rsidP="00041FD4">
      <w:pPr>
        <w:jc w:val="both"/>
      </w:pPr>
      <w:r>
        <w:t>3.2.</w:t>
      </w:r>
      <w:r w:rsidR="008939CA">
        <w:t xml:space="preserve"> Tiekėjas nemokamai išduoda Pirkėjui (pagal Pirkėjo poreikį) kreditines korteles, neribodamas jų skaičiaus. Kreditinė kortelė yra Tiekėjo nuosavybė ir nutraukus šią sutartį ar Tiekėjui pareikalavus turi būti nedelsiant jam grąžinta.</w:t>
      </w:r>
    </w:p>
    <w:p w14:paraId="17066C92" w14:textId="687C1A3F" w:rsidR="008939CA" w:rsidRDefault="00041FD4" w:rsidP="00041FD4">
      <w:pPr>
        <w:jc w:val="both"/>
      </w:pPr>
      <w:r>
        <w:t>3.3.</w:t>
      </w:r>
      <w:r w:rsidR="008939CA">
        <w:t xml:space="preserve"> Degalų pardavimas Tiekėjui priklausančiose degalinėse atliekamas tada, kai atstovas degalinės operatoriui pateikia Tiekėjo išduotą kreditinę kortelę.</w:t>
      </w:r>
    </w:p>
    <w:p w14:paraId="6C7FE485" w14:textId="1B5CCC77" w:rsidR="008939CA" w:rsidRDefault="00041FD4" w:rsidP="00041FD4">
      <w:pPr>
        <w:jc w:val="both"/>
      </w:pPr>
      <w:r>
        <w:lastRenderedPageBreak/>
        <w:t>3.4.</w:t>
      </w:r>
      <w:r w:rsidR="008939CA">
        <w:t xml:space="preserve"> Tiekėjas privalo blokuoti Pirkėjui išduotą kreditinę kortelę ne vėliau kaip per 1 val. po Pirkėjo arba </w:t>
      </w:r>
      <w:r w:rsidR="00140A94">
        <w:t>jo</w:t>
      </w:r>
      <w:r w:rsidR="008939CA">
        <w:t xml:space="preserve"> atstovo pranešimo Tiekėjo telefonu, kurio Nr. _______________, apie kreditinės kortelės praradimą gavimo. Po 1 val. nuo Pirkėjo atstovo pranešimo Tiekėjui apie dingusią kreditinę kortelę visi galimi nuostoliai dėl neteisėto kreditinės kortelės naudojimo tenka Tiekėjui. Tiekėjas neatsako už trečiųjų asmenų pasinaudojimą kreditine kortele, jeigu Pirkėjo atstovai Tiekėjui apie negalimą kreditinės kortelės naudojimą nepranešė.</w:t>
      </w:r>
    </w:p>
    <w:p w14:paraId="016EBE1A" w14:textId="7CAB5253" w:rsidR="008939CA" w:rsidRDefault="00041FD4" w:rsidP="00041FD4">
      <w:pPr>
        <w:jc w:val="both"/>
      </w:pPr>
      <w:r>
        <w:t>3.5.</w:t>
      </w:r>
      <w:r w:rsidR="008939CA">
        <w:t xml:space="preserve"> Už per ataskaitinį mėnesį parduotus degalus Tiekėjas turi pateikti Pirkėjui atskirai PVM sąskaitas – faktūras ir degalų užpylimo ataskaitas iki sekančio mėnesio 5 dienos. Degalų užpylimo ataskaitoje turi būti nurodyta kiekvienos rūšies degalų užpylimo data ir kiekis pagal atskiras kreditines korteles, taip pat turi būti pateiktos užpylimo dieną galiojusios degalų kainos.</w:t>
      </w:r>
    </w:p>
    <w:p w14:paraId="58B4A19F" w14:textId="77777777" w:rsidR="002C5E57" w:rsidRDefault="00041FD4" w:rsidP="00041FD4">
      <w:pPr>
        <w:jc w:val="both"/>
      </w:pPr>
      <w:r>
        <w:t>3.6.</w:t>
      </w:r>
      <w:r w:rsidR="008939CA">
        <w:t xml:space="preserve"> </w:t>
      </w:r>
      <w:r w:rsidR="002C5E57" w:rsidRPr="002C5E57">
        <w:t xml:space="preserve">Turi būti galimybė </w:t>
      </w:r>
      <w:r w:rsidR="002C5E57">
        <w:t>Pirkėjui</w:t>
      </w:r>
      <w:r w:rsidR="002C5E57" w:rsidRPr="002C5E57">
        <w:t xml:space="preserve"> nustatyti kortelės limitus (paros/mėnesio) degalų kiekiui (litrais) ar pinigine suma (EUR).</w:t>
      </w:r>
    </w:p>
    <w:p w14:paraId="0B6810C1" w14:textId="6F242537" w:rsidR="008939CA" w:rsidRDefault="00041FD4" w:rsidP="00041FD4">
      <w:pPr>
        <w:jc w:val="both"/>
      </w:pPr>
      <w:r>
        <w:t>3.7.</w:t>
      </w:r>
      <w:r w:rsidR="008939CA">
        <w:t xml:space="preserve"> Pirkėjui raštiškai paprašius, Tiekėjas įsipareigoja pateikti jiems informaciją apie Pirkėjo įsiskolinimo Tiekėjui už degalus dydį.</w:t>
      </w:r>
    </w:p>
    <w:p w14:paraId="0727CD3F" w14:textId="7D54DA34" w:rsidR="000F46CE" w:rsidRDefault="00041FD4" w:rsidP="00041FD4">
      <w:pPr>
        <w:jc w:val="both"/>
      </w:pPr>
      <w:r>
        <w:t>3.8.</w:t>
      </w:r>
      <w:r w:rsidR="008939CA">
        <w:t xml:space="preserve"> Tiekėjas įsipareigoja parduoti Pirkėjo atstovams degalus degalinėse esančiomis tos dienos kainomis taikant kiekvienam litrui degalų ne mažesnę kaip _______ Eur ( </w:t>
      </w:r>
      <w:r w:rsidR="00535E91" w:rsidRPr="00535E91">
        <w:rPr>
          <w:color w:val="FF0000"/>
        </w:rPr>
        <w:t>suma žodžiu</w:t>
      </w:r>
      <w:r w:rsidR="008939CA">
        <w:t xml:space="preserve">) nuolaidą vienam litrui bešvinio benzino, _________ </w:t>
      </w:r>
      <w:r w:rsidR="008939CA" w:rsidRPr="00535E91">
        <w:rPr>
          <w:color w:val="FF0000"/>
        </w:rPr>
        <w:t>Eur (</w:t>
      </w:r>
      <w:r w:rsidR="00535E91" w:rsidRPr="00535E91">
        <w:rPr>
          <w:color w:val="FF0000"/>
        </w:rPr>
        <w:t>suma žodžiu</w:t>
      </w:r>
      <w:r w:rsidR="008939CA" w:rsidRPr="00535E91">
        <w:rPr>
          <w:color w:val="FF0000"/>
        </w:rPr>
        <w:t xml:space="preserve">) </w:t>
      </w:r>
      <w:r w:rsidR="008939CA">
        <w:t xml:space="preserve">nuolaidą vienam litrui dyzelino (dyzelinių degalų), skirtų autotransporto priemonėms arba ūkinėms reikmėms. </w:t>
      </w:r>
    </w:p>
    <w:p w14:paraId="04C8BCDF" w14:textId="77777777" w:rsidR="00C0409A" w:rsidRDefault="00C0409A" w:rsidP="00041FD4">
      <w:pPr>
        <w:jc w:val="both"/>
      </w:pPr>
    </w:p>
    <w:p w14:paraId="00875266" w14:textId="3685DD2E" w:rsidR="00C0409A" w:rsidRPr="00C0409A" w:rsidRDefault="00C0409A" w:rsidP="00C0409A">
      <w:pPr>
        <w:jc w:val="center"/>
        <w:rPr>
          <w:b/>
        </w:rPr>
      </w:pPr>
      <w:r>
        <w:rPr>
          <w:b/>
        </w:rPr>
        <w:t>4</w:t>
      </w:r>
      <w:r w:rsidR="00261172">
        <w:rPr>
          <w:b/>
        </w:rPr>
        <w:t>.</w:t>
      </w:r>
      <w:r w:rsidRPr="00C0409A">
        <w:rPr>
          <w:b/>
        </w:rPr>
        <w:t xml:space="preserve"> DEGALŲ IŠDAVIMAS, KONTROLĖ</w:t>
      </w:r>
    </w:p>
    <w:p w14:paraId="6270CAA6" w14:textId="77777777" w:rsidR="00C0409A" w:rsidRPr="00C0409A" w:rsidRDefault="00C0409A" w:rsidP="00C0409A">
      <w:pPr>
        <w:jc w:val="both"/>
      </w:pPr>
    </w:p>
    <w:p w14:paraId="1C1B39F8" w14:textId="7E3EF864" w:rsidR="00C0409A" w:rsidRPr="00C0409A" w:rsidRDefault="000335FF" w:rsidP="00C0409A">
      <w:pPr>
        <w:jc w:val="both"/>
      </w:pPr>
      <w:r>
        <w:t>4</w:t>
      </w:r>
      <w:r w:rsidR="00C0409A" w:rsidRPr="00C0409A">
        <w:t>.1. Degalinėse degalai turi būti pilami 7 (septynias) dienas per savaitę (įskaitant poilsio bei švenčių dienas)</w:t>
      </w:r>
      <w:r w:rsidR="007A3744">
        <w:t>, nuo 08:00 iki 17</w:t>
      </w:r>
      <w:r>
        <w:t>:00</w:t>
      </w:r>
      <w:r w:rsidR="00C0409A" w:rsidRPr="00C0409A">
        <w:t xml:space="preserve">. </w:t>
      </w:r>
    </w:p>
    <w:p w14:paraId="5B8BA11B" w14:textId="3F847F6E" w:rsidR="00C0409A" w:rsidRPr="00C0409A" w:rsidRDefault="000335FF" w:rsidP="00C0409A">
      <w:pPr>
        <w:jc w:val="both"/>
      </w:pPr>
      <w:r>
        <w:t>4</w:t>
      </w:r>
      <w:r w:rsidR="00C0409A" w:rsidRPr="00C0409A">
        <w:t>.2. Degalinėse turi būti išduodami abiejų rūšių (95 markės benzinas ir dyzelinas) degalai.</w:t>
      </w:r>
    </w:p>
    <w:p w14:paraId="16B063A0" w14:textId="417E3F2C" w:rsidR="00C0409A" w:rsidRPr="00C0409A" w:rsidRDefault="000335FF" w:rsidP="00C0409A">
      <w:pPr>
        <w:jc w:val="both"/>
      </w:pPr>
      <w:r>
        <w:t>4</w:t>
      </w:r>
      <w:r w:rsidR="00C0409A" w:rsidRPr="00C0409A">
        <w:t>.3. Išduodami degalai privalo turėti kokybės pažymėjimus (pasus), kuriuose nurodyta: dokumento Nr., įmonė-gamintoja, jos kodas ir adresas, prekės pavadinimas, standarto, kurio reikalavimus atitinka prekės, pavadinimas ir numeris, prekės pagaminimo data , atsakingų už duomenų, pateiktų sertifikate, teisingumą asmenų pavardės ir jų parašai bei įmonės, išdavusios kokybės pažymėjimą (pasą), spaudas.</w:t>
      </w:r>
    </w:p>
    <w:p w14:paraId="07EAAA4D" w14:textId="32DA63CB" w:rsidR="00C0409A" w:rsidRPr="00C0409A" w:rsidRDefault="000335FF" w:rsidP="00C0409A">
      <w:pPr>
        <w:jc w:val="both"/>
      </w:pPr>
      <w:r>
        <w:t>4</w:t>
      </w:r>
      <w:r w:rsidR="00C0409A" w:rsidRPr="00C0409A">
        <w:t xml:space="preserve">.4. Tiekėjas turi leisti </w:t>
      </w:r>
      <w:r w:rsidR="0063003C">
        <w:t>Pirkėjui</w:t>
      </w:r>
      <w:r w:rsidR="00C0409A" w:rsidRPr="00C0409A">
        <w:t xml:space="preserve"> tikrinti degalų kokybę. Iškilus abejonėms dėl degalų kokybės, degalų ėminiai imami vadovaujantis LST EN 14275:2013 „Automobiliniai degalai. Benzino ir dyzelino kokybės įvertinimas. Ėminių ėmimas iš degalų kolonėlių degalinėse ir degalų įpylimo įrangos didmeninės prekybos vietose“.</w:t>
      </w:r>
    </w:p>
    <w:p w14:paraId="5093EFCA" w14:textId="6A8E64D6" w:rsidR="00C0409A" w:rsidRDefault="0063003C" w:rsidP="00C0409A">
      <w:pPr>
        <w:jc w:val="both"/>
      </w:pPr>
      <w:r>
        <w:t>4</w:t>
      </w:r>
      <w:r w:rsidR="00C0409A" w:rsidRPr="00C0409A">
        <w:t>.5. Degalų išdavimo santykinė paklaida degalų kolonėlėse neturi viršyti ±0,5  procento įpilto degalų kiekio.</w:t>
      </w:r>
    </w:p>
    <w:p w14:paraId="45E44798" w14:textId="1BE09E2A" w:rsidR="002A0EEA" w:rsidRPr="00AC34C8" w:rsidRDefault="002A0EEA" w:rsidP="002A0EEA">
      <w:pPr>
        <w:spacing w:before="60" w:after="60"/>
        <w:jc w:val="both"/>
        <w:rPr>
          <w:bCs/>
        </w:rPr>
      </w:pPr>
      <w:r>
        <w:t xml:space="preserve">4.5. </w:t>
      </w:r>
      <w:r w:rsidRPr="00AC34C8">
        <w:rPr>
          <w:bCs/>
        </w:rPr>
        <w:t xml:space="preserve">Šaltuoju metų laikotarpiu turi būti užtikrintas </w:t>
      </w:r>
      <w:r>
        <w:rPr>
          <w:bCs/>
        </w:rPr>
        <w:t>žieminio (</w:t>
      </w:r>
      <w:r w:rsidRPr="00AC34C8">
        <w:rPr>
          <w:bCs/>
        </w:rPr>
        <w:t>arktinio</w:t>
      </w:r>
      <w:r>
        <w:rPr>
          <w:bCs/>
        </w:rPr>
        <w:t>)</w:t>
      </w:r>
      <w:r w:rsidRPr="00AC34C8">
        <w:rPr>
          <w:bCs/>
        </w:rPr>
        <w:t xml:space="preserve"> dyzelino tiekimas.</w:t>
      </w:r>
    </w:p>
    <w:p w14:paraId="5810C8F8" w14:textId="619B6935" w:rsidR="002A0EEA" w:rsidRPr="00C0409A" w:rsidRDefault="002A0EEA" w:rsidP="00C0409A">
      <w:pPr>
        <w:jc w:val="both"/>
      </w:pPr>
    </w:p>
    <w:p w14:paraId="148A1E27" w14:textId="22C6EF37" w:rsidR="00435EAD" w:rsidRPr="009732C0" w:rsidRDefault="009732C0" w:rsidP="009732C0">
      <w:pPr>
        <w:jc w:val="center"/>
        <w:rPr>
          <w:b/>
        </w:rPr>
      </w:pPr>
      <w:r>
        <w:rPr>
          <w:b/>
        </w:rPr>
        <w:t>5.</w:t>
      </w:r>
      <w:r w:rsidR="006371EF" w:rsidRPr="009732C0">
        <w:rPr>
          <w:b/>
        </w:rPr>
        <w:t>BAIGIAMOSIOS NUOSTATOS</w:t>
      </w:r>
    </w:p>
    <w:p w14:paraId="044D17F0" w14:textId="77777777" w:rsidR="009732C0" w:rsidRDefault="009732C0" w:rsidP="006371EF">
      <w:pPr>
        <w:suppressAutoHyphens/>
        <w:spacing w:line="254" w:lineRule="auto"/>
        <w:contextualSpacing/>
        <w:jc w:val="both"/>
        <w:rPr>
          <w:rFonts w:eastAsia="Calibri"/>
          <w:iCs/>
          <w:highlight w:val="yellow"/>
        </w:rPr>
      </w:pPr>
    </w:p>
    <w:p w14:paraId="2F96B086" w14:textId="38C16620" w:rsidR="00435EAD" w:rsidRDefault="009732C0" w:rsidP="009732C0">
      <w:pPr>
        <w:suppressAutoHyphens/>
        <w:spacing w:line="254" w:lineRule="auto"/>
        <w:contextualSpacing/>
        <w:jc w:val="both"/>
      </w:pPr>
      <w:r w:rsidRPr="009732C0">
        <w:rPr>
          <w:rFonts w:eastAsia="Calibri"/>
          <w:iCs/>
        </w:rPr>
        <w:t xml:space="preserve">5.1. </w:t>
      </w:r>
      <w:r w:rsidR="00435EAD" w:rsidRPr="009732C0">
        <w:rPr>
          <w:rFonts w:eastAsia="Calibri"/>
          <w:iCs/>
        </w:rPr>
        <w:t>Sutarties vykdymo laikotarpiu, visi su Sutarties vykdymu susiję dokumentai Įstaigai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Įstaiga nurodo tokį būtinumą – tokiu atveju turi būti naudojamas perdirbtas popierius,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w:t>
      </w:r>
      <w:r w:rsidR="00CE2411">
        <w:t xml:space="preserve">  </w:t>
      </w:r>
    </w:p>
    <w:sectPr w:rsidR="00435EAD">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DFD3B" w14:textId="77777777" w:rsidR="00CC6FCE" w:rsidRDefault="00CC6FCE" w:rsidP="003F461C">
      <w:r>
        <w:separator/>
      </w:r>
    </w:p>
  </w:endnote>
  <w:endnote w:type="continuationSeparator" w:id="0">
    <w:p w14:paraId="18FCF02E" w14:textId="77777777" w:rsidR="00CC6FCE" w:rsidRDefault="00CC6FCE" w:rsidP="003F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0C726" w14:textId="77777777" w:rsidR="00CC6FCE" w:rsidRDefault="00CC6FCE" w:rsidP="003F461C">
      <w:r>
        <w:separator/>
      </w:r>
    </w:p>
  </w:footnote>
  <w:footnote w:type="continuationSeparator" w:id="0">
    <w:p w14:paraId="39C1817C" w14:textId="77777777" w:rsidR="00CC6FCE" w:rsidRDefault="00CC6FCE" w:rsidP="003F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5AD4" w14:textId="77777777" w:rsidR="003F461C" w:rsidRDefault="003F461C" w:rsidP="003F461C">
    <w:pPr>
      <w:pStyle w:val="Antrats"/>
      <w:jc w:val="right"/>
    </w:pPr>
    <w:r>
      <w:t>PROJEKTAS</w:t>
    </w:r>
  </w:p>
  <w:p w14:paraId="5797E0B4" w14:textId="38C6BAFA" w:rsidR="003F461C" w:rsidRDefault="008650DE" w:rsidP="003F461C">
    <w:pPr>
      <w:pStyle w:val="Antrats"/>
      <w:jc w:val="right"/>
    </w:pPr>
    <w:r>
      <w:t>Sutarties priedas</w:t>
    </w:r>
  </w:p>
  <w:p w14:paraId="71F465EC" w14:textId="77777777" w:rsidR="003F461C" w:rsidRDefault="003F46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208EA"/>
    <w:multiLevelType w:val="hybridMultilevel"/>
    <w:tmpl w:val="DA2A2D18"/>
    <w:lvl w:ilvl="0" w:tplc="0427000F">
      <w:start w:val="1"/>
      <w:numFmt w:val="decimal"/>
      <w:lvlText w:val="%1."/>
      <w:lvlJc w:val="left"/>
      <w:pPr>
        <w:ind w:left="720" w:hanging="360"/>
      </w:pPr>
    </w:lvl>
    <w:lvl w:ilvl="1" w:tplc="662E58D6">
      <w:start w:val="1"/>
      <w:numFmt w:val="decimal"/>
      <w:suff w:val="space"/>
      <w:lvlText w:val="%2."/>
      <w:lvlJc w:val="left"/>
      <w:rPr>
        <w:rFonts w:hint="default"/>
        <w:color w:val="0D0D0D"/>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FF026F"/>
    <w:multiLevelType w:val="multilevel"/>
    <w:tmpl w:val="EF02A0C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3E0FDE"/>
    <w:multiLevelType w:val="hybridMultilevel"/>
    <w:tmpl w:val="E2CC31C2"/>
    <w:lvl w:ilvl="0" w:tplc="3D7873F8">
      <w:start w:val="30"/>
      <w:numFmt w:val="decimal"/>
      <w:lvlText w:val="%1."/>
      <w:lvlJc w:val="left"/>
      <w:pPr>
        <w:ind w:left="720" w:hanging="360"/>
      </w:pPr>
      <w:rPr>
        <w:rFonts w:ascii="Times New Roman" w:eastAsia="Calibri"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286A93"/>
    <w:multiLevelType w:val="hybridMultilevel"/>
    <w:tmpl w:val="C4B86A56"/>
    <w:lvl w:ilvl="0" w:tplc="D14A9ADC">
      <w:start w:val="1"/>
      <w:numFmt w:val="decimal"/>
      <w:lvlText w:val="%1."/>
      <w:lvlJc w:val="left"/>
      <w:pPr>
        <w:ind w:left="854" w:hanging="286"/>
      </w:pPr>
      <w:rPr>
        <w:rFonts w:ascii="Times New Roman" w:eastAsia="Times New Roman" w:hAnsi="Times New Roman" w:cs="Times New Roman" w:hint="default"/>
        <w:b/>
        <w:bCs/>
        <w:color w:val="000009"/>
        <w:w w:val="100"/>
        <w:sz w:val="24"/>
        <w:szCs w:val="24"/>
        <w:lang w:val="lt-LT" w:eastAsia="en-US" w:bidi="ar-SA"/>
      </w:rPr>
    </w:lvl>
    <w:lvl w:ilvl="1" w:tplc="8496F1F8">
      <w:numFmt w:val="bullet"/>
      <w:lvlText w:val="•"/>
      <w:lvlJc w:val="left"/>
      <w:pPr>
        <w:ind w:left="1206" w:hanging="286"/>
      </w:pPr>
      <w:rPr>
        <w:rFonts w:hint="default"/>
        <w:lang w:val="lt-LT" w:eastAsia="en-US" w:bidi="ar-SA"/>
      </w:rPr>
    </w:lvl>
    <w:lvl w:ilvl="2" w:tplc="5F28E12E">
      <w:numFmt w:val="bullet"/>
      <w:lvlText w:val="•"/>
      <w:lvlJc w:val="left"/>
      <w:pPr>
        <w:ind w:left="2193" w:hanging="286"/>
      </w:pPr>
      <w:rPr>
        <w:rFonts w:hint="default"/>
        <w:lang w:val="lt-LT" w:eastAsia="en-US" w:bidi="ar-SA"/>
      </w:rPr>
    </w:lvl>
    <w:lvl w:ilvl="3" w:tplc="216C916C">
      <w:numFmt w:val="bullet"/>
      <w:lvlText w:val="•"/>
      <w:lvlJc w:val="left"/>
      <w:pPr>
        <w:ind w:left="3179" w:hanging="286"/>
      </w:pPr>
      <w:rPr>
        <w:rFonts w:hint="default"/>
        <w:lang w:val="lt-LT" w:eastAsia="en-US" w:bidi="ar-SA"/>
      </w:rPr>
    </w:lvl>
    <w:lvl w:ilvl="4" w:tplc="7A00BE58">
      <w:numFmt w:val="bullet"/>
      <w:lvlText w:val="•"/>
      <w:lvlJc w:val="left"/>
      <w:pPr>
        <w:ind w:left="4166" w:hanging="286"/>
      </w:pPr>
      <w:rPr>
        <w:rFonts w:hint="default"/>
        <w:lang w:val="lt-LT" w:eastAsia="en-US" w:bidi="ar-SA"/>
      </w:rPr>
    </w:lvl>
    <w:lvl w:ilvl="5" w:tplc="A858DB1C">
      <w:numFmt w:val="bullet"/>
      <w:lvlText w:val="•"/>
      <w:lvlJc w:val="left"/>
      <w:pPr>
        <w:ind w:left="5153" w:hanging="286"/>
      </w:pPr>
      <w:rPr>
        <w:rFonts w:hint="default"/>
        <w:lang w:val="lt-LT" w:eastAsia="en-US" w:bidi="ar-SA"/>
      </w:rPr>
    </w:lvl>
    <w:lvl w:ilvl="6" w:tplc="68E46964">
      <w:numFmt w:val="bullet"/>
      <w:lvlText w:val="•"/>
      <w:lvlJc w:val="left"/>
      <w:pPr>
        <w:ind w:left="6139" w:hanging="286"/>
      </w:pPr>
      <w:rPr>
        <w:rFonts w:hint="default"/>
        <w:lang w:val="lt-LT" w:eastAsia="en-US" w:bidi="ar-SA"/>
      </w:rPr>
    </w:lvl>
    <w:lvl w:ilvl="7" w:tplc="AEC2EEA6">
      <w:numFmt w:val="bullet"/>
      <w:lvlText w:val="•"/>
      <w:lvlJc w:val="left"/>
      <w:pPr>
        <w:ind w:left="7126" w:hanging="286"/>
      </w:pPr>
      <w:rPr>
        <w:rFonts w:hint="default"/>
        <w:lang w:val="lt-LT" w:eastAsia="en-US" w:bidi="ar-SA"/>
      </w:rPr>
    </w:lvl>
    <w:lvl w:ilvl="8" w:tplc="02A24E00">
      <w:numFmt w:val="bullet"/>
      <w:lvlText w:val="•"/>
      <w:lvlJc w:val="left"/>
      <w:pPr>
        <w:ind w:left="8113" w:hanging="286"/>
      </w:pPr>
      <w:rPr>
        <w:rFonts w:hint="default"/>
        <w:lang w:val="lt-LT" w:eastAsia="en-US" w:bidi="ar-SA"/>
      </w:rPr>
    </w:lvl>
  </w:abstractNum>
  <w:num w:numId="1" w16cid:durableId="1575815871">
    <w:abstractNumId w:val="1"/>
  </w:num>
  <w:num w:numId="2" w16cid:durableId="1804880790">
    <w:abstractNumId w:val="0"/>
  </w:num>
  <w:num w:numId="3" w16cid:durableId="1068723328">
    <w:abstractNumId w:val="2"/>
  </w:num>
  <w:num w:numId="4" w16cid:durableId="1981111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1C"/>
    <w:rsid w:val="000335FF"/>
    <w:rsid w:val="00041FD4"/>
    <w:rsid w:val="000C00E6"/>
    <w:rsid w:val="000F46CE"/>
    <w:rsid w:val="00114E73"/>
    <w:rsid w:val="001370BF"/>
    <w:rsid w:val="00140A94"/>
    <w:rsid w:val="00155FAC"/>
    <w:rsid w:val="00182D97"/>
    <w:rsid w:val="001E3A8E"/>
    <w:rsid w:val="00253A03"/>
    <w:rsid w:val="00261172"/>
    <w:rsid w:val="002929EB"/>
    <w:rsid w:val="002A0EEA"/>
    <w:rsid w:val="002C5E57"/>
    <w:rsid w:val="002F0EBE"/>
    <w:rsid w:val="00383BA9"/>
    <w:rsid w:val="003F461C"/>
    <w:rsid w:val="00435EAD"/>
    <w:rsid w:val="0044202D"/>
    <w:rsid w:val="004F7C24"/>
    <w:rsid w:val="00535E91"/>
    <w:rsid w:val="00573E36"/>
    <w:rsid w:val="0063003C"/>
    <w:rsid w:val="006371EF"/>
    <w:rsid w:val="00683DBB"/>
    <w:rsid w:val="006C7010"/>
    <w:rsid w:val="006F69BE"/>
    <w:rsid w:val="00711204"/>
    <w:rsid w:val="007130F7"/>
    <w:rsid w:val="00754148"/>
    <w:rsid w:val="00785984"/>
    <w:rsid w:val="007A3744"/>
    <w:rsid w:val="007B49C0"/>
    <w:rsid w:val="007F343D"/>
    <w:rsid w:val="008650DE"/>
    <w:rsid w:val="008742A8"/>
    <w:rsid w:val="008939CA"/>
    <w:rsid w:val="008C3FA7"/>
    <w:rsid w:val="008F23CB"/>
    <w:rsid w:val="009732C0"/>
    <w:rsid w:val="009B3987"/>
    <w:rsid w:val="009C2687"/>
    <w:rsid w:val="00AC53DD"/>
    <w:rsid w:val="00B34BDA"/>
    <w:rsid w:val="00BB43E2"/>
    <w:rsid w:val="00BD39F1"/>
    <w:rsid w:val="00BF1150"/>
    <w:rsid w:val="00C0409A"/>
    <w:rsid w:val="00C358B3"/>
    <w:rsid w:val="00C4297A"/>
    <w:rsid w:val="00C56BC8"/>
    <w:rsid w:val="00C8263F"/>
    <w:rsid w:val="00CC6FCE"/>
    <w:rsid w:val="00CE2411"/>
    <w:rsid w:val="00CE728D"/>
    <w:rsid w:val="00CF003B"/>
    <w:rsid w:val="00CF7026"/>
    <w:rsid w:val="00D10D10"/>
    <w:rsid w:val="00D24D79"/>
    <w:rsid w:val="00D87EE4"/>
    <w:rsid w:val="00DE0FB3"/>
    <w:rsid w:val="00E3598A"/>
    <w:rsid w:val="00E67F45"/>
    <w:rsid w:val="00EB76FA"/>
    <w:rsid w:val="00ED5EFE"/>
    <w:rsid w:val="00F001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5356"/>
  <w15:chartTrackingRefBased/>
  <w15:docId w15:val="{4F49FF99-DE94-49AE-9929-8896BCA1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61C"/>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3F4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4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46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46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46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461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461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461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461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46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46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46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46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46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46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46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46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46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461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46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46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46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46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461C"/>
    <w:rPr>
      <w:i/>
      <w:iCs/>
      <w:color w:val="404040" w:themeColor="text1" w:themeTint="BF"/>
    </w:rPr>
  </w:style>
  <w:style w:type="paragraph" w:styleId="Sraopastraipa">
    <w:name w:val="List Paragraph"/>
    <w:basedOn w:val="prastasis"/>
    <w:uiPriority w:val="34"/>
    <w:qFormat/>
    <w:rsid w:val="003F461C"/>
    <w:pPr>
      <w:ind w:left="720"/>
      <w:contextualSpacing/>
    </w:pPr>
  </w:style>
  <w:style w:type="character" w:styleId="Rykuspabraukimas">
    <w:name w:val="Intense Emphasis"/>
    <w:basedOn w:val="Numatytasispastraiposriftas"/>
    <w:uiPriority w:val="21"/>
    <w:qFormat/>
    <w:rsid w:val="003F461C"/>
    <w:rPr>
      <w:i/>
      <w:iCs/>
      <w:color w:val="0F4761" w:themeColor="accent1" w:themeShade="BF"/>
    </w:rPr>
  </w:style>
  <w:style w:type="paragraph" w:styleId="Iskirtacitata">
    <w:name w:val="Intense Quote"/>
    <w:basedOn w:val="prastasis"/>
    <w:next w:val="prastasis"/>
    <w:link w:val="IskirtacitataDiagrama"/>
    <w:uiPriority w:val="30"/>
    <w:qFormat/>
    <w:rsid w:val="003F4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461C"/>
    <w:rPr>
      <w:i/>
      <w:iCs/>
      <w:color w:val="0F4761" w:themeColor="accent1" w:themeShade="BF"/>
    </w:rPr>
  </w:style>
  <w:style w:type="character" w:styleId="Rykinuoroda">
    <w:name w:val="Intense Reference"/>
    <w:basedOn w:val="Numatytasispastraiposriftas"/>
    <w:uiPriority w:val="32"/>
    <w:qFormat/>
    <w:rsid w:val="003F461C"/>
    <w:rPr>
      <w:b/>
      <w:bCs/>
      <w:smallCaps/>
      <w:color w:val="0F4761" w:themeColor="accent1" w:themeShade="BF"/>
      <w:spacing w:val="5"/>
    </w:rPr>
  </w:style>
  <w:style w:type="paragraph" w:styleId="Antrats">
    <w:name w:val="header"/>
    <w:basedOn w:val="prastasis"/>
    <w:link w:val="AntratsDiagrama"/>
    <w:uiPriority w:val="99"/>
    <w:unhideWhenUsed/>
    <w:rsid w:val="003F461C"/>
    <w:pPr>
      <w:tabs>
        <w:tab w:val="center" w:pos="4819"/>
        <w:tab w:val="right" w:pos="9638"/>
      </w:tabs>
    </w:pPr>
  </w:style>
  <w:style w:type="character" w:customStyle="1" w:styleId="AntratsDiagrama">
    <w:name w:val="Antraštės Diagrama"/>
    <w:basedOn w:val="Numatytasispastraiposriftas"/>
    <w:link w:val="Antrats"/>
    <w:uiPriority w:val="99"/>
    <w:rsid w:val="003F461C"/>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3F461C"/>
    <w:pPr>
      <w:tabs>
        <w:tab w:val="center" w:pos="4819"/>
        <w:tab w:val="right" w:pos="9638"/>
      </w:tabs>
    </w:pPr>
  </w:style>
  <w:style w:type="character" w:customStyle="1" w:styleId="PoratDiagrama">
    <w:name w:val="Poraštė Diagrama"/>
    <w:basedOn w:val="Numatytasispastraiposriftas"/>
    <w:link w:val="Porat"/>
    <w:uiPriority w:val="99"/>
    <w:rsid w:val="003F461C"/>
    <w:rPr>
      <w:rFonts w:ascii="Times New Roman" w:eastAsia="Times New Roman" w:hAnsi="Times New Roman" w:cs="Times New Roman"/>
      <w:kern w:val="0"/>
      <w14:ligatures w14:val="none"/>
    </w:rPr>
  </w:style>
  <w:style w:type="character" w:styleId="Hipersaitas">
    <w:name w:val="Hyperlink"/>
    <w:basedOn w:val="Numatytasispastraiposriftas"/>
    <w:uiPriority w:val="99"/>
    <w:unhideWhenUsed/>
    <w:rsid w:val="00435E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4121</Words>
  <Characters>2350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Klimčiauskaitė</dc:creator>
  <cp:keywords/>
  <dc:description/>
  <cp:lastModifiedBy>Sonata Klimčiauskaitė</cp:lastModifiedBy>
  <cp:revision>3</cp:revision>
  <dcterms:created xsi:type="dcterms:W3CDTF">2024-12-03T13:34:00Z</dcterms:created>
  <dcterms:modified xsi:type="dcterms:W3CDTF">2024-12-03T13:34:00Z</dcterms:modified>
</cp:coreProperties>
</file>