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21D6018C"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8C2D82" w:rsidRPr="008C2D82">
        <w:rPr>
          <w:rFonts w:ascii="Arial" w:hAnsi="Arial" w:cs="Arial"/>
          <w:b/>
          <w:color w:val="000000" w:themeColor="text1"/>
          <w:sz w:val="24"/>
          <w:szCs w:val="24"/>
        </w:rPr>
        <w:t>MOBILIOS ODONTOLOGINĖS MEDICINOS ĮRANGOS</w:t>
      </w:r>
      <w:r w:rsidR="00830F96" w:rsidRPr="008C2D82">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58596B91"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927504">
        <w:rPr>
          <w:rFonts w:ascii="Arial" w:hAnsi="Arial" w:cs="Arial"/>
          <w:color w:val="000000" w:themeColor="text1"/>
          <w:sz w:val="24"/>
          <w:szCs w:val="24"/>
        </w:rPr>
        <w:t>gegužės</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w:t>
      </w:r>
      <w:r w:rsidRPr="008C2D82">
        <w:rPr>
          <w:rFonts w:ascii="Arial" w:hAnsi="Arial" w:cs="Arial"/>
          <w:color w:val="000000" w:themeColor="text1"/>
          <w:sz w:val="24"/>
          <w:szCs w:val="24"/>
        </w:rPr>
        <w:t xml:space="preserve">vykdyti </w:t>
      </w:r>
      <w:r w:rsidR="009252E2" w:rsidRPr="008C2D82">
        <w:rPr>
          <w:rFonts w:ascii="Arial" w:hAnsi="Arial" w:cs="Arial"/>
          <w:b/>
          <w:bCs/>
          <w:color w:val="000000" w:themeColor="text1"/>
          <w:sz w:val="24"/>
          <w:szCs w:val="24"/>
        </w:rPr>
        <w:t>„</w:t>
      </w:r>
      <w:r w:rsidR="008C2D82" w:rsidRPr="008C2D82">
        <w:rPr>
          <w:rFonts w:ascii="Arial" w:hAnsi="Arial" w:cs="Arial"/>
          <w:b/>
          <w:bCs/>
          <w:color w:val="000000" w:themeColor="text1"/>
          <w:sz w:val="24"/>
          <w:szCs w:val="24"/>
        </w:rPr>
        <w:t>Mobilios odontologinės medicinos įrangos</w:t>
      </w:r>
      <w:r w:rsidR="009252E2" w:rsidRPr="008C2D82">
        <w:rPr>
          <w:rFonts w:ascii="Arial" w:hAnsi="Arial" w:cs="Arial"/>
          <w:b/>
          <w:bCs/>
          <w:color w:val="000000" w:themeColor="text1"/>
          <w:sz w:val="24"/>
          <w:szCs w:val="24"/>
        </w:rPr>
        <w:t>“</w:t>
      </w:r>
      <w:r w:rsidRPr="008C2D82">
        <w:rPr>
          <w:rFonts w:ascii="Arial" w:hAnsi="Arial" w:cs="Arial"/>
          <w:b/>
          <w:bCs/>
          <w:color w:val="000000" w:themeColor="text1"/>
          <w:sz w:val="24"/>
          <w:szCs w:val="24"/>
        </w:rPr>
        <w:t xml:space="preserve"> </w:t>
      </w:r>
      <w:r w:rsidRPr="008C2D82">
        <w:rPr>
          <w:rFonts w:ascii="Arial" w:hAnsi="Arial" w:cs="Arial"/>
          <w:color w:val="000000" w:themeColor="text1"/>
          <w:sz w:val="24"/>
          <w:szCs w:val="24"/>
        </w:rPr>
        <w:t xml:space="preserve">viešąjį pirkimą </w:t>
      </w:r>
      <w:r w:rsidR="009252E2" w:rsidRPr="008C2D82">
        <w:rPr>
          <w:rFonts w:ascii="Arial" w:hAnsi="Arial" w:cs="Arial"/>
          <w:color w:val="000000" w:themeColor="text1"/>
          <w:sz w:val="24"/>
          <w:szCs w:val="24"/>
        </w:rPr>
        <w:t>tarptautinės vertės atviro konkurso</w:t>
      </w:r>
      <w:r w:rsidR="00F752BA" w:rsidRPr="008C2D82">
        <w:rPr>
          <w:rFonts w:ascii="Arial" w:hAnsi="Arial" w:cs="Arial"/>
          <w:color w:val="000000" w:themeColor="text1"/>
          <w:sz w:val="24"/>
          <w:szCs w:val="24"/>
        </w:rPr>
        <w:t xml:space="preserve"> būdu</w:t>
      </w:r>
      <w:r w:rsidRPr="008C2D82">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26F1DDF"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w:t>
      </w:r>
      <w:r w:rsidRPr="008C2D82">
        <w:rPr>
          <w:rFonts w:ascii="Arial" w:hAnsi="Arial" w:cs="Arial"/>
          <w:color w:val="000000" w:themeColor="text1"/>
          <w:sz w:val="24"/>
          <w:szCs w:val="24"/>
        </w:rPr>
        <w:t xml:space="preserve">iki </w:t>
      </w:r>
      <w:r w:rsidR="00572EAF" w:rsidRPr="008C2D82">
        <w:rPr>
          <w:rFonts w:ascii="Arial" w:hAnsi="Arial" w:cs="Arial"/>
          <w:b/>
          <w:i/>
          <w:color w:val="000000" w:themeColor="text1"/>
          <w:sz w:val="24"/>
          <w:szCs w:val="24"/>
        </w:rPr>
        <w:t>202</w:t>
      </w:r>
      <w:r w:rsidR="00E4684A" w:rsidRPr="008C2D82">
        <w:rPr>
          <w:rFonts w:ascii="Arial" w:hAnsi="Arial" w:cs="Arial"/>
          <w:b/>
          <w:i/>
          <w:color w:val="000000" w:themeColor="text1"/>
          <w:sz w:val="24"/>
          <w:szCs w:val="24"/>
        </w:rPr>
        <w:t>6</w:t>
      </w:r>
      <w:r w:rsidRPr="008C2D82">
        <w:rPr>
          <w:rFonts w:ascii="Arial" w:hAnsi="Arial" w:cs="Arial"/>
          <w:b/>
          <w:i/>
          <w:color w:val="000000" w:themeColor="text1"/>
          <w:sz w:val="24"/>
          <w:szCs w:val="24"/>
        </w:rPr>
        <w:t xml:space="preserve"> m. </w:t>
      </w:r>
      <w:r w:rsidR="00927504">
        <w:rPr>
          <w:rFonts w:ascii="Arial" w:hAnsi="Arial" w:cs="Arial"/>
          <w:b/>
          <w:i/>
          <w:color w:val="000000" w:themeColor="text1"/>
          <w:sz w:val="24"/>
          <w:szCs w:val="24"/>
        </w:rPr>
        <w:t>gegužės</w:t>
      </w:r>
      <w:r w:rsidR="00830F96" w:rsidRPr="008C2D82">
        <w:rPr>
          <w:rFonts w:ascii="Arial" w:hAnsi="Arial" w:cs="Arial"/>
          <w:b/>
          <w:i/>
          <w:color w:val="000000" w:themeColor="text1"/>
          <w:sz w:val="24"/>
          <w:szCs w:val="24"/>
        </w:rPr>
        <w:t xml:space="preserve"> mėn.</w:t>
      </w:r>
      <w:r w:rsidR="003F259A" w:rsidRPr="008C2D82">
        <w:rPr>
          <w:rFonts w:ascii="Arial" w:hAnsi="Arial" w:cs="Arial"/>
          <w:b/>
          <w:i/>
          <w:color w:val="000000" w:themeColor="text1"/>
          <w:sz w:val="24"/>
          <w:szCs w:val="24"/>
        </w:rPr>
        <w:t xml:space="preserve"> </w:t>
      </w:r>
      <w:r w:rsidR="00A03445">
        <w:rPr>
          <w:rFonts w:ascii="Arial" w:hAnsi="Arial" w:cs="Arial"/>
          <w:b/>
          <w:i/>
          <w:color w:val="000000" w:themeColor="text1"/>
          <w:sz w:val="24"/>
          <w:szCs w:val="24"/>
        </w:rPr>
        <w:t>5</w:t>
      </w:r>
      <w:r w:rsidR="0031334A" w:rsidRPr="008C2D82">
        <w:rPr>
          <w:rFonts w:ascii="Arial" w:hAnsi="Arial" w:cs="Arial"/>
          <w:b/>
          <w:i/>
          <w:color w:val="000000" w:themeColor="text1"/>
          <w:sz w:val="24"/>
          <w:szCs w:val="24"/>
        </w:rPr>
        <w:t xml:space="preserve"> </w:t>
      </w:r>
      <w:r w:rsidRPr="008C2D82">
        <w:rPr>
          <w:rFonts w:ascii="Arial" w:hAnsi="Arial" w:cs="Arial"/>
          <w:b/>
          <w:i/>
          <w:color w:val="000000" w:themeColor="text1"/>
          <w:sz w:val="24"/>
          <w:szCs w:val="24"/>
        </w:rPr>
        <w:t>d.</w:t>
      </w:r>
      <w:r w:rsidR="00F752BA" w:rsidRPr="008C2D82">
        <w:rPr>
          <w:rFonts w:ascii="Arial" w:hAnsi="Arial" w:cs="Arial"/>
          <w:b/>
          <w:i/>
          <w:color w:val="000000" w:themeColor="text1"/>
          <w:sz w:val="24"/>
          <w:szCs w:val="24"/>
        </w:rPr>
        <w:t xml:space="preserve"> </w:t>
      </w:r>
      <w:r w:rsidR="00A03445">
        <w:rPr>
          <w:rFonts w:ascii="Arial" w:hAnsi="Arial" w:cs="Arial"/>
          <w:b/>
          <w:i/>
          <w:color w:val="000000" w:themeColor="text1"/>
          <w:sz w:val="24"/>
          <w:szCs w:val="24"/>
        </w:rPr>
        <w:t>09</w:t>
      </w:r>
      <w:r w:rsidR="00F752BA" w:rsidRPr="008C2D82">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w:t>
      </w:r>
      <w:r w:rsidRPr="008C2D82">
        <w:rPr>
          <w:rFonts w:ascii="Arial" w:hAnsi="Arial" w:cs="Arial"/>
          <w:b/>
          <w:iCs/>
          <w:color w:val="000000" w:themeColor="text1"/>
          <w:sz w:val="24"/>
          <w:szCs w:val="24"/>
        </w:rPr>
        <w:t xml:space="preserve">panašių prekių </w:t>
      </w:r>
      <w:r w:rsidRPr="00F752BA">
        <w:rPr>
          <w:rFonts w:ascii="Arial" w:hAnsi="Arial" w:cs="Arial"/>
          <w:b/>
          <w:iCs/>
          <w:sz w:val="24"/>
          <w:szCs w:val="24"/>
        </w:rPr>
        <w:t>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67B4D57D" w:rsidR="00634996" w:rsidRPr="008C2D82"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9252E2" w:rsidRPr="008C2D82">
        <w:rPr>
          <w:rFonts w:ascii="Arial" w:hAnsi="Arial" w:cs="Arial"/>
          <w:color w:val="000000" w:themeColor="text1"/>
          <w:sz w:val="24"/>
          <w:szCs w:val="24"/>
        </w:rPr>
        <w:t>skaidomas</w:t>
      </w:r>
      <w:r w:rsidR="00B8186A" w:rsidRPr="008C2D82">
        <w:rPr>
          <w:rFonts w:ascii="Arial" w:hAnsi="Arial" w:cs="Arial"/>
          <w:color w:val="000000" w:themeColor="text1"/>
          <w:sz w:val="24"/>
          <w:szCs w:val="24"/>
        </w:rPr>
        <w:t xml:space="preserve"> į </w:t>
      </w:r>
      <w:r w:rsidR="00E827D5" w:rsidRPr="008C2D82">
        <w:rPr>
          <w:rFonts w:ascii="Arial" w:hAnsi="Arial" w:cs="Arial"/>
          <w:color w:val="000000" w:themeColor="text1"/>
          <w:sz w:val="24"/>
          <w:szCs w:val="24"/>
        </w:rPr>
        <w:t>dalis</w:t>
      </w:r>
      <w:r w:rsidR="00B2624C" w:rsidRPr="008C2D82">
        <w:rPr>
          <w:rFonts w:ascii="Arial" w:hAnsi="Arial" w:cs="Arial"/>
          <w:color w:val="000000" w:themeColor="text1"/>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8C2D82">
        <w:rPr>
          <w:rFonts w:ascii="Arial" w:hAnsi="Arial" w:cs="Arial"/>
          <w:color w:val="000000" w:themeColor="text1"/>
          <w:sz w:val="24"/>
          <w:szCs w:val="24"/>
        </w:rPr>
        <w:t xml:space="preserve">pagrindinis </w:t>
      </w:r>
      <w:r w:rsidR="004F173E" w:rsidRPr="008C2D82">
        <w:rPr>
          <w:rFonts w:ascii="Arial" w:hAnsi="Arial" w:cs="Arial"/>
          <w:color w:val="000000" w:themeColor="text1"/>
          <w:sz w:val="24"/>
          <w:szCs w:val="24"/>
        </w:rPr>
        <w:t>BVPŽ koda</w:t>
      </w:r>
      <w:r w:rsidR="00D326CC" w:rsidRPr="008C2D82">
        <w:rPr>
          <w:rFonts w:ascii="Arial" w:hAnsi="Arial" w:cs="Arial"/>
          <w:color w:val="000000" w:themeColor="text1"/>
          <w:sz w:val="24"/>
          <w:szCs w:val="24"/>
        </w:rPr>
        <w:t>s</w:t>
      </w:r>
      <w:r w:rsidR="004F173E" w:rsidRPr="008C2D82">
        <w:rPr>
          <w:rFonts w:ascii="Arial" w:hAnsi="Arial" w:cs="Arial"/>
          <w:color w:val="000000" w:themeColor="text1"/>
          <w:sz w:val="24"/>
          <w:szCs w:val="24"/>
        </w:rPr>
        <w:t xml:space="preserve"> –</w:t>
      </w:r>
      <w:r w:rsidR="003E2411" w:rsidRPr="008C2D82">
        <w:rPr>
          <w:rFonts w:ascii="Arial" w:hAnsi="Arial" w:cs="Arial"/>
          <w:color w:val="000000" w:themeColor="text1"/>
          <w:sz w:val="24"/>
          <w:szCs w:val="24"/>
        </w:rPr>
        <w:t xml:space="preserve"> </w:t>
      </w:r>
      <w:r w:rsidR="008C2D82" w:rsidRPr="008C2D82">
        <w:rPr>
          <w:rFonts w:ascii="Arial" w:hAnsi="Arial" w:cs="Arial"/>
          <w:color w:val="000000" w:themeColor="text1"/>
          <w:sz w:val="24"/>
          <w:szCs w:val="24"/>
        </w:rPr>
        <w:t xml:space="preserve">33130000-0. </w:t>
      </w:r>
      <w:r w:rsidR="0078542E" w:rsidRPr="008C2D82">
        <w:rPr>
          <w:rFonts w:ascii="Arial" w:hAnsi="Arial" w:cs="Arial"/>
          <w:color w:val="000000" w:themeColor="text1"/>
          <w:sz w:val="24"/>
          <w:szCs w:val="24"/>
        </w:rPr>
        <w:t>P</w:t>
      </w:r>
      <w:r w:rsidR="008E79BF" w:rsidRPr="008C2D82">
        <w:rPr>
          <w:rFonts w:ascii="Arial" w:hAnsi="Arial" w:cs="Arial"/>
          <w:color w:val="000000" w:themeColor="text1"/>
          <w:sz w:val="24"/>
          <w:szCs w:val="24"/>
        </w:rPr>
        <w:t xml:space="preserve">apildomi BVPŽ kodai </w:t>
      </w:r>
      <w:r w:rsidR="008C2D82" w:rsidRPr="008C2D82">
        <w:rPr>
          <w:rFonts w:ascii="Arial" w:hAnsi="Arial" w:cs="Arial"/>
          <w:color w:val="000000" w:themeColor="text1"/>
          <w:sz w:val="24"/>
          <w:szCs w:val="24"/>
        </w:rPr>
        <w:t>–</w:t>
      </w:r>
      <w:r w:rsidR="008E79BF" w:rsidRPr="008C2D82">
        <w:rPr>
          <w:rFonts w:ascii="Arial" w:hAnsi="Arial" w:cs="Arial"/>
          <w:color w:val="000000" w:themeColor="text1"/>
          <w:sz w:val="24"/>
          <w:szCs w:val="24"/>
        </w:rPr>
        <w:t xml:space="preserve"> </w:t>
      </w:r>
      <w:r w:rsidR="008C2D82" w:rsidRPr="008C2D82">
        <w:rPr>
          <w:rFonts w:ascii="Arial" w:hAnsi="Arial" w:cs="Arial"/>
          <w:color w:val="000000" w:themeColor="text1"/>
          <w:sz w:val="24"/>
          <w:szCs w:val="24"/>
        </w:rPr>
        <w:t>33158300-5, 33192400-6, 38600000-1, 33190000-8, 33190000-8, 33192600-8, 33123100-9, 33111500-0</w:t>
      </w:r>
      <w:r w:rsidR="00F322C9">
        <w:rPr>
          <w:rFonts w:ascii="Arial" w:hAnsi="Arial" w:cs="Arial"/>
          <w:color w:val="000000" w:themeColor="text1"/>
          <w:sz w:val="24"/>
          <w:szCs w:val="24"/>
        </w:rPr>
        <w:t>, 33111500-4.</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8C2D82">
              <w:rPr>
                <w:rFonts w:ascii="Arial" w:hAnsi="Arial" w:cs="Arial"/>
                <w:i/>
                <w:color w:val="000000" w:themeColor="text1"/>
                <w:sz w:val="24"/>
                <w:szCs w:val="24"/>
              </w:rPr>
              <w:t>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w:t>
            </w:r>
            <w:r w:rsidRPr="008C2D82">
              <w:rPr>
                <w:rFonts w:ascii="Arial" w:hAnsi="Arial" w:cs="Arial"/>
                <w:color w:val="000000" w:themeColor="text1"/>
                <w:sz w:val="24"/>
                <w:szCs w:val="24"/>
              </w:rPr>
              <w:t xml:space="preserve">modelio </w:t>
            </w:r>
            <w:r w:rsidR="00DF0B8C" w:rsidRPr="008C2D82">
              <w:rPr>
                <w:rFonts w:ascii="Arial" w:hAnsi="Arial" w:cs="Arial"/>
                <w:color w:val="000000" w:themeColor="text1"/>
                <w:sz w:val="24"/>
                <w:szCs w:val="24"/>
              </w:rPr>
              <w:t>įrangą</w:t>
            </w:r>
            <w:r w:rsidR="00D81487" w:rsidRPr="008C2D82">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 xml:space="preserve">3 </w:t>
            </w:r>
            <w:r w:rsidRPr="008C2D82">
              <w:rPr>
                <w:rFonts w:ascii="Arial" w:hAnsi="Arial" w:cs="Arial"/>
                <w:color w:val="000000" w:themeColor="text1"/>
              </w:rPr>
              <w:t>ga</w:t>
            </w:r>
            <w:r w:rsidR="00291F3C" w:rsidRPr="008C2D82">
              <w:rPr>
                <w:rFonts w:ascii="Arial" w:hAnsi="Arial" w:cs="Arial"/>
                <w:color w:val="000000" w:themeColor="text1"/>
              </w:rPr>
              <w:t>m</w:t>
            </w:r>
            <w:r w:rsidRPr="008C2D82">
              <w:rPr>
                <w:rFonts w:ascii="Arial" w:hAnsi="Arial" w:cs="Arial"/>
                <w:color w:val="000000" w:themeColor="text1"/>
              </w:rPr>
              <w:t>intojų</w:t>
            </w:r>
            <w:r w:rsidR="00291F3C" w:rsidRPr="008C2D82">
              <w:rPr>
                <w:rFonts w:ascii="Arial" w:hAnsi="Arial" w:cs="Arial"/>
                <w:color w:val="000000" w:themeColor="text1"/>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w:t>
            </w:r>
            <w:r w:rsidRPr="008C2D82">
              <w:rPr>
                <w:rFonts w:ascii="Arial" w:hAnsi="Arial" w:cs="Arial"/>
                <w:color w:val="000000" w:themeColor="text1"/>
              </w:rPr>
              <w:t xml:space="preserve">garantija prekei (jos </w:t>
            </w:r>
            <w:r w:rsidRPr="00F752BA">
              <w:rPr>
                <w:rFonts w:ascii="Arial" w:hAnsi="Arial" w:cs="Arial"/>
              </w:rPr>
              <w:t>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2BF27625"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8C2D82" w:rsidRPr="008C2D82">
              <w:rPr>
                <w:rFonts w:ascii="Arial" w:hAnsi="Arial" w:cs="Arial"/>
                <w:color w:val="000000" w:themeColor="text1"/>
              </w:rPr>
              <w:t>3</w:t>
            </w:r>
            <w:r w:rsidRPr="008C2D82">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8C2D82">
              <w:rPr>
                <w:rFonts w:ascii="Arial" w:hAnsi="Arial" w:cs="Arial"/>
                <w:color w:val="000000" w:themeColor="text1"/>
              </w:rPr>
              <w:t xml:space="preserve">prekė?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8C2D82">
              <w:rPr>
                <w:rFonts w:ascii="Arial" w:hAnsi="Arial" w:cs="Arial"/>
                <w:color w:val="000000" w:themeColor="text1"/>
              </w:rPr>
              <w:t>įrangos</w:t>
            </w:r>
            <w:r w:rsidRPr="008C2D82">
              <w:rPr>
                <w:rFonts w:ascii="Arial" w:hAnsi="Arial" w:cs="Arial"/>
                <w:color w:val="000000" w:themeColor="text1"/>
              </w:rPr>
              <w:t xml:space="preserve"> </w:t>
            </w:r>
            <w:r w:rsidRPr="00F752BA">
              <w:rPr>
                <w:rFonts w:ascii="Arial" w:hAnsi="Arial" w:cs="Arial"/>
                <w:color w:val="000000" w:themeColor="text1"/>
              </w:rPr>
              <w:t xml:space="preserve">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AA62" w14:textId="77777777" w:rsidR="00D4330C" w:rsidRDefault="00D4330C" w:rsidP="007E6C2C">
      <w:pPr>
        <w:spacing w:after="0" w:line="240" w:lineRule="auto"/>
      </w:pPr>
      <w:r>
        <w:separator/>
      </w:r>
    </w:p>
  </w:endnote>
  <w:endnote w:type="continuationSeparator" w:id="0">
    <w:p w14:paraId="0C00F47C" w14:textId="77777777" w:rsidR="00D4330C" w:rsidRDefault="00D4330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DBEA" w14:textId="77777777" w:rsidR="00D4330C" w:rsidRDefault="00D4330C" w:rsidP="007E6C2C">
      <w:pPr>
        <w:spacing w:after="0" w:line="240" w:lineRule="auto"/>
      </w:pPr>
      <w:r>
        <w:separator/>
      </w:r>
    </w:p>
  </w:footnote>
  <w:footnote w:type="continuationSeparator" w:id="0">
    <w:p w14:paraId="5ABC2F66" w14:textId="77777777" w:rsidR="00D4330C" w:rsidRDefault="00D4330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0D3F"/>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76"/>
    <w:rsid w:val="004C5081"/>
    <w:rsid w:val="004D2293"/>
    <w:rsid w:val="004E41A6"/>
    <w:rsid w:val="004E6817"/>
    <w:rsid w:val="004F173E"/>
    <w:rsid w:val="00501E81"/>
    <w:rsid w:val="0050688F"/>
    <w:rsid w:val="0051340D"/>
    <w:rsid w:val="005149F7"/>
    <w:rsid w:val="00516D7B"/>
    <w:rsid w:val="00520BBC"/>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47360"/>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C2D82"/>
    <w:rsid w:val="008D1FE8"/>
    <w:rsid w:val="008E11AB"/>
    <w:rsid w:val="008E34AB"/>
    <w:rsid w:val="008E360E"/>
    <w:rsid w:val="008E79BF"/>
    <w:rsid w:val="008F318B"/>
    <w:rsid w:val="00902F5A"/>
    <w:rsid w:val="00914125"/>
    <w:rsid w:val="00915ADB"/>
    <w:rsid w:val="0092232C"/>
    <w:rsid w:val="009252E2"/>
    <w:rsid w:val="00927504"/>
    <w:rsid w:val="00931CBC"/>
    <w:rsid w:val="00934201"/>
    <w:rsid w:val="00952C6E"/>
    <w:rsid w:val="00967D87"/>
    <w:rsid w:val="00967E43"/>
    <w:rsid w:val="0098659A"/>
    <w:rsid w:val="00996BCF"/>
    <w:rsid w:val="009A0F9A"/>
    <w:rsid w:val="009B4C63"/>
    <w:rsid w:val="009C05AB"/>
    <w:rsid w:val="009C4B83"/>
    <w:rsid w:val="00A02631"/>
    <w:rsid w:val="00A03445"/>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4330C"/>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2C9"/>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4222</Words>
  <Characters>2407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36</cp:revision>
  <cp:lastPrinted>2022-08-09T07:41:00Z</cp:lastPrinted>
  <dcterms:created xsi:type="dcterms:W3CDTF">2024-03-05T06:53:00Z</dcterms:created>
  <dcterms:modified xsi:type="dcterms:W3CDTF">2026-04-28T05:29:00Z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