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07D86" w14:textId="77777777" w:rsidR="00057F4C" w:rsidRPr="00E650F0" w:rsidRDefault="00057F4C" w:rsidP="00057F4C">
      <w:pPr>
        <w:pStyle w:val="NormalWeb"/>
        <w:spacing w:after="159" w:line="254" w:lineRule="auto"/>
        <w:jc w:val="center"/>
        <w:rPr>
          <w:b/>
          <w:bCs/>
          <w:shd w:val="clear" w:color="auto" w:fill="FFFFFF"/>
        </w:rPr>
      </w:pPr>
      <w:r w:rsidRPr="00E650F0">
        <w:t xml:space="preserve">Pirkimą numatoma atlikti </w:t>
      </w:r>
      <w:r w:rsidRPr="00E650F0">
        <w:rPr>
          <w:b/>
          <w:bCs/>
        </w:rPr>
        <w:t xml:space="preserve">Dinaminės pirkimų sistemos pagrindu: </w:t>
      </w:r>
      <w:r w:rsidRPr="00E650F0">
        <w:rPr>
          <w:rFonts w:eastAsia="NSimSun"/>
          <w:color w:val="000000" w:themeColor="text1"/>
          <w:kern w:val="2"/>
          <w:lang w:eastAsia="zh-CN" w:bidi="hi-IN"/>
        </w:rPr>
        <w:t xml:space="preserve">Programinės įrangos įsigijimas, nuoma ir (ar) priežiūra (Seno CVP IS </w:t>
      </w:r>
      <w:proofErr w:type="spellStart"/>
      <w:r w:rsidRPr="00E650F0">
        <w:rPr>
          <w:rFonts w:eastAsia="NSimSun"/>
          <w:color w:val="000000" w:themeColor="text1"/>
          <w:kern w:val="2"/>
          <w:lang w:eastAsia="zh-CN" w:bidi="hi-IN"/>
        </w:rPr>
        <w:t>Nr</w:t>
      </w:r>
      <w:proofErr w:type="spellEnd"/>
      <w:r w:rsidRPr="00E650F0">
        <w:rPr>
          <w:rFonts w:eastAsia="NSimSun"/>
          <w:color w:val="000000" w:themeColor="text1"/>
          <w:kern w:val="2"/>
          <w:lang w:eastAsia="zh-CN" w:bidi="hi-IN"/>
        </w:rPr>
        <w:t xml:space="preserve"> 692531)</w:t>
      </w:r>
      <w:r w:rsidRPr="00E650F0">
        <w:rPr>
          <w:rFonts w:eastAsia="NSimSun"/>
          <w:kern w:val="2"/>
          <w:lang w:eastAsia="zh-CN" w:bidi="hi-IN"/>
        </w:rPr>
        <w:t xml:space="preserve"> naujos CVP IS ID:54874</w:t>
      </w:r>
    </w:p>
    <w:p w14:paraId="5B2C74E4" w14:textId="77777777" w:rsidR="00057F4C" w:rsidRDefault="00057F4C" w:rsidP="00057F4C">
      <w:pPr>
        <w:pStyle w:val="NormalWeb"/>
        <w:spacing w:after="159" w:line="254" w:lineRule="auto"/>
        <w:jc w:val="center"/>
      </w:pPr>
      <w:r>
        <w:t>Dalyvauti pirkime galės Dinaminėje pirkimų sistemoje patvirtinti tiekėjai.</w:t>
      </w:r>
    </w:p>
    <w:p w14:paraId="538D285E" w14:textId="77777777" w:rsidR="00057F4C" w:rsidRPr="00E650F0" w:rsidRDefault="00057F4C" w:rsidP="00057F4C">
      <w:pPr>
        <w:pStyle w:val="NormalWeb"/>
        <w:spacing w:after="159" w:line="254" w:lineRule="auto"/>
        <w:jc w:val="center"/>
        <w:rPr>
          <w:rStyle w:val="IntenseReference"/>
          <w:b w:val="0"/>
          <w:bCs w:val="0"/>
          <w:smallCaps w:val="0"/>
          <w:color w:val="auto"/>
          <w:spacing w:val="0"/>
        </w:rPr>
      </w:pPr>
      <w:r>
        <w:t>Prisijungti prie dinaminės pirkimų sistemos galite čia:</w:t>
      </w:r>
      <w:r>
        <w:rPr>
          <w:shd w:val="clear" w:color="auto" w:fill="FFFF00"/>
        </w:rPr>
        <w:t xml:space="preserve"> </w:t>
      </w:r>
      <w:r>
        <w:rPr>
          <w:b/>
          <w:bCs/>
          <w:shd w:val="clear" w:color="auto" w:fill="FFFFFF"/>
        </w:rPr>
        <w:t>(</w:t>
      </w:r>
      <w:hyperlink r:id="rId6" w:history="1">
        <w:r>
          <w:rPr>
            <w:rStyle w:val="Hyperlink"/>
            <w:rFonts w:eastAsiaTheme="majorEastAsia"/>
            <w:b/>
            <w:bCs/>
            <w:shd w:val="clear" w:color="auto" w:fill="FFFFFF"/>
          </w:rPr>
          <w:t>https://cvpp.eviesiejipirkimai.lt/Notice/Details/2023-627724</w:t>
        </w:r>
      </w:hyperlink>
      <w:r>
        <w:rPr>
          <w:b/>
          <w:bCs/>
          <w:shd w:val="clear" w:color="auto" w:fill="FFFFFF"/>
        </w:rPr>
        <w:t xml:space="preserve">  naujosios CVP IS </w:t>
      </w:r>
      <w:hyperlink r:id="rId7" w:history="1">
        <w:r w:rsidRPr="00E650F0">
          <w:rPr>
            <w:rStyle w:val="Hyperlink"/>
            <w:b/>
            <w:bCs/>
            <w:shd w:val="clear" w:color="auto" w:fill="FFFFFF"/>
          </w:rPr>
          <w:t>https://viesiejipirkimai.lt/epps/dps/prepareViewCfTDPSWS.do?resourceId=54874</w:t>
        </w:r>
      </w:hyperlink>
      <w:r>
        <w:rPr>
          <w:b/>
          <w:bCs/>
          <w:shd w:val="clear" w:color="auto" w:fill="FFFFFF"/>
        </w:rPr>
        <w:t>)</w:t>
      </w:r>
    </w:p>
    <w:p w14:paraId="1562FAED" w14:textId="7A4BF1D3" w:rsidR="00057F4C" w:rsidRDefault="00057F4C" w:rsidP="00057F4C">
      <w:pPr>
        <w:rPr>
          <w:rFonts w:asciiTheme="majorBidi" w:eastAsia="Times New Roman" w:hAnsiTheme="majorBidi" w:cstheme="majorBidi"/>
          <w:b/>
          <w:kern w:val="0"/>
          <w:lang w:eastAsia="en-US" w:bidi="ar-SA"/>
        </w:rPr>
      </w:pPr>
    </w:p>
    <w:p w14:paraId="072D3D2C" w14:textId="77777777" w:rsidR="00057F4C" w:rsidRDefault="00057F4C" w:rsidP="00057F4C">
      <w:pPr>
        <w:rPr>
          <w:rFonts w:asciiTheme="majorBidi" w:eastAsia="Times New Roman" w:hAnsiTheme="majorBidi" w:cstheme="majorBidi"/>
          <w:b/>
          <w:kern w:val="0"/>
          <w:lang w:eastAsia="en-US" w:bidi="ar-SA"/>
        </w:rPr>
      </w:pPr>
    </w:p>
    <w:p w14:paraId="37C833BA" w14:textId="3D496B48" w:rsidR="00F15346" w:rsidRPr="00F15346" w:rsidRDefault="00F15346" w:rsidP="00853195">
      <w:pPr>
        <w:jc w:val="center"/>
        <w:rPr>
          <w:rFonts w:asciiTheme="majorBidi" w:eastAsia="Times New Roman" w:hAnsiTheme="majorBidi" w:cstheme="majorBidi"/>
          <w:b/>
          <w:kern w:val="0"/>
          <w:lang w:eastAsia="en-US" w:bidi="ar-SA"/>
        </w:rPr>
      </w:pPr>
      <w:r w:rsidRPr="00F15346">
        <w:rPr>
          <w:rFonts w:asciiTheme="majorBidi" w:eastAsia="Times New Roman" w:hAnsiTheme="majorBidi" w:cstheme="majorBidi"/>
          <w:b/>
          <w:kern w:val="0"/>
          <w:lang w:eastAsia="en-US" w:bidi="ar-SA"/>
        </w:rPr>
        <w:t>INFORMACIJOS RINKIMO IR ANALIZĖS</w:t>
      </w:r>
    </w:p>
    <w:p w14:paraId="167525F6" w14:textId="77777777" w:rsidR="00F15346" w:rsidRPr="00F15346" w:rsidRDefault="00F15346" w:rsidP="00F15346">
      <w:pPr>
        <w:ind w:left="133"/>
        <w:jc w:val="center"/>
        <w:rPr>
          <w:rFonts w:asciiTheme="majorBidi" w:eastAsia="Times New Roman" w:hAnsiTheme="majorBidi" w:cstheme="majorBidi"/>
          <w:b/>
          <w:kern w:val="0"/>
          <w:lang w:eastAsia="en-US" w:bidi="ar-SA"/>
        </w:rPr>
      </w:pPr>
      <w:r w:rsidRPr="00F15346">
        <w:rPr>
          <w:rFonts w:asciiTheme="majorBidi" w:eastAsia="Times New Roman" w:hAnsiTheme="majorBidi" w:cstheme="majorBidi"/>
          <w:b/>
          <w:kern w:val="0"/>
          <w:lang w:eastAsia="en-US" w:bidi="ar-SA"/>
        </w:rPr>
        <w:t>PROGRAMINĖS ĮRANGOS TECHNINĖ SPECIFIKACIJA</w:t>
      </w:r>
    </w:p>
    <w:p w14:paraId="273E1B78" w14:textId="22DB8EEF" w:rsidR="00F15346" w:rsidRDefault="00F15346" w:rsidP="00F15346">
      <w:pPr>
        <w:ind w:left="133"/>
        <w:jc w:val="center"/>
        <w:rPr>
          <w:rFonts w:asciiTheme="majorBidi" w:eastAsia="Times New Roman" w:hAnsiTheme="majorBidi" w:cstheme="majorBidi"/>
          <w:b/>
          <w:kern w:val="0"/>
          <w:lang w:eastAsia="en-US" w:bidi="ar-SA"/>
        </w:rPr>
      </w:pPr>
    </w:p>
    <w:p w14:paraId="5C071A39" w14:textId="36F37837" w:rsidR="00057F4C" w:rsidRPr="00F15346" w:rsidRDefault="00057F4C" w:rsidP="00057F4C">
      <w:pPr>
        <w:ind w:left="133"/>
        <w:rPr>
          <w:rFonts w:asciiTheme="majorBidi" w:eastAsia="Times New Roman" w:hAnsiTheme="majorBidi" w:cstheme="majorBidi"/>
          <w:b/>
          <w:kern w:val="0"/>
          <w:lang w:eastAsia="en-US" w:bidi="ar-SA"/>
        </w:rPr>
      </w:pPr>
      <w:r>
        <w:rPr>
          <w:rFonts w:asciiTheme="majorBidi" w:eastAsia="Times New Roman" w:hAnsiTheme="majorBidi" w:cstheme="majorBidi"/>
          <w:b/>
          <w:kern w:val="0"/>
          <w:lang w:eastAsia="en-US" w:bidi="ar-SA"/>
        </w:rPr>
        <w:t xml:space="preserve">I dalis - Informacijos rinkimo ir </w:t>
      </w:r>
      <w:r w:rsidRPr="00057F4C">
        <w:rPr>
          <w:rFonts w:asciiTheme="majorBidi" w:eastAsia="Times New Roman" w:hAnsiTheme="majorBidi" w:cstheme="majorBidi"/>
          <w:b/>
          <w:kern w:val="0"/>
          <w:lang w:eastAsia="en-US" w:bidi="ar-SA"/>
        </w:rPr>
        <w:t>analizės programinė įranga</w:t>
      </w:r>
      <w:r>
        <w:rPr>
          <w:rFonts w:asciiTheme="majorBidi" w:eastAsia="Times New Roman" w:hAnsiTheme="majorBidi" w:cstheme="majorBidi"/>
          <w:b/>
          <w:kern w:val="0"/>
          <w:lang w:eastAsia="en-US" w:bidi="ar-SA"/>
        </w:rPr>
        <w:t xml:space="preserve"> </w:t>
      </w:r>
      <w:r w:rsidRPr="00057F4C">
        <w:rPr>
          <w:rFonts w:asciiTheme="majorBidi" w:eastAsia="Times New Roman" w:hAnsiTheme="majorBidi" w:cstheme="majorBidi"/>
          <w:b/>
          <w:kern w:val="0"/>
          <w:lang w:eastAsia="en-US" w:bidi="ar-SA"/>
        </w:rPr>
        <w:t>(</w:t>
      </w:r>
      <w:proofErr w:type="spellStart"/>
      <w:r w:rsidRPr="00057F4C">
        <w:rPr>
          <w:rFonts w:asciiTheme="majorBidi" w:eastAsia="Times New Roman" w:hAnsiTheme="majorBidi" w:cstheme="majorBidi"/>
          <w:b/>
          <w:kern w:val="0"/>
          <w:lang w:eastAsia="en-US" w:bidi="ar-SA"/>
        </w:rPr>
        <w:t>Elephantatstic</w:t>
      </w:r>
      <w:proofErr w:type="spellEnd"/>
      <w:r w:rsidRPr="00057F4C">
        <w:rPr>
          <w:rFonts w:asciiTheme="majorBidi" w:eastAsia="Times New Roman" w:hAnsiTheme="majorBidi" w:cstheme="majorBidi"/>
          <w:b/>
          <w:kern w:val="0"/>
          <w:lang w:eastAsia="en-US" w:bidi="ar-SA"/>
        </w:rPr>
        <w:t xml:space="preserve"> arba</w:t>
      </w:r>
      <w:r>
        <w:rPr>
          <w:rFonts w:asciiTheme="majorBidi" w:eastAsia="Times New Roman" w:hAnsiTheme="majorBidi" w:cstheme="majorBidi"/>
          <w:b/>
          <w:kern w:val="0"/>
          <w:lang w:eastAsia="en-US" w:bidi="ar-SA"/>
        </w:rPr>
        <w:t xml:space="preserve"> </w:t>
      </w:r>
      <w:r w:rsidRPr="00057F4C">
        <w:rPr>
          <w:rFonts w:asciiTheme="majorBidi" w:eastAsia="Times New Roman" w:hAnsiTheme="majorBidi" w:cstheme="majorBidi"/>
          <w:b/>
          <w:kern w:val="0"/>
          <w:lang w:eastAsia="en-US" w:bidi="ar-SA"/>
        </w:rPr>
        <w:t>lygiavertė)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3"/>
        <w:gridCol w:w="1805"/>
        <w:gridCol w:w="5922"/>
        <w:gridCol w:w="1134"/>
      </w:tblGrid>
      <w:tr w:rsidR="0061292E" w:rsidRPr="00F15346" w14:paraId="5E91703D" w14:textId="7D5F0BEE" w:rsidTr="0061292E">
        <w:tc>
          <w:tcPr>
            <w:tcW w:w="773" w:type="dxa"/>
            <w:shd w:val="clear" w:color="auto" w:fill="D9D9D9" w:themeFill="background1" w:themeFillShade="D9"/>
          </w:tcPr>
          <w:p w14:paraId="14B0A0EA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  <w:t>Eilės Nr.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5719EE13" w14:textId="77777777" w:rsidR="0061292E" w:rsidRPr="00F15346" w:rsidRDefault="0061292E" w:rsidP="00F15346">
            <w:pPr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  <w:t>Charakteristikos pavadinimas</w:t>
            </w:r>
          </w:p>
        </w:tc>
        <w:tc>
          <w:tcPr>
            <w:tcW w:w="5922" w:type="dxa"/>
            <w:shd w:val="clear" w:color="auto" w:fill="D9D9D9" w:themeFill="background1" w:themeFillShade="D9"/>
          </w:tcPr>
          <w:p w14:paraId="18CF2A2B" w14:textId="77777777" w:rsidR="0061292E" w:rsidRPr="00F15346" w:rsidRDefault="0061292E" w:rsidP="00F15346">
            <w:pPr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  <w:t>Reikalaujama charakteristika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259A7B7" w14:textId="5A3B1412" w:rsidR="0061292E" w:rsidRPr="00F15346" w:rsidRDefault="0061292E" w:rsidP="00F15346">
            <w:pPr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Pastabos</w:t>
            </w:r>
            <w:proofErr w:type="spellEnd"/>
          </w:p>
        </w:tc>
      </w:tr>
      <w:tr w:rsidR="0061292E" w:rsidRPr="00F15346" w14:paraId="45CB2C20" w14:textId="0483F3DF" w:rsidTr="0061292E">
        <w:tc>
          <w:tcPr>
            <w:tcW w:w="773" w:type="dxa"/>
          </w:tcPr>
          <w:p w14:paraId="0C8BABFB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</w:t>
            </w:r>
          </w:p>
        </w:tc>
        <w:tc>
          <w:tcPr>
            <w:tcW w:w="1805" w:type="dxa"/>
          </w:tcPr>
          <w:p w14:paraId="65516B29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GB" w:bidi="ar-SA"/>
              </w:rPr>
              <w:t>Programinės įrangos skaičius</w:t>
            </w:r>
          </w:p>
        </w:tc>
        <w:tc>
          <w:tcPr>
            <w:tcW w:w="5922" w:type="dxa"/>
          </w:tcPr>
          <w:p w14:paraId="7F88FFD3" w14:textId="76289730" w:rsidR="0061292E" w:rsidRPr="0047361D" w:rsidRDefault="0061292E" w:rsidP="00F15346">
            <w:pPr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proofErr w:type="spellStart"/>
            <w:r w:rsidRPr="00F15346"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kern w:val="0"/>
                <w:lang w:val="lt-LT" w:eastAsia="en-US" w:bidi="ar-SA"/>
              </w:rPr>
              <w:t>Elephantastic</w:t>
            </w:r>
            <w:proofErr w:type="spellEnd"/>
            <w:r w:rsidRPr="00F15346">
              <w:rPr>
                <w:rFonts w:ascii="Times New Roman" w:eastAsiaTheme="minorHAnsi" w:hAnsi="Times New Roman" w:cs="Times New Roman"/>
                <w:i/>
                <w:iCs/>
                <w:kern w:val="0"/>
                <w:sz w:val="22"/>
                <w:szCs w:val="22"/>
                <w:lang w:val="lt-LT" w:eastAsia="en-US" w:bidi="ar-SA"/>
              </w:rPr>
              <w:t xml:space="preserve"> </w:t>
            </w: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arba lygiavertė</w:t>
            </w:r>
            <w:r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*</w:t>
            </w: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, 1 vnt.</w:t>
            </w:r>
            <w:r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 </w:t>
            </w:r>
          </w:p>
        </w:tc>
        <w:tc>
          <w:tcPr>
            <w:tcW w:w="1134" w:type="dxa"/>
          </w:tcPr>
          <w:p w14:paraId="552F6410" w14:textId="77777777" w:rsidR="0061292E" w:rsidRPr="00F15346" w:rsidRDefault="0061292E" w:rsidP="00F15346">
            <w:pPr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kern w:val="0"/>
                <w:lang w:eastAsia="en-US" w:bidi="ar-SA"/>
              </w:rPr>
            </w:pPr>
          </w:p>
        </w:tc>
      </w:tr>
      <w:tr w:rsidR="0061292E" w:rsidRPr="00F15346" w14:paraId="14BC86B0" w14:textId="161EA08B" w:rsidTr="0061292E">
        <w:tc>
          <w:tcPr>
            <w:tcW w:w="773" w:type="dxa"/>
            <w:vMerge w:val="restart"/>
          </w:tcPr>
          <w:p w14:paraId="1E68A5D0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2.</w:t>
            </w:r>
          </w:p>
        </w:tc>
        <w:tc>
          <w:tcPr>
            <w:tcW w:w="1805" w:type="dxa"/>
            <w:vMerge w:val="restart"/>
          </w:tcPr>
          <w:p w14:paraId="2FADDC67" w14:textId="77777777" w:rsidR="0061292E" w:rsidRPr="00F15346" w:rsidRDefault="0061292E" w:rsidP="00F15346">
            <w:pPr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GB" w:bidi="ar-SA"/>
              </w:rPr>
              <w:t>Programinės įrangos galimybės</w:t>
            </w:r>
          </w:p>
        </w:tc>
        <w:tc>
          <w:tcPr>
            <w:tcW w:w="5922" w:type="dxa"/>
          </w:tcPr>
          <w:p w14:paraId="3BED2BF7" w14:textId="1A41B5DD" w:rsidR="0061292E" w:rsidRPr="00F15346" w:rsidRDefault="0061292E" w:rsidP="00F15346">
            <w:pPr>
              <w:spacing w:after="120"/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GB" w:bidi="ar-SA"/>
              </w:rPr>
              <w:t xml:space="preserve">1. </w:t>
            </w:r>
            <w:r w:rsidRPr="00F153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GB" w:bidi="ar-SA"/>
              </w:rPr>
              <w:t xml:space="preserve">Turi būti suderinama su naršyklėmis Firefox, MS </w:t>
            </w:r>
            <w:proofErr w:type="spellStart"/>
            <w:r w:rsidRPr="00F153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GB" w:bidi="ar-SA"/>
              </w:rPr>
              <w:t>Edge</w:t>
            </w:r>
            <w:proofErr w:type="spellEnd"/>
            <w:r w:rsidRPr="00F153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GB" w:bidi="ar-SA"/>
              </w:rPr>
              <w:t xml:space="preserve">, Chrome, </w:t>
            </w:r>
            <w:proofErr w:type="spellStart"/>
            <w:r w:rsidRPr="00F153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GB" w:bidi="ar-SA"/>
              </w:rPr>
              <w:t>Safari</w:t>
            </w:r>
            <w:proofErr w:type="spellEnd"/>
            <w:r w:rsidRPr="00F153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GB" w:bidi="ar-SA"/>
              </w:rPr>
              <w:t>, Opera.</w:t>
            </w:r>
          </w:p>
        </w:tc>
        <w:tc>
          <w:tcPr>
            <w:tcW w:w="1134" w:type="dxa"/>
          </w:tcPr>
          <w:p w14:paraId="3001A919" w14:textId="77777777" w:rsidR="0061292E" w:rsidRDefault="0061292E" w:rsidP="00F15346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61292E" w:rsidRPr="00F15346" w14:paraId="4F989FCA" w14:textId="4AC0EB30" w:rsidTr="0061292E">
        <w:tc>
          <w:tcPr>
            <w:tcW w:w="773" w:type="dxa"/>
            <w:vMerge/>
          </w:tcPr>
          <w:p w14:paraId="1F87CD41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</w:p>
        </w:tc>
        <w:tc>
          <w:tcPr>
            <w:tcW w:w="1805" w:type="dxa"/>
            <w:vMerge/>
          </w:tcPr>
          <w:p w14:paraId="37D9FCBF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</w:p>
        </w:tc>
        <w:tc>
          <w:tcPr>
            <w:tcW w:w="5922" w:type="dxa"/>
            <w:tcBorders>
              <w:right w:val="single" w:sz="4" w:space="0" w:color="000000" w:themeColor="text1"/>
            </w:tcBorders>
          </w:tcPr>
          <w:p w14:paraId="40C205D3" w14:textId="77777777" w:rsidR="0061292E" w:rsidRPr="00F15346" w:rsidRDefault="0061292E" w:rsidP="00F15346">
            <w:pPr>
              <w:spacing w:line="300" w:lineRule="atLeas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US" w:bidi="ar-SA"/>
              </w:rPr>
              <w:t>2. Turi būti galimybė atlikti paiešką pagal šiuos identifikatorius:</w:t>
            </w:r>
          </w:p>
          <w:p w14:paraId="6E6652B4" w14:textId="77777777" w:rsidR="0061292E" w:rsidRPr="00F15346" w:rsidRDefault="0061292E" w:rsidP="00F15346">
            <w:pPr>
              <w:numPr>
                <w:ilvl w:val="0"/>
                <w:numId w:val="3"/>
              </w:numPr>
              <w:ind w:left="714" w:hanging="357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proofErr w:type="spellStart"/>
            <w:r w:rsidRPr="00F153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US" w:bidi="ar-SA"/>
              </w:rPr>
              <w:t>El.pašto</w:t>
            </w:r>
            <w:proofErr w:type="spellEnd"/>
            <w:r w:rsidRPr="00F153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 adresą</w:t>
            </w:r>
          </w:p>
          <w:p w14:paraId="667FC889" w14:textId="77777777" w:rsidR="0061292E" w:rsidRPr="00F15346" w:rsidRDefault="0061292E" w:rsidP="00F15346">
            <w:pPr>
              <w:numPr>
                <w:ilvl w:val="0"/>
                <w:numId w:val="3"/>
              </w:numPr>
              <w:ind w:left="714" w:hanging="357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US" w:bidi="ar-SA"/>
              </w:rPr>
              <w:t>Telefono numerį</w:t>
            </w:r>
          </w:p>
          <w:p w14:paraId="4F3D276E" w14:textId="77777777" w:rsidR="0061292E" w:rsidRPr="00F15346" w:rsidRDefault="0061292E" w:rsidP="00F15346">
            <w:pPr>
              <w:numPr>
                <w:ilvl w:val="0"/>
                <w:numId w:val="3"/>
              </w:numPr>
              <w:ind w:left="714" w:hanging="357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US" w:bidi="ar-SA"/>
              </w:rPr>
              <w:t>Vartotojo vardą</w:t>
            </w:r>
          </w:p>
          <w:p w14:paraId="781E83DE" w14:textId="77777777" w:rsidR="0061292E" w:rsidRPr="00F15346" w:rsidRDefault="0061292E" w:rsidP="00F15346">
            <w:pPr>
              <w:numPr>
                <w:ilvl w:val="0"/>
                <w:numId w:val="3"/>
              </w:numPr>
              <w:ind w:left="714" w:hanging="357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US" w:bidi="ar-SA"/>
              </w:rPr>
              <w:t>IP adresą</w:t>
            </w:r>
          </w:p>
          <w:p w14:paraId="45B5E4D8" w14:textId="77777777" w:rsidR="0061292E" w:rsidRPr="00F15346" w:rsidRDefault="0061292E" w:rsidP="00F15346">
            <w:pPr>
              <w:numPr>
                <w:ilvl w:val="0"/>
                <w:numId w:val="3"/>
              </w:numPr>
              <w:ind w:left="714" w:hanging="357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US" w:bidi="ar-SA"/>
              </w:rPr>
              <w:t>Vardą Pavardę</w:t>
            </w:r>
          </w:p>
          <w:p w14:paraId="6E18FC6C" w14:textId="77777777" w:rsidR="0061292E" w:rsidRPr="00F15346" w:rsidRDefault="0061292E" w:rsidP="00F15346">
            <w:pPr>
              <w:numPr>
                <w:ilvl w:val="0"/>
                <w:numId w:val="3"/>
              </w:numPr>
              <w:spacing w:after="120"/>
              <w:ind w:left="714" w:hanging="357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US" w:bidi="ar-SA"/>
              </w:rPr>
              <w:t>Domeną</w:t>
            </w:r>
          </w:p>
        </w:tc>
        <w:tc>
          <w:tcPr>
            <w:tcW w:w="1134" w:type="dxa"/>
            <w:tcBorders>
              <w:right w:val="single" w:sz="4" w:space="0" w:color="000000" w:themeColor="text1"/>
            </w:tcBorders>
          </w:tcPr>
          <w:p w14:paraId="660B78BC" w14:textId="77777777" w:rsidR="0061292E" w:rsidRPr="00F15346" w:rsidRDefault="0061292E" w:rsidP="00F15346">
            <w:pPr>
              <w:spacing w:line="300" w:lineRule="atLeas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61292E" w:rsidRPr="00F15346" w14:paraId="3C0E7E85" w14:textId="6123BE81" w:rsidTr="0061292E">
        <w:tc>
          <w:tcPr>
            <w:tcW w:w="773" w:type="dxa"/>
            <w:vMerge/>
          </w:tcPr>
          <w:p w14:paraId="2D36D93B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</w:p>
        </w:tc>
        <w:tc>
          <w:tcPr>
            <w:tcW w:w="1805" w:type="dxa"/>
            <w:vMerge/>
          </w:tcPr>
          <w:p w14:paraId="2C3885E6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</w:p>
        </w:tc>
        <w:tc>
          <w:tcPr>
            <w:tcW w:w="5922" w:type="dxa"/>
            <w:tcBorders>
              <w:right w:val="single" w:sz="4" w:space="0" w:color="000000" w:themeColor="text1"/>
            </w:tcBorders>
          </w:tcPr>
          <w:p w14:paraId="0F759DC0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3. Duomenys turi būti pateikiami iš daugiau nei 500 šaltinių, įskaitant tokius kaip:</w:t>
            </w:r>
          </w:p>
          <w:p w14:paraId="2E319662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- </w:t>
            </w:r>
            <w:proofErr w:type="spellStart"/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Haveibeenpwned</w:t>
            </w:r>
            <w:proofErr w:type="spellEnd"/>
          </w:p>
          <w:p w14:paraId="3F62F9F4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- HLR </w:t>
            </w:r>
            <w:proofErr w:type="spellStart"/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Lookup</w:t>
            </w:r>
            <w:proofErr w:type="spellEnd"/>
          </w:p>
          <w:p w14:paraId="531BE300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- </w:t>
            </w:r>
            <w:proofErr w:type="spellStart"/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Truecaller</w:t>
            </w:r>
            <w:proofErr w:type="spellEnd"/>
          </w:p>
          <w:p w14:paraId="6FE05D46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- </w:t>
            </w:r>
            <w:proofErr w:type="spellStart"/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CallApp</w:t>
            </w:r>
            <w:proofErr w:type="spellEnd"/>
          </w:p>
          <w:p w14:paraId="0D674450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- </w:t>
            </w:r>
            <w:proofErr w:type="spellStart"/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Pipl</w:t>
            </w:r>
            <w:proofErr w:type="spellEnd"/>
          </w:p>
          <w:p w14:paraId="4DB46A88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- VK</w:t>
            </w:r>
          </w:p>
          <w:p w14:paraId="1D67C976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- OK</w:t>
            </w:r>
          </w:p>
          <w:p w14:paraId="31A8767B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- </w:t>
            </w:r>
            <w:proofErr w:type="spellStart"/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Telegram</w:t>
            </w:r>
            <w:proofErr w:type="spellEnd"/>
          </w:p>
          <w:p w14:paraId="26D61285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- </w:t>
            </w:r>
            <w:proofErr w:type="spellStart"/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Signal</w:t>
            </w:r>
            <w:proofErr w:type="spellEnd"/>
          </w:p>
          <w:p w14:paraId="7D9136E1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- </w:t>
            </w:r>
            <w:proofErr w:type="spellStart"/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Yandex</w:t>
            </w:r>
            <w:proofErr w:type="spellEnd"/>
          </w:p>
          <w:p w14:paraId="46F34947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- Apple</w:t>
            </w:r>
          </w:p>
          <w:p w14:paraId="7E4F063A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- Facebook</w:t>
            </w:r>
          </w:p>
          <w:p w14:paraId="38AECC51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- </w:t>
            </w:r>
            <w:proofErr w:type="spellStart"/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Whatsapp</w:t>
            </w:r>
            <w:proofErr w:type="spellEnd"/>
          </w:p>
          <w:p w14:paraId="24E112F9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- X</w:t>
            </w:r>
          </w:p>
          <w:p w14:paraId="69A1A23C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- Microsoft</w:t>
            </w:r>
          </w:p>
          <w:p w14:paraId="78D9D872" w14:textId="77777777" w:rsidR="0061292E" w:rsidRPr="00F15346" w:rsidRDefault="0061292E" w:rsidP="00F15346">
            <w:pPr>
              <w:tabs>
                <w:tab w:val="center" w:pos="1566"/>
              </w:tabs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- Google</w:t>
            </w:r>
          </w:p>
          <w:p w14:paraId="585188E5" w14:textId="77777777" w:rsidR="0061292E" w:rsidRPr="00F15346" w:rsidRDefault="0061292E" w:rsidP="00F15346">
            <w:pPr>
              <w:tabs>
                <w:tab w:val="center" w:pos="1566"/>
              </w:tabs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- </w:t>
            </w:r>
            <w:proofErr w:type="spellStart"/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Snapchat</w:t>
            </w:r>
            <w:proofErr w:type="spellEnd"/>
          </w:p>
          <w:p w14:paraId="4AFDA038" w14:textId="77777777" w:rsidR="0061292E" w:rsidRPr="00F15346" w:rsidRDefault="0061292E" w:rsidP="00F15346">
            <w:pPr>
              <w:tabs>
                <w:tab w:val="center" w:pos="1566"/>
              </w:tabs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- </w:t>
            </w:r>
            <w:proofErr w:type="spellStart"/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Tiktok</w:t>
            </w:r>
            <w:proofErr w:type="spellEnd"/>
          </w:p>
          <w:p w14:paraId="7EF854D0" w14:textId="77777777" w:rsidR="0061292E" w:rsidRPr="00F15346" w:rsidRDefault="0061292E" w:rsidP="00F15346">
            <w:pPr>
              <w:tabs>
                <w:tab w:val="center" w:pos="1566"/>
              </w:tabs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- </w:t>
            </w:r>
            <w:proofErr w:type="spellStart"/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Roblox</w:t>
            </w:r>
            <w:proofErr w:type="spellEnd"/>
          </w:p>
          <w:p w14:paraId="17DAB2EA" w14:textId="77777777" w:rsidR="0061292E" w:rsidRPr="00F15346" w:rsidRDefault="0061292E" w:rsidP="00F15346">
            <w:pPr>
              <w:tabs>
                <w:tab w:val="center" w:pos="1566"/>
              </w:tabs>
              <w:spacing w:after="120"/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- </w:t>
            </w:r>
            <w:proofErr w:type="spellStart"/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Paypal</w:t>
            </w:r>
            <w:proofErr w:type="spellEnd"/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ab/>
            </w:r>
          </w:p>
        </w:tc>
        <w:tc>
          <w:tcPr>
            <w:tcW w:w="1134" w:type="dxa"/>
            <w:tcBorders>
              <w:right w:val="single" w:sz="4" w:space="0" w:color="000000" w:themeColor="text1"/>
            </w:tcBorders>
          </w:tcPr>
          <w:p w14:paraId="33503E85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61292E" w:rsidRPr="00F15346" w14:paraId="2E846EE6" w14:textId="287B3E1F" w:rsidTr="0061292E">
        <w:tc>
          <w:tcPr>
            <w:tcW w:w="773" w:type="dxa"/>
            <w:vMerge/>
            <w:vAlign w:val="center"/>
          </w:tcPr>
          <w:p w14:paraId="1318810C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</w:p>
        </w:tc>
        <w:tc>
          <w:tcPr>
            <w:tcW w:w="1805" w:type="dxa"/>
            <w:vMerge/>
          </w:tcPr>
          <w:p w14:paraId="2E1B5CD6" w14:textId="77777777" w:rsidR="0061292E" w:rsidRPr="00F15346" w:rsidRDefault="0061292E" w:rsidP="00F15346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</w:p>
        </w:tc>
        <w:tc>
          <w:tcPr>
            <w:tcW w:w="5922" w:type="dxa"/>
            <w:tcBorders>
              <w:right w:val="single" w:sz="4" w:space="0" w:color="000000" w:themeColor="text1"/>
            </w:tcBorders>
          </w:tcPr>
          <w:p w14:paraId="6AC54F69" w14:textId="77777777" w:rsidR="0061292E" w:rsidRPr="00F15346" w:rsidRDefault="0061292E" w:rsidP="00F15346">
            <w:pPr>
              <w:spacing w:after="120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4. Programinės įrangos galimybės turi užtikrinti periodiškai surenkamų statinių duomenų rinkinių ir dinamiškų duomenų srautų integraciją.</w:t>
            </w:r>
          </w:p>
        </w:tc>
        <w:tc>
          <w:tcPr>
            <w:tcW w:w="1134" w:type="dxa"/>
            <w:tcBorders>
              <w:right w:val="single" w:sz="4" w:space="0" w:color="000000" w:themeColor="text1"/>
            </w:tcBorders>
          </w:tcPr>
          <w:p w14:paraId="1B0B01E2" w14:textId="77777777" w:rsidR="0061292E" w:rsidRPr="00F15346" w:rsidRDefault="0061292E" w:rsidP="00F15346">
            <w:pPr>
              <w:spacing w:after="120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61292E" w:rsidRPr="00F15346" w14:paraId="2E674959" w14:textId="1053EDAE" w:rsidTr="0061292E">
        <w:tc>
          <w:tcPr>
            <w:tcW w:w="773" w:type="dxa"/>
            <w:vMerge/>
            <w:vAlign w:val="center"/>
          </w:tcPr>
          <w:p w14:paraId="299F3BDB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</w:p>
        </w:tc>
        <w:tc>
          <w:tcPr>
            <w:tcW w:w="1805" w:type="dxa"/>
            <w:vMerge/>
          </w:tcPr>
          <w:p w14:paraId="5CC81347" w14:textId="77777777" w:rsidR="0061292E" w:rsidRPr="00F15346" w:rsidRDefault="0061292E" w:rsidP="00F15346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</w:p>
        </w:tc>
        <w:tc>
          <w:tcPr>
            <w:tcW w:w="5922" w:type="dxa"/>
            <w:tcBorders>
              <w:right w:val="single" w:sz="4" w:space="0" w:color="000000" w:themeColor="text1"/>
            </w:tcBorders>
          </w:tcPr>
          <w:p w14:paraId="02987904" w14:textId="77777777" w:rsidR="0061292E" w:rsidRPr="00F15346" w:rsidRDefault="0061292E" w:rsidP="00F15346">
            <w:pPr>
              <w:spacing w:after="120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5. Programinė įranga turėtų turėti galimybę įkelti bylas (PDF, TXT, CSV), jas indeksuoti bei atlikti paiešką jose.</w:t>
            </w:r>
          </w:p>
        </w:tc>
        <w:tc>
          <w:tcPr>
            <w:tcW w:w="1134" w:type="dxa"/>
            <w:tcBorders>
              <w:right w:val="single" w:sz="4" w:space="0" w:color="000000" w:themeColor="text1"/>
            </w:tcBorders>
          </w:tcPr>
          <w:p w14:paraId="7ED1F6FC" w14:textId="77777777" w:rsidR="0061292E" w:rsidRPr="00F15346" w:rsidRDefault="0061292E" w:rsidP="00F15346">
            <w:pPr>
              <w:spacing w:after="120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61292E" w:rsidRPr="00F15346" w14:paraId="618C2A1D" w14:textId="57FD2C63" w:rsidTr="0061292E">
        <w:tc>
          <w:tcPr>
            <w:tcW w:w="773" w:type="dxa"/>
            <w:vMerge/>
            <w:vAlign w:val="center"/>
          </w:tcPr>
          <w:p w14:paraId="4B75AC55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</w:p>
        </w:tc>
        <w:tc>
          <w:tcPr>
            <w:tcW w:w="1805" w:type="dxa"/>
            <w:vMerge/>
          </w:tcPr>
          <w:p w14:paraId="7C6110EB" w14:textId="77777777" w:rsidR="0061292E" w:rsidRPr="00F15346" w:rsidRDefault="0061292E" w:rsidP="00F15346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</w:p>
        </w:tc>
        <w:tc>
          <w:tcPr>
            <w:tcW w:w="5922" w:type="dxa"/>
            <w:tcBorders>
              <w:right w:val="single" w:sz="4" w:space="0" w:color="000000" w:themeColor="text1"/>
            </w:tcBorders>
          </w:tcPr>
          <w:p w14:paraId="32D2F19F" w14:textId="77777777" w:rsidR="0061292E" w:rsidRPr="00F15346" w:rsidRDefault="0061292E" w:rsidP="00F15346">
            <w:pPr>
              <w:spacing w:after="120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6. Programinė įranga leidžia vartotojui kurti nuosavų duomenų kolekcijas .</w:t>
            </w:r>
          </w:p>
        </w:tc>
        <w:tc>
          <w:tcPr>
            <w:tcW w:w="1134" w:type="dxa"/>
            <w:tcBorders>
              <w:right w:val="single" w:sz="4" w:space="0" w:color="000000" w:themeColor="text1"/>
            </w:tcBorders>
          </w:tcPr>
          <w:p w14:paraId="269CC222" w14:textId="77777777" w:rsidR="0061292E" w:rsidRPr="00F15346" w:rsidRDefault="0061292E" w:rsidP="00F15346">
            <w:pPr>
              <w:spacing w:after="120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61292E" w:rsidRPr="00F15346" w14:paraId="0D6B0740" w14:textId="66D068F7" w:rsidTr="0061292E">
        <w:tc>
          <w:tcPr>
            <w:tcW w:w="773" w:type="dxa"/>
            <w:vMerge/>
            <w:vAlign w:val="center"/>
          </w:tcPr>
          <w:p w14:paraId="59389411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</w:p>
        </w:tc>
        <w:tc>
          <w:tcPr>
            <w:tcW w:w="1805" w:type="dxa"/>
            <w:vMerge/>
          </w:tcPr>
          <w:p w14:paraId="6A9541D7" w14:textId="77777777" w:rsidR="0061292E" w:rsidRPr="00F15346" w:rsidRDefault="0061292E" w:rsidP="00F15346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</w:p>
        </w:tc>
        <w:tc>
          <w:tcPr>
            <w:tcW w:w="5922" w:type="dxa"/>
            <w:tcBorders>
              <w:right w:val="single" w:sz="4" w:space="0" w:color="000000" w:themeColor="text1"/>
            </w:tcBorders>
          </w:tcPr>
          <w:p w14:paraId="7B0BC3FF" w14:textId="77777777" w:rsidR="0061292E" w:rsidRPr="00F15346" w:rsidRDefault="0061292E" w:rsidP="00F15346">
            <w:pPr>
              <w:spacing w:after="120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7. Programinė įranga turi gebėti atvaizduoti grafiškai objektų ryšius.</w:t>
            </w:r>
          </w:p>
        </w:tc>
        <w:tc>
          <w:tcPr>
            <w:tcW w:w="1134" w:type="dxa"/>
            <w:tcBorders>
              <w:right w:val="single" w:sz="4" w:space="0" w:color="000000" w:themeColor="text1"/>
            </w:tcBorders>
          </w:tcPr>
          <w:p w14:paraId="6457CB08" w14:textId="77777777" w:rsidR="0061292E" w:rsidRPr="00F15346" w:rsidRDefault="0061292E" w:rsidP="00F15346">
            <w:pPr>
              <w:spacing w:after="120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61292E" w:rsidRPr="00F15346" w14:paraId="31AE63F5" w14:textId="1714E30D" w:rsidTr="0061292E">
        <w:tc>
          <w:tcPr>
            <w:tcW w:w="773" w:type="dxa"/>
            <w:vMerge/>
            <w:vAlign w:val="center"/>
          </w:tcPr>
          <w:p w14:paraId="5E01CE3B" w14:textId="77777777" w:rsidR="0061292E" w:rsidRPr="00F15346" w:rsidRDefault="0061292E" w:rsidP="00F15346">
            <w:pPr>
              <w:jc w:val="both"/>
              <w:rPr>
                <w:rFonts w:asciiTheme="majorBidi" w:eastAsiaTheme="minorHAnsi" w:hAnsiTheme="majorBidi" w:cstheme="majorBidi"/>
                <w:kern w:val="0"/>
                <w:sz w:val="22"/>
                <w:szCs w:val="22"/>
                <w:lang w:val="lt-LT" w:eastAsia="en-US" w:bidi="ar-SA"/>
              </w:rPr>
            </w:pPr>
          </w:p>
        </w:tc>
        <w:tc>
          <w:tcPr>
            <w:tcW w:w="1805" w:type="dxa"/>
            <w:vMerge/>
          </w:tcPr>
          <w:p w14:paraId="06519F2E" w14:textId="77777777" w:rsidR="0061292E" w:rsidRPr="00F15346" w:rsidRDefault="0061292E" w:rsidP="00F15346">
            <w:pPr>
              <w:jc w:val="both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lt-LT" w:eastAsia="en-US" w:bidi="ar-SA"/>
              </w:rPr>
            </w:pPr>
          </w:p>
        </w:tc>
        <w:tc>
          <w:tcPr>
            <w:tcW w:w="5922" w:type="dxa"/>
            <w:tcBorders>
              <w:right w:val="single" w:sz="4" w:space="0" w:color="000000" w:themeColor="text1"/>
            </w:tcBorders>
          </w:tcPr>
          <w:p w14:paraId="045450DA" w14:textId="77777777" w:rsidR="0061292E" w:rsidRPr="00F15346" w:rsidRDefault="0061292E" w:rsidP="00F15346">
            <w:pPr>
              <w:spacing w:after="120"/>
              <w:rPr>
                <w:rFonts w:asciiTheme="majorBidi" w:eastAsiaTheme="minorHAnsi" w:hAnsiTheme="majorBidi" w:cstheme="majorBidi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Theme="majorBidi" w:eastAsiaTheme="minorHAnsi" w:hAnsiTheme="majorBidi" w:cstheme="majorBidi"/>
                <w:kern w:val="0"/>
                <w:sz w:val="22"/>
                <w:szCs w:val="22"/>
                <w:lang w:val="lt-LT" w:eastAsia="en-US" w:bidi="ar-SA"/>
              </w:rPr>
              <w:t>8. Licencija, suteikianti teisę naudotis programine įranga 36 mėnesius</w:t>
            </w:r>
          </w:p>
        </w:tc>
        <w:tc>
          <w:tcPr>
            <w:tcW w:w="1134" w:type="dxa"/>
            <w:tcBorders>
              <w:right w:val="single" w:sz="4" w:space="0" w:color="000000" w:themeColor="text1"/>
            </w:tcBorders>
          </w:tcPr>
          <w:p w14:paraId="175727D7" w14:textId="77777777" w:rsidR="0061292E" w:rsidRPr="00F15346" w:rsidRDefault="0061292E" w:rsidP="00F15346">
            <w:pPr>
              <w:spacing w:after="120"/>
              <w:rPr>
                <w:rFonts w:asciiTheme="majorBidi" w:eastAsiaTheme="minorHAnsi" w:hAnsiTheme="majorBidi" w:cstheme="majorBid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61292E" w:rsidRPr="00F15346" w14:paraId="75EB8F6D" w14:textId="05A02CD7" w:rsidTr="0061292E">
        <w:tc>
          <w:tcPr>
            <w:tcW w:w="773" w:type="dxa"/>
          </w:tcPr>
          <w:p w14:paraId="0A3D80A7" w14:textId="77777777" w:rsidR="0061292E" w:rsidRPr="00F15346" w:rsidRDefault="0061292E" w:rsidP="00F15346">
            <w:pPr>
              <w:rPr>
                <w:rFonts w:asciiTheme="majorBidi" w:eastAsiaTheme="minorHAnsi" w:hAnsiTheme="majorBidi" w:cstheme="majorBidi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Theme="majorBidi" w:eastAsiaTheme="minorHAnsi" w:hAnsiTheme="majorBidi" w:cstheme="majorBidi"/>
                <w:kern w:val="0"/>
                <w:sz w:val="22"/>
                <w:szCs w:val="22"/>
                <w:lang w:val="lt-LT" w:eastAsia="en-US" w:bidi="ar-SA"/>
              </w:rPr>
              <w:t>3.</w:t>
            </w:r>
          </w:p>
        </w:tc>
        <w:tc>
          <w:tcPr>
            <w:tcW w:w="1805" w:type="dxa"/>
          </w:tcPr>
          <w:p w14:paraId="747D478E" w14:textId="77777777" w:rsidR="0061292E" w:rsidRPr="00F15346" w:rsidRDefault="0061292E" w:rsidP="00F15346">
            <w:pPr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lt-LT" w:eastAsia="en-US" w:bidi="ar-SA"/>
              </w:rPr>
              <w:t>Garantinė priežiūra ir atnaujinimai</w:t>
            </w:r>
          </w:p>
        </w:tc>
        <w:tc>
          <w:tcPr>
            <w:tcW w:w="5922" w:type="dxa"/>
          </w:tcPr>
          <w:p w14:paraId="5F10CED4" w14:textId="77777777" w:rsidR="0061292E" w:rsidRDefault="0061292E" w:rsidP="00F15346">
            <w:pPr>
              <w:spacing w:after="120"/>
              <w:rPr>
                <w:rFonts w:asciiTheme="majorBidi" w:eastAsiaTheme="minorHAnsi" w:hAnsiTheme="majorBidi" w:cstheme="majorBidi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Theme="majorBidi" w:eastAsiaTheme="minorHAnsi" w:hAnsiTheme="majorBidi" w:cstheme="majorBidi"/>
                <w:kern w:val="0"/>
                <w:sz w:val="22"/>
                <w:szCs w:val="22"/>
                <w:lang w:val="lt-LT" w:eastAsia="en-US" w:bidi="ar-SA"/>
              </w:rPr>
              <w:t>Tiekėjas turi užtikrinti nep</w:t>
            </w:r>
            <w:r>
              <w:rPr>
                <w:rFonts w:asciiTheme="majorBidi" w:eastAsiaTheme="minorHAnsi" w:hAnsiTheme="majorBidi" w:cstheme="majorBidi"/>
                <w:kern w:val="0"/>
                <w:sz w:val="22"/>
                <w:szCs w:val="22"/>
                <w:lang w:val="lt-LT" w:eastAsia="en-US" w:bidi="ar-SA"/>
              </w:rPr>
              <w:t xml:space="preserve">ertraukiamą programinės įrangos </w:t>
            </w:r>
            <w:r w:rsidRPr="00F15346">
              <w:rPr>
                <w:rFonts w:asciiTheme="majorBidi" w:eastAsiaTheme="minorHAnsi" w:hAnsiTheme="majorBidi" w:cstheme="majorBidi"/>
                <w:kern w:val="0"/>
                <w:sz w:val="22"/>
                <w:szCs w:val="22"/>
                <w:lang w:val="lt-LT" w:eastAsia="en-US" w:bidi="ar-SA"/>
              </w:rPr>
              <w:t>funkcionavimą licencijos galiojimo laikotarpiu nuo licencijos priėmimo-</w:t>
            </w:r>
          </w:p>
          <w:p w14:paraId="052EF7F8" w14:textId="7E5A08CE" w:rsidR="0061292E" w:rsidRPr="00F15346" w:rsidRDefault="0061292E" w:rsidP="00F15346">
            <w:pPr>
              <w:spacing w:after="120"/>
              <w:rPr>
                <w:rFonts w:asciiTheme="majorBidi" w:eastAsiaTheme="minorHAnsi" w:hAnsiTheme="majorBidi" w:cstheme="majorBidi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Theme="majorBidi" w:eastAsiaTheme="minorHAnsi" w:hAnsiTheme="majorBidi" w:cstheme="majorBidi"/>
                <w:kern w:val="0"/>
                <w:sz w:val="22"/>
                <w:szCs w:val="22"/>
                <w:lang w:val="lt-LT" w:eastAsia="en-US" w:bidi="ar-SA"/>
              </w:rPr>
              <w:t>perdavimo akto pasirašymo.</w:t>
            </w:r>
          </w:p>
        </w:tc>
        <w:tc>
          <w:tcPr>
            <w:tcW w:w="1134" w:type="dxa"/>
          </w:tcPr>
          <w:p w14:paraId="6CE4DD63" w14:textId="77777777" w:rsidR="0061292E" w:rsidRPr="00F15346" w:rsidRDefault="0061292E" w:rsidP="00F15346">
            <w:pPr>
              <w:spacing w:after="120"/>
              <w:rPr>
                <w:rFonts w:asciiTheme="majorBidi" w:eastAsiaTheme="minorHAnsi" w:hAnsiTheme="majorBidi" w:cstheme="majorBid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61292E" w:rsidRPr="00F15346" w14:paraId="51094953" w14:textId="230E2264" w:rsidTr="0061292E">
        <w:tc>
          <w:tcPr>
            <w:tcW w:w="773" w:type="dxa"/>
          </w:tcPr>
          <w:p w14:paraId="68EA3A7D" w14:textId="77777777" w:rsidR="0061292E" w:rsidRPr="00F15346" w:rsidRDefault="0061292E" w:rsidP="00F15346">
            <w:pPr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4.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AAD8" w14:textId="77777777" w:rsidR="0061292E" w:rsidRPr="00F15346" w:rsidRDefault="0061292E" w:rsidP="00F15346">
            <w:pPr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Reikalavimai mokymams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0DB7" w14:textId="77777777" w:rsidR="0061292E" w:rsidRPr="00F15346" w:rsidRDefault="0061292E" w:rsidP="00F15346">
            <w:pPr>
              <w:widowControl w:val="0"/>
              <w:tabs>
                <w:tab w:val="left" w:pos="395"/>
              </w:tabs>
              <w:spacing w:after="120"/>
              <w:ind w:right="113"/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Tiekėjas privalo organizuoti ir pravesti ne mažiau 2 dienų (bendrai ne mažiau 16 akad. val.) mokymus ne mažiau 5 dalyviams. Mokymų metu turi būti pristatytos ir paaiškintos pagrindinės programinės įrangos funkcijos, darbo su programa principai ir ypatumai. </w:t>
            </w:r>
          </w:p>
          <w:p w14:paraId="12A7F907" w14:textId="77777777" w:rsidR="0061292E" w:rsidRPr="00F15346" w:rsidRDefault="0061292E" w:rsidP="00F15346">
            <w:pPr>
              <w:widowControl w:val="0"/>
              <w:tabs>
                <w:tab w:val="left" w:pos="395"/>
              </w:tabs>
              <w:spacing w:after="120"/>
              <w:ind w:right="113"/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Mokymai turi būti vykdomi nuotoliniu būdu lietuvių ir/arba anglų kalba.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20E1" w14:textId="77777777" w:rsidR="0061292E" w:rsidRPr="00F15346" w:rsidRDefault="0061292E" w:rsidP="00F15346">
            <w:pPr>
              <w:widowControl w:val="0"/>
              <w:tabs>
                <w:tab w:val="left" w:pos="395"/>
              </w:tabs>
              <w:spacing w:after="120"/>
              <w:ind w:right="113"/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61292E" w:rsidRPr="00F15346" w14:paraId="18788A48" w14:textId="66DC4DAC" w:rsidTr="0061292E">
        <w:tc>
          <w:tcPr>
            <w:tcW w:w="773" w:type="dxa"/>
          </w:tcPr>
          <w:p w14:paraId="6C4ECF70" w14:textId="77777777" w:rsidR="0061292E" w:rsidRPr="00F15346" w:rsidRDefault="0061292E" w:rsidP="00F15346">
            <w:pPr>
              <w:rPr>
                <w:rFonts w:asciiTheme="majorBidi" w:eastAsiaTheme="minorHAnsi" w:hAnsiTheme="majorBidi" w:cstheme="majorBidi"/>
                <w:kern w:val="0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5.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F72C" w14:textId="77777777" w:rsidR="0061292E" w:rsidRPr="00F15346" w:rsidRDefault="0061292E" w:rsidP="00F15346">
            <w:pPr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Aplinkosauginiai reikalavimai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13A7" w14:textId="77777777" w:rsidR="0061292E" w:rsidRPr="00F15346" w:rsidRDefault="0061292E" w:rsidP="00F15346">
            <w:pPr>
              <w:widowControl w:val="0"/>
              <w:tabs>
                <w:tab w:val="left" w:pos="395"/>
              </w:tabs>
              <w:ind w:right="113"/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Aplinkosauginiai reikalavimai nustatyti, vadovaujantis Aplinkos apsaugos kriterijų taikymo, vykdant žaliuosius pirkimus, tvarkos aprašo, patvirtinto Lietuvos Respublikos aplinkos ministro 2011 m. birželio 28 d. įsakymu Nr. D1-508 (Lietuvos Respublikos aplinkos ministro 2024 m. sausio 16 d. įsakymo Nr. D1-17 redakcija) (toliau Tvarkos aprašas).</w:t>
            </w:r>
          </w:p>
          <w:p w14:paraId="1C9197C8" w14:textId="77777777" w:rsidR="0061292E" w:rsidRPr="00F15346" w:rsidRDefault="0061292E" w:rsidP="00F15346">
            <w:pPr>
              <w:spacing w:after="120"/>
              <w:rPr>
                <w:rFonts w:asciiTheme="majorBidi" w:eastAsiaTheme="minorHAnsi" w:hAnsiTheme="majorBidi" w:cstheme="majorBidi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shd w:val="clear" w:color="auto" w:fill="FFFFFF"/>
                <w:lang w:val="lt-LT" w:eastAsia="en-US" w:bidi="ar-SA"/>
              </w:rPr>
              <w:t>Aplinkos apsaugos kriterijai nustatyti pagal Tvarkos aprašo 4.4.3 papunktį (perkama tik nematerialaus pobūdžio (intelektinė) ar kitokia paslauga, nesusijusi su materialaus objekto sukūrimu).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BC17" w14:textId="77777777" w:rsidR="0061292E" w:rsidRPr="00F15346" w:rsidRDefault="0061292E" w:rsidP="00F15346">
            <w:pPr>
              <w:widowControl w:val="0"/>
              <w:tabs>
                <w:tab w:val="left" w:pos="395"/>
              </w:tabs>
              <w:ind w:right="113"/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61292E" w:rsidRPr="00F15346" w14:paraId="54BCA4F4" w14:textId="13E89AD2" w:rsidTr="0061292E">
        <w:tc>
          <w:tcPr>
            <w:tcW w:w="773" w:type="dxa"/>
          </w:tcPr>
          <w:p w14:paraId="635DAF97" w14:textId="77777777" w:rsidR="0061292E" w:rsidRPr="00F15346" w:rsidRDefault="0061292E" w:rsidP="00F15346">
            <w:pPr>
              <w:rPr>
                <w:rFonts w:asciiTheme="majorBidi" w:eastAsiaTheme="minorHAnsi" w:hAnsiTheme="majorBidi" w:cstheme="majorBidi"/>
                <w:kern w:val="0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6.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261FFB" w14:textId="77777777" w:rsidR="0061292E" w:rsidRPr="00F15346" w:rsidRDefault="0061292E" w:rsidP="00F15346">
            <w:pPr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Kiti reikalavimai</w:t>
            </w:r>
          </w:p>
        </w:tc>
        <w:tc>
          <w:tcPr>
            <w:tcW w:w="5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A597C7" w14:textId="77777777" w:rsidR="0061292E" w:rsidRPr="00F15346" w:rsidRDefault="0061292E" w:rsidP="00F15346">
            <w:pPr>
              <w:spacing w:after="120"/>
              <w:rPr>
                <w:rFonts w:asciiTheme="majorBidi" w:eastAsiaTheme="minorHAnsi" w:hAnsiTheme="majorBidi" w:cstheme="majorBidi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bCs/>
                <w:kern w:val="0"/>
                <w:sz w:val="22"/>
                <w:szCs w:val="22"/>
                <w:lang w:val="lt-LT" w:eastAsia="en-US" w:bidi="ar-SA"/>
              </w:rPr>
              <w:t xml:space="preserve">Siūlomos įrangos </w:t>
            </w: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gamintojas negali būti iš šalių sąrašo, patvirtinto LR Vyriausybės 2022-03-30 Nutarimu Nr. 280.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88234F" w14:textId="77777777" w:rsidR="0061292E" w:rsidRPr="00F15346" w:rsidRDefault="0061292E" w:rsidP="00F15346">
            <w:pPr>
              <w:spacing w:after="120"/>
              <w:rPr>
                <w:rFonts w:ascii="Times New Roman" w:eastAsiaTheme="minorHAns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54F3A921" w14:textId="10DFC11C" w:rsidR="00744BED" w:rsidRPr="00F15346" w:rsidRDefault="0047361D" w:rsidP="00F15346">
      <w:r>
        <w:t>*</w:t>
      </w:r>
      <w:r w:rsidRPr="0047361D">
        <w:rPr>
          <w:rFonts w:ascii="Times New Roman" w:eastAsiaTheme="minorHAnsi" w:hAnsi="Times New Roman" w:cs="Times New Roman"/>
          <w:i/>
          <w:kern w:val="0"/>
          <w:sz w:val="22"/>
          <w:szCs w:val="22"/>
          <w:lang w:eastAsia="en-US" w:bidi="ar-SA"/>
        </w:rPr>
        <w:t>Pirkimo objekto ir teikiamų dokumentų lygiavertiškumą turi įrodyti tiekėjas</w:t>
      </w:r>
      <w:r>
        <w:rPr>
          <w:rFonts w:ascii="Times New Roman" w:eastAsiaTheme="minorHAnsi" w:hAnsi="Times New Roman" w:cs="Times New Roman"/>
          <w:i/>
          <w:kern w:val="0"/>
          <w:sz w:val="22"/>
          <w:szCs w:val="22"/>
          <w:lang w:eastAsia="en-US" w:bidi="ar-SA"/>
        </w:rPr>
        <w:t>.</w:t>
      </w:r>
    </w:p>
    <w:p w14:paraId="18BF5052" w14:textId="3557B3A4" w:rsidR="00F15346" w:rsidRDefault="00F15346" w:rsidP="00F15346"/>
    <w:p w14:paraId="0093765F" w14:textId="0C787C36" w:rsidR="00057F4C" w:rsidRPr="00057F4C" w:rsidRDefault="00057F4C" w:rsidP="00057F4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</w:pPr>
      <w:r w:rsidRPr="00057F4C">
        <w:rPr>
          <w:rFonts w:ascii="Times New Roman" w:hAnsi="Times New Roman" w:cs="Times New Roman"/>
          <w:b/>
        </w:rPr>
        <w:t xml:space="preserve">II dalis </w:t>
      </w:r>
      <w:r w:rsidRPr="00057F4C"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  <w:t xml:space="preserve">Informacijos rinkimo ir </w:t>
      </w:r>
      <w:r w:rsidRPr="00057F4C"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  <w:t>analizės programinė į</w:t>
      </w:r>
      <w:r w:rsidRPr="00057F4C"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  <w:t xml:space="preserve">ranga </w:t>
      </w:r>
      <w:r w:rsidRPr="00057F4C"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  <w:t>(</w:t>
      </w:r>
      <w:proofErr w:type="spellStart"/>
      <w:r w:rsidRPr="00057F4C"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  <w:t>Epieos</w:t>
      </w:r>
      <w:proofErr w:type="spellEnd"/>
      <w:r w:rsidRPr="00057F4C"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  <w:t xml:space="preserve"> arba lygiavertė)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0"/>
        <w:gridCol w:w="1946"/>
        <w:gridCol w:w="5784"/>
        <w:gridCol w:w="1134"/>
      </w:tblGrid>
      <w:tr w:rsidR="0061292E" w:rsidRPr="00F15346" w14:paraId="2EC99918" w14:textId="2160A5ED" w:rsidTr="0061292E">
        <w:tc>
          <w:tcPr>
            <w:tcW w:w="770" w:type="dxa"/>
            <w:shd w:val="clear" w:color="auto" w:fill="D9D9D9" w:themeFill="background1" w:themeFillShade="D9"/>
          </w:tcPr>
          <w:p w14:paraId="45664972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  <w:t>Eilės Nr.</w:t>
            </w:r>
          </w:p>
        </w:tc>
        <w:tc>
          <w:tcPr>
            <w:tcW w:w="1946" w:type="dxa"/>
            <w:shd w:val="clear" w:color="auto" w:fill="D9D9D9" w:themeFill="background1" w:themeFillShade="D9"/>
          </w:tcPr>
          <w:p w14:paraId="001C692B" w14:textId="77777777" w:rsidR="0061292E" w:rsidRPr="00F15346" w:rsidRDefault="0061292E" w:rsidP="00F15346">
            <w:pPr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  <w:t>Charakteristikos pavadinimas</w:t>
            </w:r>
          </w:p>
        </w:tc>
        <w:tc>
          <w:tcPr>
            <w:tcW w:w="5784" w:type="dxa"/>
            <w:shd w:val="clear" w:color="auto" w:fill="D9D9D9" w:themeFill="background1" w:themeFillShade="D9"/>
          </w:tcPr>
          <w:p w14:paraId="5CFB466D" w14:textId="77777777" w:rsidR="0061292E" w:rsidRPr="00F15346" w:rsidRDefault="0061292E" w:rsidP="00F15346">
            <w:pPr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  <w:t>Reikalaujama charakteristika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3CA47AC" w14:textId="6C092DB1" w:rsidR="0061292E" w:rsidRPr="00F15346" w:rsidRDefault="0061292E" w:rsidP="00F15346">
            <w:pPr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Pastabos</w:t>
            </w:r>
            <w:proofErr w:type="spellEnd"/>
          </w:p>
        </w:tc>
      </w:tr>
      <w:tr w:rsidR="0061292E" w:rsidRPr="00F15346" w14:paraId="501142AA" w14:textId="522C4B67" w:rsidTr="0061292E">
        <w:tc>
          <w:tcPr>
            <w:tcW w:w="770" w:type="dxa"/>
          </w:tcPr>
          <w:p w14:paraId="0702F940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</w:t>
            </w:r>
          </w:p>
        </w:tc>
        <w:tc>
          <w:tcPr>
            <w:tcW w:w="1946" w:type="dxa"/>
          </w:tcPr>
          <w:p w14:paraId="1820C353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GB" w:bidi="ar-SA"/>
              </w:rPr>
              <w:t>Programinės įrangos skaičius</w:t>
            </w:r>
          </w:p>
        </w:tc>
        <w:tc>
          <w:tcPr>
            <w:tcW w:w="5784" w:type="dxa"/>
          </w:tcPr>
          <w:p w14:paraId="3BF20E09" w14:textId="7300081D" w:rsidR="0061292E" w:rsidRPr="00F15346" w:rsidRDefault="0061292E" w:rsidP="00F15346">
            <w:pPr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proofErr w:type="spellStart"/>
            <w:r w:rsidRPr="00F15346"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kern w:val="0"/>
                <w:lang w:val="lt-LT" w:eastAsia="en-US" w:bidi="ar-SA"/>
              </w:rPr>
              <w:t>Epieos</w:t>
            </w:r>
            <w:proofErr w:type="spellEnd"/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 arba lygiavertė</w:t>
            </w:r>
            <w:r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*</w:t>
            </w: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, 1 vnt.</w:t>
            </w:r>
          </w:p>
        </w:tc>
        <w:tc>
          <w:tcPr>
            <w:tcW w:w="1134" w:type="dxa"/>
          </w:tcPr>
          <w:p w14:paraId="085597EC" w14:textId="77777777" w:rsidR="0061292E" w:rsidRPr="00F15346" w:rsidRDefault="0061292E" w:rsidP="00F15346">
            <w:pPr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kern w:val="0"/>
                <w:lang w:eastAsia="en-US" w:bidi="ar-SA"/>
              </w:rPr>
            </w:pPr>
          </w:p>
        </w:tc>
      </w:tr>
      <w:tr w:rsidR="0061292E" w:rsidRPr="00F15346" w14:paraId="0A52E8D4" w14:textId="56B1E29E" w:rsidTr="0061292E">
        <w:tc>
          <w:tcPr>
            <w:tcW w:w="770" w:type="dxa"/>
            <w:vMerge w:val="restart"/>
          </w:tcPr>
          <w:p w14:paraId="413753F7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2.</w:t>
            </w:r>
          </w:p>
        </w:tc>
        <w:tc>
          <w:tcPr>
            <w:tcW w:w="1946" w:type="dxa"/>
            <w:vMerge w:val="restart"/>
          </w:tcPr>
          <w:p w14:paraId="029D0D44" w14:textId="77777777" w:rsidR="0061292E" w:rsidRPr="00F15346" w:rsidRDefault="0061292E" w:rsidP="00F15346">
            <w:pPr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GB" w:bidi="ar-SA"/>
              </w:rPr>
              <w:t>Programinės įrangos galimybės</w:t>
            </w:r>
          </w:p>
        </w:tc>
        <w:tc>
          <w:tcPr>
            <w:tcW w:w="5784" w:type="dxa"/>
          </w:tcPr>
          <w:p w14:paraId="5E1297B5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1. </w:t>
            </w:r>
            <w:r w:rsidRPr="00F153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GB" w:bidi="ar-SA"/>
              </w:rPr>
              <w:t xml:space="preserve">Turi būti suderinama su naršyklėmis Firefox, MS </w:t>
            </w:r>
            <w:proofErr w:type="spellStart"/>
            <w:r w:rsidRPr="00F153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GB" w:bidi="ar-SA"/>
              </w:rPr>
              <w:t>Edge</w:t>
            </w:r>
            <w:proofErr w:type="spellEnd"/>
            <w:r w:rsidRPr="00F153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GB" w:bidi="ar-SA"/>
              </w:rPr>
              <w:t xml:space="preserve">, Chrome, </w:t>
            </w:r>
            <w:proofErr w:type="spellStart"/>
            <w:r w:rsidRPr="00F153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GB" w:bidi="ar-SA"/>
              </w:rPr>
              <w:t>Safari</w:t>
            </w:r>
            <w:proofErr w:type="spellEnd"/>
            <w:r w:rsidRPr="00F153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GB" w:bidi="ar-SA"/>
              </w:rPr>
              <w:t>, Opera.</w:t>
            </w:r>
          </w:p>
        </w:tc>
        <w:tc>
          <w:tcPr>
            <w:tcW w:w="1134" w:type="dxa"/>
          </w:tcPr>
          <w:p w14:paraId="014FB5D9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61292E" w:rsidRPr="00F15346" w14:paraId="1E689AF7" w14:textId="69FFEF44" w:rsidTr="0061292E">
        <w:tc>
          <w:tcPr>
            <w:tcW w:w="770" w:type="dxa"/>
            <w:vMerge/>
          </w:tcPr>
          <w:p w14:paraId="29BAD0FA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</w:p>
        </w:tc>
        <w:tc>
          <w:tcPr>
            <w:tcW w:w="1946" w:type="dxa"/>
            <w:vMerge/>
          </w:tcPr>
          <w:p w14:paraId="7EEFD6FD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</w:p>
        </w:tc>
        <w:tc>
          <w:tcPr>
            <w:tcW w:w="5784" w:type="dxa"/>
            <w:tcBorders>
              <w:right w:val="single" w:sz="4" w:space="0" w:color="000000" w:themeColor="text1"/>
            </w:tcBorders>
          </w:tcPr>
          <w:p w14:paraId="5217B5C0" w14:textId="77777777" w:rsidR="0061292E" w:rsidRPr="00F15346" w:rsidRDefault="0061292E" w:rsidP="00F15346">
            <w:pPr>
              <w:spacing w:line="300" w:lineRule="atLeas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US" w:bidi="ar-SA"/>
              </w:rPr>
              <w:t>2. Turi būti galimybė atlikti paiešką viešuose interneto šaltiniuose pagal:</w:t>
            </w:r>
          </w:p>
          <w:p w14:paraId="72A45ABE" w14:textId="77777777" w:rsidR="0061292E" w:rsidRPr="00F15346" w:rsidRDefault="0061292E" w:rsidP="00F15346">
            <w:pPr>
              <w:numPr>
                <w:ilvl w:val="0"/>
                <w:numId w:val="3"/>
              </w:numPr>
              <w:spacing w:line="300" w:lineRule="atLeas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US" w:bidi="ar-SA"/>
              </w:rPr>
              <w:t>elektroninio pašto adresą;</w:t>
            </w:r>
          </w:p>
          <w:p w14:paraId="263A1C9E" w14:textId="77777777" w:rsidR="0061292E" w:rsidRPr="00F15346" w:rsidRDefault="0061292E" w:rsidP="00F15346">
            <w:pPr>
              <w:numPr>
                <w:ilvl w:val="0"/>
                <w:numId w:val="3"/>
              </w:numPr>
              <w:spacing w:after="120" w:line="300" w:lineRule="atLeast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US" w:bidi="ar-SA"/>
              </w:rPr>
              <w:t>telefono numerį.</w:t>
            </w:r>
          </w:p>
        </w:tc>
        <w:tc>
          <w:tcPr>
            <w:tcW w:w="1134" w:type="dxa"/>
            <w:tcBorders>
              <w:right w:val="single" w:sz="4" w:space="0" w:color="000000" w:themeColor="text1"/>
            </w:tcBorders>
          </w:tcPr>
          <w:p w14:paraId="1A8AEEB4" w14:textId="77777777" w:rsidR="0061292E" w:rsidRPr="00F15346" w:rsidRDefault="0061292E" w:rsidP="00F15346">
            <w:pPr>
              <w:spacing w:line="300" w:lineRule="atLeas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61292E" w:rsidRPr="00F15346" w14:paraId="6BAEFDA4" w14:textId="5EF43D04" w:rsidTr="0061292E">
        <w:tc>
          <w:tcPr>
            <w:tcW w:w="770" w:type="dxa"/>
            <w:vMerge/>
          </w:tcPr>
          <w:p w14:paraId="2E0DA6BC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</w:p>
        </w:tc>
        <w:tc>
          <w:tcPr>
            <w:tcW w:w="1946" w:type="dxa"/>
            <w:vMerge/>
          </w:tcPr>
          <w:p w14:paraId="5CC24C31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</w:p>
        </w:tc>
        <w:tc>
          <w:tcPr>
            <w:tcW w:w="5784" w:type="dxa"/>
            <w:tcBorders>
              <w:right w:val="single" w:sz="4" w:space="0" w:color="000000" w:themeColor="text1"/>
            </w:tcBorders>
          </w:tcPr>
          <w:p w14:paraId="24F1E219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3. Duomenys turi būti pat</w:t>
            </w:r>
            <w:bookmarkStart w:id="0" w:name="_GoBack"/>
            <w:bookmarkEnd w:id="0"/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eikiami iš daugiau nei 500 šaltinių, įskaitant tokius kaip:</w:t>
            </w:r>
          </w:p>
          <w:p w14:paraId="6E7B9AF1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- </w:t>
            </w:r>
            <w:proofErr w:type="spellStart"/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Haveibeenpwned</w:t>
            </w:r>
            <w:proofErr w:type="spellEnd"/>
          </w:p>
          <w:p w14:paraId="16F402CB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- HLR </w:t>
            </w:r>
            <w:proofErr w:type="spellStart"/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Lookup</w:t>
            </w:r>
            <w:proofErr w:type="spellEnd"/>
          </w:p>
          <w:p w14:paraId="2A1BE74F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- </w:t>
            </w:r>
            <w:proofErr w:type="spellStart"/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Truecaller</w:t>
            </w:r>
            <w:proofErr w:type="spellEnd"/>
          </w:p>
          <w:p w14:paraId="0B859912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- </w:t>
            </w:r>
            <w:proofErr w:type="spellStart"/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CallApp</w:t>
            </w:r>
            <w:proofErr w:type="spellEnd"/>
          </w:p>
          <w:p w14:paraId="1F4DF313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- </w:t>
            </w:r>
            <w:proofErr w:type="spellStart"/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Pipl</w:t>
            </w:r>
            <w:proofErr w:type="spellEnd"/>
          </w:p>
          <w:p w14:paraId="0C72E7D6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- VK</w:t>
            </w:r>
          </w:p>
          <w:p w14:paraId="2F34BE9B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- OK</w:t>
            </w:r>
          </w:p>
          <w:p w14:paraId="15810D30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- </w:t>
            </w:r>
            <w:proofErr w:type="spellStart"/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Telegram</w:t>
            </w:r>
            <w:proofErr w:type="spellEnd"/>
          </w:p>
          <w:p w14:paraId="12E3ABDA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- </w:t>
            </w:r>
            <w:proofErr w:type="spellStart"/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Signal</w:t>
            </w:r>
            <w:proofErr w:type="spellEnd"/>
          </w:p>
          <w:p w14:paraId="434493A0" w14:textId="77777777" w:rsidR="0061292E" w:rsidRPr="00F15346" w:rsidRDefault="0061292E" w:rsidP="00F15346">
            <w:pPr>
              <w:tabs>
                <w:tab w:val="center" w:pos="1498"/>
              </w:tabs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- </w:t>
            </w:r>
            <w:proofErr w:type="spellStart"/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Yandex</w:t>
            </w:r>
            <w:proofErr w:type="spellEnd"/>
          </w:p>
          <w:p w14:paraId="38E03B44" w14:textId="77777777" w:rsidR="0061292E" w:rsidRPr="00F15346" w:rsidRDefault="0061292E" w:rsidP="00F15346">
            <w:pPr>
              <w:tabs>
                <w:tab w:val="center" w:pos="1498"/>
              </w:tabs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- Mail.ru</w:t>
            </w: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ab/>
            </w:r>
          </w:p>
          <w:p w14:paraId="0D4E66E3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- Apple</w:t>
            </w:r>
          </w:p>
          <w:p w14:paraId="13CDDB60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- Facebook</w:t>
            </w:r>
          </w:p>
          <w:p w14:paraId="5B659B3C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- </w:t>
            </w:r>
            <w:proofErr w:type="spellStart"/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Whatsapp</w:t>
            </w:r>
            <w:proofErr w:type="spellEnd"/>
          </w:p>
          <w:p w14:paraId="640130D3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- X</w:t>
            </w:r>
          </w:p>
          <w:p w14:paraId="1CBAFB4D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- Microsoft</w:t>
            </w:r>
          </w:p>
          <w:p w14:paraId="4C477AFC" w14:textId="77777777" w:rsidR="0061292E" w:rsidRPr="00F15346" w:rsidRDefault="0061292E" w:rsidP="00F15346">
            <w:pPr>
              <w:tabs>
                <w:tab w:val="center" w:pos="1566"/>
              </w:tabs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- Google</w:t>
            </w:r>
          </w:p>
          <w:p w14:paraId="6D45F05C" w14:textId="77777777" w:rsidR="0061292E" w:rsidRPr="00F15346" w:rsidRDefault="0061292E" w:rsidP="00F15346">
            <w:pPr>
              <w:tabs>
                <w:tab w:val="center" w:pos="1566"/>
              </w:tabs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- </w:t>
            </w:r>
            <w:proofErr w:type="spellStart"/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Snapchat</w:t>
            </w:r>
            <w:proofErr w:type="spellEnd"/>
          </w:p>
          <w:p w14:paraId="2F22D8F5" w14:textId="77777777" w:rsidR="0061292E" w:rsidRPr="00F15346" w:rsidRDefault="0061292E" w:rsidP="00F15346">
            <w:pPr>
              <w:tabs>
                <w:tab w:val="center" w:pos="1566"/>
              </w:tabs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- </w:t>
            </w:r>
            <w:proofErr w:type="spellStart"/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Tiktok</w:t>
            </w:r>
            <w:proofErr w:type="spellEnd"/>
          </w:p>
          <w:p w14:paraId="66E9F941" w14:textId="77777777" w:rsidR="0061292E" w:rsidRPr="00F15346" w:rsidRDefault="0061292E" w:rsidP="00F15346">
            <w:pPr>
              <w:tabs>
                <w:tab w:val="center" w:pos="1566"/>
              </w:tabs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- </w:t>
            </w:r>
            <w:proofErr w:type="spellStart"/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Roblox</w:t>
            </w:r>
            <w:proofErr w:type="spellEnd"/>
          </w:p>
          <w:p w14:paraId="390C330B" w14:textId="77777777" w:rsidR="0061292E" w:rsidRPr="00F15346" w:rsidRDefault="0061292E" w:rsidP="00F15346">
            <w:pPr>
              <w:tabs>
                <w:tab w:val="center" w:pos="1566"/>
              </w:tabs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- </w:t>
            </w:r>
            <w:proofErr w:type="spellStart"/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Paypal</w:t>
            </w:r>
            <w:proofErr w:type="spellEnd"/>
          </w:p>
          <w:p w14:paraId="240EED36" w14:textId="77777777" w:rsidR="0061292E" w:rsidRPr="00F15346" w:rsidRDefault="0061292E" w:rsidP="00F15346">
            <w:pPr>
              <w:tabs>
                <w:tab w:val="center" w:pos="1566"/>
              </w:tabs>
              <w:spacing w:after="120"/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- </w:t>
            </w:r>
            <w:proofErr w:type="spellStart"/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Protonmail</w:t>
            </w:r>
            <w:proofErr w:type="spellEnd"/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ab/>
            </w:r>
          </w:p>
        </w:tc>
        <w:tc>
          <w:tcPr>
            <w:tcW w:w="1134" w:type="dxa"/>
            <w:tcBorders>
              <w:right w:val="single" w:sz="4" w:space="0" w:color="000000" w:themeColor="text1"/>
            </w:tcBorders>
          </w:tcPr>
          <w:p w14:paraId="5AD5A32F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61292E" w:rsidRPr="00F15346" w14:paraId="79677902" w14:textId="50E22F05" w:rsidTr="0061292E">
        <w:tc>
          <w:tcPr>
            <w:tcW w:w="770" w:type="dxa"/>
            <w:vMerge/>
          </w:tcPr>
          <w:p w14:paraId="3345724B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</w:p>
        </w:tc>
        <w:tc>
          <w:tcPr>
            <w:tcW w:w="1946" w:type="dxa"/>
            <w:vMerge/>
          </w:tcPr>
          <w:p w14:paraId="0A3E6883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</w:p>
        </w:tc>
        <w:tc>
          <w:tcPr>
            <w:tcW w:w="5784" w:type="dxa"/>
            <w:tcBorders>
              <w:right w:val="single" w:sz="4" w:space="0" w:color="000000" w:themeColor="text1"/>
            </w:tcBorders>
          </w:tcPr>
          <w:p w14:paraId="173C2516" w14:textId="77777777" w:rsidR="0061292E" w:rsidRPr="00F15346" w:rsidRDefault="0061292E" w:rsidP="00F15346">
            <w:pPr>
              <w:spacing w:after="120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4. Programinės įrangos pateikta informacija turi turėti galimybę būti konvertuojama į JSON bei CSV formatus.</w:t>
            </w:r>
          </w:p>
        </w:tc>
        <w:tc>
          <w:tcPr>
            <w:tcW w:w="1134" w:type="dxa"/>
            <w:tcBorders>
              <w:right w:val="single" w:sz="4" w:space="0" w:color="000000" w:themeColor="text1"/>
            </w:tcBorders>
          </w:tcPr>
          <w:p w14:paraId="1032B0B4" w14:textId="77777777" w:rsidR="0061292E" w:rsidRPr="00F15346" w:rsidRDefault="0061292E" w:rsidP="00F15346">
            <w:pPr>
              <w:spacing w:after="120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61292E" w:rsidRPr="00F15346" w14:paraId="5AA750BB" w14:textId="03B1B3B9" w:rsidTr="0061292E">
        <w:tc>
          <w:tcPr>
            <w:tcW w:w="770" w:type="dxa"/>
            <w:vMerge/>
          </w:tcPr>
          <w:p w14:paraId="119A2E87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</w:p>
        </w:tc>
        <w:tc>
          <w:tcPr>
            <w:tcW w:w="1946" w:type="dxa"/>
            <w:vMerge/>
          </w:tcPr>
          <w:p w14:paraId="62F79AA0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</w:p>
        </w:tc>
        <w:tc>
          <w:tcPr>
            <w:tcW w:w="5784" w:type="dxa"/>
            <w:tcBorders>
              <w:right w:val="single" w:sz="4" w:space="0" w:color="000000" w:themeColor="text1"/>
            </w:tcBorders>
          </w:tcPr>
          <w:p w14:paraId="4FF3E50F" w14:textId="77777777" w:rsidR="0061292E" w:rsidRPr="00F15346" w:rsidRDefault="0061292E" w:rsidP="00F15346">
            <w:pPr>
              <w:spacing w:after="120"/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5. Prie programinės įrangos turi būti užtikrinta galimybė prisijungti tiek per TOR tinklą, tiek per VPN.</w:t>
            </w:r>
          </w:p>
        </w:tc>
        <w:tc>
          <w:tcPr>
            <w:tcW w:w="1134" w:type="dxa"/>
            <w:tcBorders>
              <w:right w:val="single" w:sz="4" w:space="0" w:color="000000" w:themeColor="text1"/>
            </w:tcBorders>
          </w:tcPr>
          <w:p w14:paraId="53487AE0" w14:textId="77777777" w:rsidR="0061292E" w:rsidRPr="00F15346" w:rsidRDefault="0061292E" w:rsidP="00F15346">
            <w:pPr>
              <w:spacing w:after="120"/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61292E" w:rsidRPr="00F15346" w14:paraId="0A141500" w14:textId="1E9EC5D5" w:rsidTr="0061292E">
        <w:tc>
          <w:tcPr>
            <w:tcW w:w="770" w:type="dxa"/>
            <w:vMerge/>
          </w:tcPr>
          <w:p w14:paraId="5FD0FF6E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</w:p>
        </w:tc>
        <w:tc>
          <w:tcPr>
            <w:tcW w:w="1946" w:type="dxa"/>
            <w:vMerge/>
          </w:tcPr>
          <w:p w14:paraId="6FE41592" w14:textId="77777777" w:rsidR="0061292E" w:rsidRPr="00F15346" w:rsidRDefault="0061292E" w:rsidP="00F1534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</w:p>
        </w:tc>
        <w:tc>
          <w:tcPr>
            <w:tcW w:w="5784" w:type="dxa"/>
            <w:tcBorders>
              <w:right w:val="single" w:sz="4" w:space="0" w:color="000000" w:themeColor="text1"/>
            </w:tcBorders>
          </w:tcPr>
          <w:p w14:paraId="1C1C707C" w14:textId="77777777" w:rsidR="0061292E" w:rsidRPr="00F15346" w:rsidRDefault="0061292E" w:rsidP="00F1534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6. Programinė įranga turi pateikti informaciją gautą tiesiogiai iš šaltinių, realiu laiku, o taip pat ir istorinius duomenis.</w:t>
            </w:r>
          </w:p>
        </w:tc>
        <w:tc>
          <w:tcPr>
            <w:tcW w:w="1134" w:type="dxa"/>
            <w:tcBorders>
              <w:right w:val="single" w:sz="4" w:space="0" w:color="000000" w:themeColor="text1"/>
            </w:tcBorders>
          </w:tcPr>
          <w:p w14:paraId="4C1849C8" w14:textId="77777777" w:rsidR="0061292E" w:rsidRPr="00F15346" w:rsidRDefault="0061292E" w:rsidP="00F1534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61292E" w:rsidRPr="00F15346" w14:paraId="1E1FCE51" w14:textId="5AD3497B" w:rsidTr="0061292E">
        <w:tc>
          <w:tcPr>
            <w:tcW w:w="770" w:type="dxa"/>
            <w:vMerge/>
          </w:tcPr>
          <w:p w14:paraId="3F764D35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</w:p>
        </w:tc>
        <w:tc>
          <w:tcPr>
            <w:tcW w:w="1946" w:type="dxa"/>
            <w:vMerge/>
          </w:tcPr>
          <w:p w14:paraId="387CCA8A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</w:p>
        </w:tc>
        <w:tc>
          <w:tcPr>
            <w:tcW w:w="5784" w:type="dxa"/>
            <w:tcBorders>
              <w:right w:val="single" w:sz="4" w:space="0" w:color="000000" w:themeColor="text1"/>
            </w:tcBorders>
          </w:tcPr>
          <w:p w14:paraId="2672D345" w14:textId="77777777" w:rsidR="0061292E" w:rsidRPr="00F15346" w:rsidRDefault="0061292E" w:rsidP="00F15346">
            <w:pPr>
              <w:spacing w:after="120"/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7. Programinė įranga turėtų turėti alternatyvą – galimybę naudotis API prieiga.</w:t>
            </w:r>
          </w:p>
        </w:tc>
        <w:tc>
          <w:tcPr>
            <w:tcW w:w="1134" w:type="dxa"/>
            <w:tcBorders>
              <w:right w:val="single" w:sz="4" w:space="0" w:color="000000" w:themeColor="text1"/>
            </w:tcBorders>
          </w:tcPr>
          <w:p w14:paraId="76B6ECFD" w14:textId="77777777" w:rsidR="0061292E" w:rsidRPr="00F15346" w:rsidRDefault="0061292E" w:rsidP="00F15346">
            <w:pPr>
              <w:spacing w:after="120"/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61292E" w:rsidRPr="00F15346" w14:paraId="68C63BDF" w14:textId="62AEA908" w:rsidTr="0061292E">
        <w:tc>
          <w:tcPr>
            <w:tcW w:w="770" w:type="dxa"/>
            <w:vMerge/>
            <w:vAlign w:val="center"/>
          </w:tcPr>
          <w:p w14:paraId="453AC182" w14:textId="77777777" w:rsidR="0061292E" w:rsidRPr="00F15346" w:rsidRDefault="0061292E" w:rsidP="00F15346">
            <w:pPr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</w:p>
        </w:tc>
        <w:tc>
          <w:tcPr>
            <w:tcW w:w="1946" w:type="dxa"/>
            <w:vMerge/>
          </w:tcPr>
          <w:p w14:paraId="7A1E6806" w14:textId="77777777" w:rsidR="0061292E" w:rsidRPr="00F15346" w:rsidRDefault="0061292E" w:rsidP="00F15346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</w:p>
        </w:tc>
        <w:tc>
          <w:tcPr>
            <w:tcW w:w="5784" w:type="dxa"/>
            <w:tcBorders>
              <w:right w:val="single" w:sz="4" w:space="0" w:color="000000" w:themeColor="text1"/>
            </w:tcBorders>
          </w:tcPr>
          <w:p w14:paraId="7B89992D" w14:textId="1D035188" w:rsidR="0061292E" w:rsidRPr="00F15346" w:rsidRDefault="0061292E" w:rsidP="00F15346">
            <w:pPr>
              <w:spacing w:after="120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8. </w:t>
            </w:r>
            <w:r w:rsidRPr="0046113D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Licencija suteikia teisę naudotis programine įranga 36 (trisdešimt šešis) mėnesius, nustatant 1 000 užklausų limitą kiekvieniems 12 (dvylikai) mėnesių.</w:t>
            </w:r>
          </w:p>
        </w:tc>
        <w:tc>
          <w:tcPr>
            <w:tcW w:w="1134" w:type="dxa"/>
            <w:tcBorders>
              <w:right w:val="single" w:sz="4" w:space="0" w:color="000000" w:themeColor="text1"/>
            </w:tcBorders>
          </w:tcPr>
          <w:p w14:paraId="61979350" w14:textId="77777777" w:rsidR="0061292E" w:rsidRPr="00F15346" w:rsidRDefault="0061292E" w:rsidP="00F15346">
            <w:pPr>
              <w:spacing w:after="120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61292E" w:rsidRPr="00F15346" w14:paraId="3ABEB77D" w14:textId="0EFB4420" w:rsidTr="0061292E">
        <w:tc>
          <w:tcPr>
            <w:tcW w:w="770" w:type="dxa"/>
          </w:tcPr>
          <w:p w14:paraId="17F3C2D7" w14:textId="77777777" w:rsidR="0061292E" w:rsidRPr="00F15346" w:rsidRDefault="0061292E" w:rsidP="00F15346">
            <w:pPr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3.</w:t>
            </w:r>
          </w:p>
        </w:tc>
        <w:tc>
          <w:tcPr>
            <w:tcW w:w="1946" w:type="dxa"/>
          </w:tcPr>
          <w:p w14:paraId="7D866A00" w14:textId="77777777" w:rsidR="0061292E" w:rsidRPr="00F15346" w:rsidRDefault="0061292E" w:rsidP="00F15346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US" w:bidi="ar-SA"/>
              </w:rPr>
              <w:t>Garantinė priežiūra ir atnaujinimai</w:t>
            </w:r>
          </w:p>
        </w:tc>
        <w:tc>
          <w:tcPr>
            <w:tcW w:w="5784" w:type="dxa"/>
          </w:tcPr>
          <w:p w14:paraId="289D6F2C" w14:textId="77777777" w:rsidR="0061292E" w:rsidRPr="00F15346" w:rsidRDefault="0061292E" w:rsidP="00F15346">
            <w:pPr>
              <w:spacing w:after="120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Tiekėjas turi užtikrinti nepertraukiamą p</w:t>
            </w:r>
            <w:r w:rsidRPr="00F1534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GB" w:bidi="ar-SA"/>
              </w:rPr>
              <w:t>rograminės įrangos</w:t>
            </w: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 funkcionavimą licencijos galiojimo laikotarpiu nuo licencijos priėmimo-perdavimo akto pasirašymo.</w:t>
            </w:r>
          </w:p>
        </w:tc>
        <w:tc>
          <w:tcPr>
            <w:tcW w:w="1134" w:type="dxa"/>
          </w:tcPr>
          <w:p w14:paraId="58712DDB" w14:textId="77777777" w:rsidR="0061292E" w:rsidRPr="00F15346" w:rsidRDefault="0061292E" w:rsidP="00F15346">
            <w:pPr>
              <w:spacing w:after="120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61292E" w:rsidRPr="00F15346" w14:paraId="5BD29AFF" w14:textId="08F9072C" w:rsidTr="0061292E">
        <w:tc>
          <w:tcPr>
            <w:tcW w:w="770" w:type="dxa"/>
          </w:tcPr>
          <w:p w14:paraId="4191FB58" w14:textId="77777777" w:rsidR="0061292E" w:rsidRPr="00F15346" w:rsidRDefault="0061292E" w:rsidP="00F15346">
            <w:pPr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4.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3D02" w14:textId="77777777" w:rsidR="0061292E" w:rsidRPr="00F15346" w:rsidRDefault="0061292E" w:rsidP="00F15346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Aplinkosauginiai reikalavimai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27A1" w14:textId="77777777" w:rsidR="0061292E" w:rsidRPr="00F15346" w:rsidRDefault="0061292E" w:rsidP="00F15346">
            <w:pPr>
              <w:widowControl w:val="0"/>
              <w:tabs>
                <w:tab w:val="left" w:pos="395"/>
              </w:tabs>
              <w:ind w:right="113"/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Aplinkosauginiai reikalavimai nustatyti, vadovaujantis Aplinkos apsaugos kriterijų taikymo, vykdant žaliuosius pirkimus, tvarkos aprašo, patvirtinto Lietuvos Respublikos aplinkos ministro 2011 m. birželio 28 d. įsakymu Nr. D1-508 (Lietuvos Respublikos aplinkos ministro 2024 m. sausio 16 d. įsakymo Nr. D1-17 redakcija) (toliau Tvarkos aprašas).</w:t>
            </w:r>
          </w:p>
          <w:p w14:paraId="074E2448" w14:textId="77777777" w:rsidR="0061292E" w:rsidRPr="00F15346" w:rsidRDefault="0061292E" w:rsidP="00F15346">
            <w:pPr>
              <w:spacing w:after="120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shd w:val="clear" w:color="auto" w:fill="FFFFFF"/>
                <w:lang w:val="lt-LT" w:eastAsia="en-US" w:bidi="ar-SA"/>
              </w:rPr>
              <w:t>Aplinkos apsaugos kriterijai nustatyti pagal Tvarkos aprašo 4.4.3 papunktį (perkama tik nematerialaus pobūdžio (intelektinė) ar kitokia paslauga, nesusijusi su materialaus objekto sukūrimu).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E9F1" w14:textId="77777777" w:rsidR="0061292E" w:rsidRPr="00F15346" w:rsidRDefault="0061292E" w:rsidP="00F15346">
            <w:pPr>
              <w:widowControl w:val="0"/>
              <w:tabs>
                <w:tab w:val="left" w:pos="395"/>
              </w:tabs>
              <w:ind w:right="113"/>
              <w:jc w:val="both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61292E" w:rsidRPr="00F15346" w14:paraId="419E8B15" w14:textId="6FDF9CE9" w:rsidTr="0061292E">
        <w:tc>
          <w:tcPr>
            <w:tcW w:w="770" w:type="dxa"/>
          </w:tcPr>
          <w:p w14:paraId="3991155C" w14:textId="77777777" w:rsidR="0061292E" w:rsidRPr="00F15346" w:rsidRDefault="0061292E" w:rsidP="00F15346">
            <w:pPr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5.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ED3368" w14:textId="77777777" w:rsidR="0061292E" w:rsidRPr="00F15346" w:rsidRDefault="0061292E" w:rsidP="00F15346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Kiti reikalavimai</w:t>
            </w:r>
          </w:p>
        </w:tc>
        <w:tc>
          <w:tcPr>
            <w:tcW w:w="5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D9CD1C" w14:textId="77777777" w:rsidR="0061292E" w:rsidRPr="00F15346" w:rsidRDefault="0061292E" w:rsidP="00F15346">
            <w:pPr>
              <w:spacing w:after="120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</w:pPr>
            <w:r w:rsidRPr="00F15346">
              <w:rPr>
                <w:rFonts w:ascii="Times New Roman" w:eastAsiaTheme="minorHAnsi" w:hAnsi="Times New Roman" w:cs="Times New Roman"/>
                <w:bCs/>
                <w:kern w:val="0"/>
                <w:sz w:val="22"/>
                <w:szCs w:val="22"/>
                <w:lang w:val="lt-LT" w:eastAsia="en-US" w:bidi="ar-SA"/>
              </w:rPr>
              <w:t xml:space="preserve">Siūlomos įrangos </w:t>
            </w:r>
            <w:r w:rsidRPr="00F15346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lt-LT" w:eastAsia="en-US" w:bidi="ar-SA"/>
              </w:rPr>
              <w:t>gamintojas negali būti iš šalių sąrašo, patvirtinto LR Vyriausybės 2022-03-30 Nutarimu Nr. 280.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939918" w14:textId="77777777" w:rsidR="0061292E" w:rsidRPr="00F15346" w:rsidRDefault="0061292E" w:rsidP="00F15346">
            <w:pPr>
              <w:spacing w:after="120"/>
              <w:rPr>
                <w:rFonts w:ascii="Times New Roman" w:eastAsiaTheme="minorHAns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062F6DAC" w14:textId="71B202BA" w:rsidR="00F15346" w:rsidRPr="00F15346" w:rsidRDefault="0047361D" w:rsidP="00F15346">
      <w:r>
        <w:rPr>
          <w:rFonts w:ascii="Times New Roman" w:eastAsiaTheme="minorHAnsi" w:hAnsi="Times New Roman" w:cs="Times New Roman"/>
          <w:i/>
          <w:kern w:val="0"/>
          <w:sz w:val="22"/>
          <w:szCs w:val="22"/>
          <w:lang w:eastAsia="en-US" w:bidi="ar-SA"/>
        </w:rPr>
        <w:t>*</w:t>
      </w:r>
      <w:r w:rsidRPr="0047361D">
        <w:rPr>
          <w:rFonts w:ascii="Times New Roman" w:eastAsiaTheme="minorHAnsi" w:hAnsi="Times New Roman" w:cs="Times New Roman"/>
          <w:i/>
          <w:kern w:val="0"/>
          <w:sz w:val="22"/>
          <w:szCs w:val="22"/>
          <w:lang w:eastAsia="en-US" w:bidi="ar-SA"/>
        </w:rPr>
        <w:t>Pirkimo objekto ir teikiamų dokumentų lygiavertiškumą turi įrodyti tiekėjas</w:t>
      </w:r>
      <w:r>
        <w:rPr>
          <w:rFonts w:ascii="Times New Roman" w:eastAsiaTheme="minorHAnsi" w:hAnsi="Times New Roman" w:cs="Times New Roman"/>
          <w:i/>
          <w:kern w:val="0"/>
          <w:sz w:val="22"/>
          <w:szCs w:val="22"/>
          <w:lang w:eastAsia="en-US" w:bidi="ar-SA"/>
        </w:rPr>
        <w:t>.</w:t>
      </w:r>
    </w:p>
    <w:sectPr w:rsidR="00F15346" w:rsidRPr="00F15346" w:rsidSect="00057F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31832"/>
    <w:multiLevelType w:val="hybridMultilevel"/>
    <w:tmpl w:val="23806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573F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501F2B"/>
    <w:multiLevelType w:val="multilevel"/>
    <w:tmpl w:val="DB06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84"/>
    <w:rsid w:val="00013596"/>
    <w:rsid w:val="00016162"/>
    <w:rsid w:val="00057F4C"/>
    <w:rsid w:val="00083350"/>
    <w:rsid w:val="000C250B"/>
    <w:rsid w:val="000D1F50"/>
    <w:rsid w:val="00126BEE"/>
    <w:rsid w:val="00190726"/>
    <w:rsid w:val="001B7C75"/>
    <w:rsid w:val="0024120A"/>
    <w:rsid w:val="002D00FE"/>
    <w:rsid w:val="002F5AC2"/>
    <w:rsid w:val="003A37CE"/>
    <w:rsid w:val="003F1FA8"/>
    <w:rsid w:val="003F4742"/>
    <w:rsid w:val="0042552D"/>
    <w:rsid w:val="00444755"/>
    <w:rsid w:val="0046113D"/>
    <w:rsid w:val="0047361D"/>
    <w:rsid w:val="00490AF2"/>
    <w:rsid w:val="005011EB"/>
    <w:rsid w:val="00513A3C"/>
    <w:rsid w:val="005257EE"/>
    <w:rsid w:val="005B7BA0"/>
    <w:rsid w:val="005C72F0"/>
    <w:rsid w:val="005D74B5"/>
    <w:rsid w:val="0061292E"/>
    <w:rsid w:val="00680099"/>
    <w:rsid w:val="00695FDE"/>
    <w:rsid w:val="00696E6C"/>
    <w:rsid w:val="006C0C84"/>
    <w:rsid w:val="006E325B"/>
    <w:rsid w:val="00744BED"/>
    <w:rsid w:val="00773725"/>
    <w:rsid w:val="007A056C"/>
    <w:rsid w:val="007B5B44"/>
    <w:rsid w:val="007E1F37"/>
    <w:rsid w:val="008228AD"/>
    <w:rsid w:val="00853195"/>
    <w:rsid w:val="008E79EE"/>
    <w:rsid w:val="009002E7"/>
    <w:rsid w:val="00922967"/>
    <w:rsid w:val="009238DD"/>
    <w:rsid w:val="009333BF"/>
    <w:rsid w:val="00990BB8"/>
    <w:rsid w:val="009C68CE"/>
    <w:rsid w:val="00A33952"/>
    <w:rsid w:val="00A60A67"/>
    <w:rsid w:val="00A64AF3"/>
    <w:rsid w:val="00AE69FF"/>
    <w:rsid w:val="00AF07C2"/>
    <w:rsid w:val="00B12DCC"/>
    <w:rsid w:val="00B26EA1"/>
    <w:rsid w:val="00B40465"/>
    <w:rsid w:val="00B57582"/>
    <w:rsid w:val="00BA4D5A"/>
    <w:rsid w:val="00C34022"/>
    <w:rsid w:val="00C44549"/>
    <w:rsid w:val="00C727D7"/>
    <w:rsid w:val="00CB4210"/>
    <w:rsid w:val="00D40843"/>
    <w:rsid w:val="00D449BC"/>
    <w:rsid w:val="00D47C2C"/>
    <w:rsid w:val="00D652AE"/>
    <w:rsid w:val="00D83DBF"/>
    <w:rsid w:val="00D85A7F"/>
    <w:rsid w:val="00D932B2"/>
    <w:rsid w:val="00DA04A8"/>
    <w:rsid w:val="00DB0076"/>
    <w:rsid w:val="00DC650D"/>
    <w:rsid w:val="00DE6164"/>
    <w:rsid w:val="00E14D10"/>
    <w:rsid w:val="00E21E84"/>
    <w:rsid w:val="00E742E4"/>
    <w:rsid w:val="00E81959"/>
    <w:rsid w:val="00E94FA5"/>
    <w:rsid w:val="00ED607F"/>
    <w:rsid w:val="00F063AC"/>
    <w:rsid w:val="00F117E8"/>
    <w:rsid w:val="00F15346"/>
    <w:rsid w:val="00F179DB"/>
    <w:rsid w:val="00F3171D"/>
    <w:rsid w:val="00F4007F"/>
    <w:rsid w:val="00F61D7C"/>
    <w:rsid w:val="00F97F5A"/>
    <w:rsid w:val="00FA7161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92C8"/>
  <w15:chartTrackingRefBased/>
  <w15:docId w15:val="{52537C1C-B8A7-4839-8D87-7EB69523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C84"/>
    <w:pPr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0C84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C84"/>
    <w:rPr>
      <w:rFonts w:asciiTheme="majorHAnsi" w:eastAsiaTheme="majorEastAsia" w:hAnsiTheme="majorHAnsi" w:cs="Mangal"/>
      <w:color w:val="2F5496" w:themeColor="accent1" w:themeShade="BF"/>
      <w:kern w:val="2"/>
      <w:sz w:val="32"/>
      <w:szCs w:val="29"/>
      <w:lang w:eastAsia="zh-CN" w:bidi="hi-IN"/>
    </w:rPr>
  </w:style>
  <w:style w:type="paragraph" w:customStyle="1" w:styleId="Rodykl">
    <w:name w:val="Rodyklė"/>
    <w:basedOn w:val="Normal"/>
    <w:qFormat/>
    <w:rsid w:val="006C0C84"/>
    <w:pPr>
      <w:suppressLineNumbers/>
    </w:pPr>
  </w:style>
  <w:style w:type="character" w:styleId="IntenseReference">
    <w:name w:val="Intense Reference"/>
    <w:basedOn w:val="DefaultParagraphFont"/>
    <w:uiPriority w:val="32"/>
    <w:qFormat/>
    <w:rsid w:val="006C0C84"/>
    <w:rPr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6C0C84"/>
    <w:rPr>
      <w:smallCaps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726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726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paragraph" w:styleId="Revision">
    <w:name w:val="Revision"/>
    <w:hidden/>
    <w:uiPriority w:val="99"/>
    <w:semiHidden/>
    <w:rsid w:val="002F5AC2"/>
    <w:pPr>
      <w:spacing w:after="0" w:line="240" w:lineRule="auto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ListParagraph">
    <w:name w:val="List Paragraph"/>
    <w:basedOn w:val="Normal"/>
    <w:uiPriority w:val="34"/>
    <w:qFormat/>
    <w:rsid w:val="00FA7161"/>
    <w:pPr>
      <w:ind w:left="720"/>
      <w:contextualSpacing/>
    </w:pPr>
    <w:rPr>
      <w:rFonts w:cs="Mangal"/>
      <w:szCs w:val="21"/>
    </w:rPr>
  </w:style>
  <w:style w:type="table" w:styleId="TableGrid">
    <w:name w:val="Table Grid"/>
    <w:basedOn w:val="TableNormal"/>
    <w:uiPriority w:val="39"/>
    <w:rsid w:val="00F1534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7F4C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057F4C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iesiejipirkimai.lt/epps/dps/prepareViewCfTDPSWS.do?resourceId=548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vpp.eviesiejipirkimai.lt/Notice/Details/2023-6277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51C2D-BF7E-4829-93CB-2DF00DF77D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cb8d0cf-ecab-4e64-baf2-a5015d7b88a4}" enabled="1" method="Privileged" siteId="{a656d26d-991c-44ed-91d2-551ef3928fb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3621</Words>
  <Characters>2064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Arnoldas Norkus</dc:creator>
  <cp:keywords/>
  <dc:description/>
  <cp:lastModifiedBy>Vaida Sičiūnaitė-Kalytienė</cp:lastModifiedBy>
  <cp:revision>9</cp:revision>
  <cp:lastPrinted>2024-11-20T07:23:00Z</cp:lastPrinted>
  <dcterms:created xsi:type="dcterms:W3CDTF">2026-04-21T07:16:00Z</dcterms:created>
  <dcterms:modified xsi:type="dcterms:W3CDTF">2026-04-28T06:17:00Z</dcterms:modified>
</cp:coreProperties>
</file>