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DA09" w14:textId="7C5BEDAD" w:rsidR="00EB6CD2" w:rsidRPr="00ED569C" w:rsidRDefault="00DB6369" w:rsidP="00DB63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369">
        <w:rPr>
          <w:rFonts w:ascii="Times New Roman" w:hAnsi="Times New Roman" w:cs="Times New Roman"/>
          <w:b/>
          <w:bCs/>
          <w:sz w:val="28"/>
          <w:szCs w:val="28"/>
        </w:rPr>
        <w:t>KAIŠIADORIŲ RAJ. SAV., RUMŠIŠKIŲ SENIŪNIJOS MELIORACIJOS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6369">
        <w:rPr>
          <w:rFonts w:ascii="Times New Roman" w:hAnsi="Times New Roman" w:cs="Times New Roman"/>
          <w:b/>
          <w:bCs/>
          <w:sz w:val="28"/>
          <w:szCs w:val="28"/>
        </w:rPr>
        <w:t>PROJEKTO P14-1987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6369">
        <w:rPr>
          <w:rFonts w:ascii="Times New Roman" w:hAnsi="Times New Roman" w:cs="Times New Roman"/>
          <w:b/>
          <w:bCs/>
          <w:sz w:val="28"/>
          <w:szCs w:val="28"/>
        </w:rPr>
        <w:t>SUREGULIUOTOS PRAVIENOS UPĖS BEI JOJE ESANČIŲ MELIORACIJOS STATINIŲ</w:t>
      </w:r>
      <w:r w:rsidR="00202B11" w:rsidRPr="00202B11">
        <w:rPr>
          <w:rFonts w:ascii="Times New Roman" w:hAnsi="Times New Roman" w:cs="Times New Roman"/>
          <w:b/>
          <w:bCs/>
          <w:sz w:val="28"/>
          <w:szCs w:val="28"/>
        </w:rPr>
        <w:t xml:space="preserve"> REMONTO RANGOS DARBŲ </w:t>
      </w:r>
      <w:r w:rsidR="00EE46CD" w:rsidRPr="00ED569C">
        <w:rPr>
          <w:rFonts w:ascii="Times New Roman" w:hAnsi="Times New Roman" w:cs="Times New Roman"/>
          <w:b/>
          <w:sz w:val="28"/>
          <w:szCs w:val="28"/>
        </w:rPr>
        <w:t xml:space="preserve">SUTARTIES </w:t>
      </w:r>
      <w:r w:rsidR="00EE46CD" w:rsidRPr="00ED569C">
        <w:rPr>
          <w:rFonts w:ascii="Times New Roman" w:hAnsi="Times New Roman" w:cs="Times New Roman"/>
          <w:b/>
          <w:bCs/>
          <w:sz w:val="28"/>
          <w:szCs w:val="28"/>
        </w:rPr>
        <w:t>TECHNINĖ SPECIFIKACIJA</w:t>
      </w:r>
    </w:p>
    <w:p w14:paraId="7B8A3381" w14:textId="77777777" w:rsidR="00EB6CD2" w:rsidRPr="00BD4F0B" w:rsidRDefault="00EB6CD2" w:rsidP="00EB6CD2">
      <w:pPr>
        <w:rPr>
          <w:rFonts w:ascii="Times New Roman" w:hAnsi="Times New Roman" w:cs="Times New Roman"/>
        </w:rPr>
      </w:pPr>
    </w:p>
    <w:p w14:paraId="098ECD60" w14:textId="61490A03" w:rsidR="00FC5830" w:rsidRPr="00202B11" w:rsidRDefault="00D060E9" w:rsidP="00FC0D91">
      <w:pPr>
        <w:pStyle w:val="Sraopastraip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2B11">
        <w:rPr>
          <w:rFonts w:ascii="Times New Roman" w:hAnsi="Times New Roman" w:cs="Times New Roman"/>
          <w:b/>
          <w:bCs/>
          <w:sz w:val="24"/>
          <w:szCs w:val="24"/>
        </w:rPr>
        <w:t>Pirkimo objektas:</w:t>
      </w:r>
    </w:p>
    <w:p w14:paraId="23AE52C9" w14:textId="3C624438" w:rsidR="009076F6" w:rsidRPr="00ED569C" w:rsidRDefault="00D060E9" w:rsidP="00DB636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69C">
        <w:rPr>
          <w:rFonts w:ascii="Times New Roman" w:hAnsi="Times New Roman" w:cs="Times New Roman"/>
          <w:sz w:val="24"/>
          <w:szCs w:val="24"/>
        </w:rPr>
        <w:t xml:space="preserve">1.1. </w:t>
      </w:r>
      <w:r w:rsidR="00DB6369" w:rsidRPr="00DB6369">
        <w:rPr>
          <w:rFonts w:ascii="Times New Roman" w:hAnsi="Times New Roman" w:cs="Times New Roman"/>
          <w:sz w:val="24"/>
          <w:szCs w:val="24"/>
        </w:rPr>
        <w:t>Kaišiadorių raj. sav., Rumšiškių seniūnijos melioracijos projekto P14-1987</w:t>
      </w:r>
      <w:r w:rsidR="00DB6369">
        <w:rPr>
          <w:rFonts w:ascii="Times New Roman" w:hAnsi="Times New Roman" w:cs="Times New Roman"/>
          <w:sz w:val="24"/>
          <w:szCs w:val="24"/>
        </w:rPr>
        <w:t xml:space="preserve"> </w:t>
      </w:r>
      <w:r w:rsidR="00DB6369" w:rsidRPr="00DB6369">
        <w:rPr>
          <w:rFonts w:ascii="Times New Roman" w:hAnsi="Times New Roman" w:cs="Times New Roman"/>
          <w:sz w:val="24"/>
          <w:szCs w:val="24"/>
        </w:rPr>
        <w:t>sureguliuotos Pravienos upės bei joje esančių melioracijos statinių remont</w:t>
      </w:r>
      <w:r w:rsidR="00DB6369">
        <w:rPr>
          <w:rFonts w:ascii="Times New Roman" w:hAnsi="Times New Roman" w:cs="Times New Roman"/>
          <w:sz w:val="24"/>
          <w:szCs w:val="24"/>
        </w:rPr>
        <w:t>o darbai</w:t>
      </w:r>
      <w:r w:rsidR="00202B11" w:rsidRPr="00202B11">
        <w:rPr>
          <w:rFonts w:ascii="Times New Roman" w:hAnsi="Times New Roman" w:cs="Times New Roman"/>
          <w:sz w:val="24"/>
          <w:szCs w:val="24"/>
        </w:rPr>
        <w:t>.</w:t>
      </w:r>
    </w:p>
    <w:p w14:paraId="7266955F" w14:textId="66B07D0D" w:rsidR="00613913" w:rsidRDefault="00FC5830" w:rsidP="00202B1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08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514C">
        <w:rPr>
          <w:rFonts w:ascii="Times New Roman" w:hAnsi="Times New Roman" w:cs="Times New Roman"/>
          <w:b/>
          <w:bCs/>
          <w:sz w:val="24"/>
          <w:szCs w:val="24"/>
        </w:rPr>
        <w:t xml:space="preserve">Techniniame darbo projekte numatytos </w:t>
      </w:r>
      <w:r w:rsidRPr="00255085">
        <w:rPr>
          <w:rFonts w:ascii="Times New Roman" w:hAnsi="Times New Roman" w:cs="Times New Roman"/>
          <w:b/>
          <w:bCs/>
          <w:sz w:val="24"/>
          <w:szCs w:val="24"/>
        </w:rPr>
        <w:t xml:space="preserve">apimtys: </w:t>
      </w:r>
    </w:p>
    <w:tbl>
      <w:tblPr>
        <w:tblW w:w="8736" w:type="dxa"/>
        <w:tblLook w:val="04A0" w:firstRow="1" w:lastRow="0" w:firstColumn="1" w:lastColumn="0" w:noHBand="0" w:noVBand="1"/>
      </w:tblPr>
      <w:tblGrid>
        <w:gridCol w:w="590"/>
        <w:gridCol w:w="1000"/>
        <w:gridCol w:w="3860"/>
        <w:gridCol w:w="706"/>
        <w:gridCol w:w="1560"/>
        <w:gridCol w:w="784"/>
        <w:gridCol w:w="554"/>
      </w:tblGrid>
      <w:tr w:rsidR="00DB6369" w:rsidRPr="00DB6369" w14:paraId="6A3950A6" w14:textId="77777777" w:rsidTr="00DB6369">
        <w:trPr>
          <w:trHeight w:val="2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942122" w14:textId="77777777" w:rsidR="00DB6369" w:rsidRPr="00DB6369" w:rsidRDefault="00DB6369" w:rsidP="00DB6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636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C81720" w14:textId="77777777" w:rsidR="00DB6369" w:rsidRPr="00DB6369" w:rsidRDefault="00DB6369" w:rsidP="00DB6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636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2C178A" w14:textId="77777777" w:rsidR="00DB6369" w:rsidRPr="00DB6369" w:rsidRDefault="00DB6369" w:rsidP="00DB6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636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8FFF11" w14:textId="77777777" w:rsidR="00DB6369" w:rsidRPr="00DB6369" w:rsidRDefault="00DB6369" w:rsidP="00DB6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636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392BC9" w14:textId="77777777" w:rsidR="00DB6369" w:rsidRPr="00DB6369" w:rsidRDefault="00DB6369" w:rsidP="00DB6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636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1743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636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6227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EUR       </w:t>
            </w:r>
          </w:p>
        </w:tc>
      </w:tr>
      <w:tr w:rsidR="00DB6369" w:rsidRPr="00DB6369" w14:paraId="77178471" w14:textId="77777777" w:rsidTr="00DB6369">
        <w:trPr>
          <w:trHeight w:val="2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F275" w14:textId="77777777" w:rsidR="00DB6369" w:rsidRPr="00DB6369" w:rsidRDefault="00DB6369" w:rsidP="00DB6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636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3988" w14:textId="77777777" w:rsidR="00DB6369" w:rsidRPr="00DB6369" w:rsidRDefault="00DB6369" w:rsidP="00DB6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636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1E1A" w14:textId="77777777" w:rsidR="00DB6369" w:rsidRPr="00DB6369" w:rsidRDefault="00DB6369" w:rsidP="00DB6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636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A37D" w14:textId="77777777" w:rsidR="00DB6369" w:rsidRPr="00DB6369" w:rsidRDefault="00DB6369" w:rsidP="00DB6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636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CB64D" w14:textId="77777777" w:rsidR="00DB6369" w:rsidRPr="00DB6369" w:rsidRDefault="00DB6369" w:rsidP="00DB6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A4AD1" w14:textId="77777777" w:rsidR="00DB6369" w:rsidRPr="00DB6369" w:rsidRDefault="00DB6369" w:rsidP="00DB6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636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Vieneto kaina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F92A" w14:textId="77777777" w:rsidR="00DB6369" w:rsidRPr="00DB6369" w:rsidRDefault="00DB6369" w:rsidP="00DB6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636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B6369" w:rsidRPr="00DB6369" w14:paraId="73EC745B" w14:textId="77777777" w:rsidTr="00DB6369">
        <w:trPr>
          <w:trHeight w:val="25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0C821" w14:textId="77777777" w:rsidR="00DB6369" w:rsidRPr="00DB6369" w:rsidRDefault="00DB6369" w:rsidP="00DB6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A752D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63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71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7E1B5D" w14:textId="77777777" w:rsidR="00DB6369" w:rsidRPr="00DB6369" w:rsidRDefault="00DB6369" w:rsidP="00DB6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63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Pravienos up. remonto darbai</w:t>
            </w:r>
          </w:p>
        </w:tc>
      </w:tr>
      <w:tr w:rsidR="00DB6369" w:rsidRPr="00DB6369" w14:paraId="6C01993B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8C264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64F92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MN7P-0120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75455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Krūmų ant griovių šlaitų pjovimas rankiniu būdu , kai krūmai reti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AEE83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CE2D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54,0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65F5A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4E5D2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5B5EDC68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054A9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CA458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MN7P-0120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9B2B6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Krūmų ant griovių šlaitų pjovimas rankiniu būdu , kai krūmai vidutinio tankumo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DBC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1AEE5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16,0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F7137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725B8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1B09F512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A767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EC623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MN7P-0120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3F492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Krūmų ant griovių šlaitų pjovimas rankiniu būdu , kai krūmai tankūs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A664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342C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12,0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4DB74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3B60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05BED420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B698F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D91B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R23-60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C734D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Krūmų išvežimas 1 km atstumu automobiliais-savivarčiais, pakraunant rankiniu būdu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00592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29F82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27,9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E2687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8DCE4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44616712" w14:textId="77777777" w:rsidTr="00DB6369">
        <w:trPr>
          <w:trHeight w:val="25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C7312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729CC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MN4-5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B29B0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Medžių 17-24 cm skersmens pjovimas.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B0FB7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6C3F6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5,05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87E18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A54BB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7547130D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BEEE9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94486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MN4-9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6A763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Medžių kamienų nuo 17 iki 25 cm skersmens vilkimas traktoriais 300 m atstumu ir medienos supjaustymas.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07195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23B32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5,05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5AD6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92F45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6E635553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2C146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D7577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MN4-19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04AA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Nuo 16 iki 32 cm skersmens kelmų rovimas ekskavatoriais su 0.65 m3 talpos kaušais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D664D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 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A6C3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12,5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573EF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D7375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437F4D13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D3AE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8889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MN4-25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D6513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Kelmų išvežimas ant metalinių lakštų iki 100 m atstumu, pakraunant ir nukraunant 96 kW (130 AJ) galingumo kelmarovėmis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B374F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5AE62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0,42  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FD9E3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6D613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2C308815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CB842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57419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MN4-26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3BEC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Kiekvienam sekančiam 100 m prie normos MN4-25 pridėti:  k4=4.000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B582C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2757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0,42  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0216D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F4755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50BEBE8E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15F6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4C63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MN7-2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5B5E7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Griovių valymas įranga vienakaušiais ekskavatoriais su 0.4 m3 talpos kaušais, kai valomo sluoksnio storis iki 0.4 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02B0C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033D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8,3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0A534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E9248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39E0D247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124BA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AD6EE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MN7-3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41665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Griovių valymas įranga vienakaušiais ekskavatoriais su 0.4 m3 talpos kaušais, kai valomo sl.storis didesnis kaip 0.4m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BE16F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41BE8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7,35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F546E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6EA8D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7535D7F7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FCA55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1DEDF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MN1-5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FC923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Kliuvinių pašalinimas vienakaušiais ekskavatoriais su 0.4 m3 talpos kaušais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40491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t. 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FFD5A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0,08  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734E4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50ECE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1B918678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B047C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7D64D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MN7-7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05DD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Griovių valymas ir gilinimas  rankiniu būdu, kai griovių gylis iki 2 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ECA78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A5FF8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16,0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08908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5CCE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49718C3D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05BF2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42F27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MN1P-0303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1B5A5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Sampylų lyginimas 59 kW (80 AG) galios buldozeriais, perstumiant gruntą (atstumas 10 m , gruntas I-II grupės)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269EA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t. 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5E9EF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1,07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C4AF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3E693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6D5ADF06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DDD4C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F7DFC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MN1P-0303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0EA10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Sampylų lyginimas 59 kW (80 AG) galios buldozeriais, perstumiant gruntą (atstumas 20 m , gruntas I-II grupės)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04686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t. 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E4CF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0,92  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A46E3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E590B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27A8C3D3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AD5D3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9E82D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MN3P-0801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CEF19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Latakų (L-50PE) kasimas, paklojant šlaitų tvirtinimo demblius, kai latako griovio gylis  daugiau 2 m iki 2,5 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D695F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052CE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3,0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574E4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2105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325FCE96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D4BC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FACE9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MN3P-0801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94E46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Latakų (L-50PE) kasimas, paklojant šlaitų tvirtinimo demblius , kai latako griovio gylis daugiau 2,5 m iki 3 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C8EEC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3D61E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2,0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A0355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EA3D4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10900337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530C7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D056E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MN7-4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61D35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Pagriovių lėkščiavimas iškastų iš griovių sąnašų susmulkinimui traktoriais iki 59 kW (80 AJ) galingumo  k4=2.000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B68B2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C6AF9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2,47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0CB77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A7B7A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4D7CBAF8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80D4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lastRenderedPageBreak/>
              <w:t xml:space="preserve">  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139E7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MN4-29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70AE3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Smulkių kelmų surinkimas ir išvežimas iki 0.5 km traktoriais iki 59 kW (80 AJ) galingumo, kai kelmynas vidutinis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99A9A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CF49E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2,47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10FBC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5A44C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2B641A46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DA13F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FCFF8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MN7-5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A2E05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Vandens nutekėjimui į griovį latakų kasimas buldozeriais iki  59 kW (80 AJ) galingumo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42FE4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DE889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3,2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EBE23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133FB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0126FFFC" w14:textId="77777777" w:rsidTr="00DB6369">
        <w:trPr>
          <w:trHeight w:val="25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0AD19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D5E5D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MN7P-0111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9FE29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Mechanizuotas griovių šlaitų šienavimas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845B5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7104A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2,1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8B11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D85E8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7CA5A681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70CD6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4409D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MN3P-0303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FA84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Sulūžusių žiočių pakeitimas plastikinėmis žiotimis , kai žiočių skersmuo 110 mm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81664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FEFAA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11,0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A37FB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26F53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5B458D8B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19DAB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A9E3C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MN3P-0303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53A09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Sulūžusių žiočių pakeitimas plastikinėmis žiotimis , kai žiočių skersmuo 160 mm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06E18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C6E4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E7DCC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CA7FE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3CEB6461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3F846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842B0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MN3P-0303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328AF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Sulūžusių žiočių pakeitimas plastikinėmis žiotimis , kai žiočių skersmuo 200 mm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CBE1A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5E774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4,0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D184C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9D634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69634373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6AEC3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B3A4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MN3-177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825B6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Melioracinio polietileninio stulpelio pms-200 įrengimas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BA87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B701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1,0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71FE8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FD82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4437A722" w14:textId="77777777" w:rsidTr="00DB6369">
        <w:trPr>
          <w:trHeight w:val="96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F8E56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440DF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MN3-191-200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99DBA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Drenažo rinktuvų iš 200mm skers. poliet. perfor. vamzd. įrengimas priem. grunte, pagal schemą d-2pž, kasant tr.vienak.eksk.iki 2m gylio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4C602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D019C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0,2   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3911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11963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792B2B4F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397B9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05BEA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MN8-43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2F355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Antgalių iš monolitinio betono ir gelžbetonoio demontavimas  k4=0.500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DB6C1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8F0C5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0,02  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96EAA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732F7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206CA4F7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96007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5966E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R23-65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8C20C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8EFCC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429BE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6,9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2468D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9519B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4FCD670A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162AA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2B972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MN8-43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13245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Įeinamų ir išeinamų antgalių iš monolitinio betono ir gelžbetonoio įrengimas, kai statinyje iki 3000 m3 betono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2421A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ED2C3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0,0205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84B38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A8F04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053E3B72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6DBA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45FA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N57P-4402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6F518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Vamzdinių pralaidų įtekėjimo ir ištekėjimo žiočių tvirtinimas gelžbetonio plokštėmis ant įrengto pagrindo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5689F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B598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0,12  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5771E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777DD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72546679" w14:textId="77777777" w:rsidTr="00DB6369">
        <w:trPr>
          <w:trHeight w:val="25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B35F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13ADC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MN8-174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C01BC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10 cm storio žvyro sluoksnio įrengimas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B4DD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6AC1E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0,12  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5C169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989B3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0C68C03C" w14:textId="77777777" w:rsidTr="00DB6369">
        <w:trPr>
          <w:trHeight w:val="25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C36FB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5FAF3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MN2-11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905D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Griovio dugno tvirtinimas skalda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28AA2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D4E29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1,8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C1E2F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EE01E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38C52F12" w14:textId="77777777" w:rsidTr="00DB6369">
        <w:trPr>
          <w:trHeight w:val="25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36F67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57F55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MN2-14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2D391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Šlaitų apsėjimas, užpilant dirvožemiu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B4CE6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1EAA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0,3   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2B227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93439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37A84B5B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BA08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93BF8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MN7-51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E8179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Vamzdinės g/b vandens pralaidos išvalymas nuo sąnašų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9B37C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75C2F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11,0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8637F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DD2AE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7443F8A8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FBC7F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F3731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N27-232-1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53196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Plastmasinių signalinių stulpelių pastatymas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C18B6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CFA6C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4,0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FE83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B42F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66E409C4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72E74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E07DC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MN1-17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0562C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II grupės grunto kasimas ir supylimas į krūvas vienakaušiais ekskavatoriais su 0.25 m3 talpos kaušais  k4=2.000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681E5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t. 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1F29A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0,06  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4D192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8766D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5AFDD6E5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78815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C6C57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MN1-176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50FD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Vandens pašalinimas iš tranšėjų ir pamatų duobių.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E44F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95E2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0,5   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CBEB9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DBBE3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3F0652B2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9EA74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4471E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MN1-17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94813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II grupės grunto kasimas ir supylimas į krūvas vienakaušiais ekskavatoriais su 0.25 m3 talpos kaušais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EFC9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t. 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DC252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0,16  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46895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CD6B9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553A4952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F482F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124E4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MN1-115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1155F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II gr. grunto kasimas rank. būdu iki 2 m pločio ir iki 2 m gylio nesutvirtintose tranšėjose ir iki 1.5 m gylio duobių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DAF7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1F6F3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0,7   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B8618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41AF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55273AD8" w14:textId="77777777" w:rsidTr="00DB6369">
        <w:trPr>
          <w:trHeight w:val="25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BAA5A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31730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MN7-52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D53C5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Tarpų tarp pralaidų vamzdžio užtaisymas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38368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51AA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16,0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B50E8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B9386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20FD350B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94F07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9A239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N1P-0701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14703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Tranšėjų, iškasų ir duobių užpylimas gruntu iš sankasos ekskavatoriumi, kai kaušo talpa  0,25m3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E23E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4C27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1,6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43B40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1C3B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312BAFBA" w14:textId="77777777" w:rsidTr="00DB6369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8B55F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2D733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MN1P-0708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6A9A1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Grunto tankinimas mažosios mechanizacijos priemonėmis , kai gruntas I-II grupės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640C3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F1FF5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1,6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9A671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2E583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1C003B21" w14:textId="77777777" w:rsidTr="00DB6369">
        <w:trPr>
          <w:trHeight w:val="25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14F67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024A4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MN2-14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A9C18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Šlaitų apsėjimas, užpilant dirvožemiu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30995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349D5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0,8   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44CC5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1D39F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05CD95E3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91596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E08F7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N13-147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AADA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Įvairių paviršių valymas metaliniu šepečiu rankiniu būdu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54CF8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68362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1,4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B36C4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0FA43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13A56C11" w14:textId="77777777" w:rsidTr="00DB6369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BEC1F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E461D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MN8P-1207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4B31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Atskirų pralaidos angtalių vietų užbetonavimas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7F44B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3A0DC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0,4   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EF9ED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6E96A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DB6369" w:rsidRPr="00DB6369" w14:paraId="0E05727D" w14:textId="77777777" w:rsidTr="00DB6369">
        <w:trPr>
          <w:trHeight w:val="25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F7283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 xml:space="preserve">  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8D71E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MN5-28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17756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8"/>
                <w:szCs w:val="18"/>
                <w:lang w:eastAsia="lt-LT"/>
              </w:rPr>
              <w:t>Žvyro dangos įrengimas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BE521" w14:textId="77777777" w:rsidR="00DB6369" w:rsidRPr="00DB6369" w:rsidRDefault="00DB6369" w:rsidP="00DB6369">
            <w:pPr>
              <w:spacing w:after="0" w:line="240" w:lineRule="auto"/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</w:pPr>
            <w:r w:rsidRPr="00DB6369">
              <w:rPr>
                <w:rFonts w:ascii="Arial Baltic" w:eastAsia="Times New Roman" w:hAnsi="Arial Baltic" w:cs="Arial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1D005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    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63006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D38B6" w14:textId="77777777" w:rsidR="00DB6369" w:rsidRPr="00DB6369" w:rsidRDefault="00DB6369" w:rsidP="00DB636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636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</w:p>
        </w:tc>
      </w:tr>
    </w:tbl>
    <w:p w14:paraId="4A6EE5D7" w14:textId="77777777" w:rsidR="00DB6369" w:rsidRDefault="00DB6369" w:rsidP="00202B1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14:paraId="0FB60910" w14:textId="582C6A63" w:rsidR="00255085" w:rsidRPr="00255085" w:rsidRDefault="003A6845" w:rsidP="00FC5830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255085" w:rsidRPr="00255085">
        <w:rPr>
          <w:rFonts w:ascii="Times New Roman" w:hAnsi="Times New Roman" w:cs="Times New Roman"/>
          <w:b/>
          <w:sz w:val="24"/>
          <w:szCs w:val="24"/>
        </w:rPr>
        <w:t xml:space="preserve">. Įsipareigojimų atlikimo vieta ir tvarka:  </w:t>
      </w:r>
    </w:p>
    <w:p w14:paraId="7DB09A3E" w14:textId="48A14162" w:rsidR="0052390C" w:rsidRDefault="008A24A4" w:rsidP="003A68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</w:t>
      </w:r>
      <w:r w:rsidRPr="00ED569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B6369" w:rsidRPr="00DB6369">
        <w:rPr>
          <w:rFonts w:ascii="Times New Roman" w:hAnsi="Times New Roman" w:cs="Times New Roman"/>
          <w:sz w:val="24"/>
          <w:szCs w:val="24"/>
        </w:rPr>
        <w:t>Kaišiadorių r. sav., Rumšiškių sen., Uogintų k.</w:t>
      </w:r>
    </w:p>
    <w:p w14:paraId="383A5A19" w14:textId="55EFD327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8228FC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. Vykdant darbus vadovautis Melioracijos techninio reglamento MTR 2.02.01:2006 „Melioracijos statiniai. Pagrindiniai reikalavimai“, MTR 1.12.01:2008 </w:t>
      </w:r>
      <w:r w:rsidR="0052390C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Melioracijos statinių techninės priežiūros taisyklės”, MND-29 </w:t>
      </w:r>
      <w:r w:rsidR="0052390C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Plastmasinis drenažas ir jo įrenginiai</w:t>
      </w:r>
      <w:r w:rsidR="0052390C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, MND-19 </w:t>
      </w:r>
      <w:r w:rsidR="0052390C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Pagrindiniai griovių ir drenažo įrenginiai</w:t>
      </w:r>
      <w:r w:rsidR="0052390C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, L</w:t>
      </w:r>
      <w:r w:rsidR="0052390C">
        <w:rPr>
          <w:rFonts w:ascii="Times New Roman" w:hAnsi="Times New Roman" w:cs="Times New Roman"/>
          <w:bCs/>
          <w:iCs/>
          <w:sz w:val="24"/>
          <w:szCs w:val="24"/>
        </w:rPr>
        <w:t xml:space="preserve">ietuvos 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R</w:t>
      </w:r>
      <w:r w:rsidR="0052390C">
        <w:rPr>
          <w:rFonts w:ascii="Times New Roman" w:hAnsi="Times New Roman" w:cs="Times New Roman"/>
          <w:bCs/>
          <w:iCs/>
          <w:sz w:val="24"/>
          <w:szCs w:val="24"/>
        </w:rPr>
        <w:t>espublikos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C1026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elioracijos įstatym</w:t>
      </w:r>
      <w:r w:rsidR="009C2F26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, kitais galiojančiais norminiais aktais bei </w:t>
      </w:r>
      <w:r w:rsidR="00080DD4" w:rsidRPr="00255085">
        <w:rPr>
          <w:rFonts w:ascii="Times New Roman" w:hAnsi="Times New Roman" w:cs="Times New Roman"/>
          <w:bCs/>
          <w:iCs/>
          <w:sz w:val="24"/>
          <w:szCs w:val="24"/>
        </w:rPr>
        <w:t>Melioracijos darbus vykdančių subjektų ir melioruotos žemės naudotojų interesų suderinimo taisyklėmis</w:t>
      </w:r>
      <w:r w:rsidR="00080DD4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80DD4"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 patvirtintomis</w:t>
      </w:r>
      <w:r w:rsidR="00080DD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80DD4"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Lietuvos Respublikos žemės ūkio ministro 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2009 m. lapkričio 18 d. įsakymu Nr. 3D-883</w:t>
      </w:r>
      <w:r w:rsidR="00080DD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80DD4" w:rsidRPr="00080DD4">
        <w:rPr>
          <w:rFonts w:ascii="Times New Roman" w:hAnsi="Times New Roman" w:cs="Times New Roman"/>
          <w:bCs/>
          <w:iCs/>
          <w:sz w:val="24"/>
          <w:szCs w:val="24"/>
        </w:rPr>
        <w:t>„Dėl Melioracijos darbus vykdančių subjektų ir melioruotos žemės naudotojų interesų suderinimo taisyklių patvirtinimo“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319F52DD" w14:textId="209EE2EE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8228FC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. Visos naudojamos medžiagos ir gaminiai turi būti geros kokybės, tinkamos numatytai paskirčiai ir turėti įgaliotos institucijos patvirtinimą, kad buvo pagaminti pagal atitinkamą Europos arba Lietuvos standartą.</w:t>
      </w:r>
    </w:p>
    <w:p w14:paraId="6EEF47B3" w14:textId="729176F7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8228FC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. Atliekant melioracijos statinių remonto darbus, Rangovas privalo laikytis visų </w:t>
      </w:r>
      <w:r w:rsidR="0052390C">
        <w:rPr>
          <w:rFonts w:ascii="Times New Roman" w:hAnsi="Times New Roman" w:cs="Times New Roman"/>
          <w:bCs/>
          <w:iCs/>
          <w:sz w:val="24"/>
          <w:szCs w:val="24"/>
        </w:rPr>
        <w:t>Lietuvos R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espublikoje galiojančių įstatymų ir taisyklių bei atsižvelgti į visas priemones, užtikrinant aplinkosauginių reikalavimų laikymąsi.</w:t>
      </w:r>
    </w:p>
    <w:p w14:paraId="6C9E9A7B" w14:textId="6B85F7BF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8228FC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. Rangovas prieš pateikdamas pasiūlymą gali apžiūrėti objektus. Visi darbai, užtikrinantys reikiamą objektų funkcinę paskirtį, privalo būti numatyti pasiūlymo kainoje. </w:t>
      </w:r>
    </w:p>
    <w:p w14:paraId="2F3AB5E7" w14:textId="412CFE36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8228FC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. Nuostolius, atsiradusius dėl netinkamo Darbų vykdymo, tretiesiems asmenims savo lėšomis atlygina Rangovas.</w:t>
      </w:r>
    </w:p>
    <w:p w14:paraId="25BBC018" w14:textId="77777777" w:rsidR="008228FC" w:rsidRDefault="008228FC" w:rsidP="00BD4F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0522F5" w14:textId="77777777" w:rsidR="00CF4102" w:rsidRDefault="00CF4102" w:rsidP="00BD4F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A1FE4C" w14:textId="77777777" w:rsidR="00CF4102" w:rsidRDefault="00CF4102" w:rsidP="00BD4F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14546E" w14:textId="342E4CD3" w:rsidR="00005817" w:rsidRDefault="00BD4F0B" w:rsidP="00003D0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085">
        <w:rPr>
          <w:rFonts w:ascii="Times New Roman" w:hAnsi="Times New Roman" w:cs="Times New Roman"/>
          <w:sz w:val="24"/>
          <w:szCs w:val="24"/>
        </w:rPr>
        <w:t xml:space="preserve">Parengė: Žemės ūkio ir aplinkosaugos skyriaus </w:t>
      </w:r>
      <w:r w:rsidR="00DB6369">
        <w:rPr>
          <w:rFonts w:ascii="Times New Roman" w:hAnsi="Times New Roman" w:cs="Times New Roman"/>
          <w:sz w:val="24"/>
          <w:szCs w:val="24"/>
        </w:rPr>
        <w:t>vedėjo pavaduotojas</w:t>
      </w:r>
      <w:r w:rsidR="00202B11">
        <w:rPr>
          <w:rFonts w:ascii="Times New Roman" w:hAnsi="Times New Roman" w:cs="Times New Roman"/>
          <w:sz w:val="24"/>
          <w:szCs w:val="24"/>
        </w:rPr>
        <w:t xml:space="preserve"> </w:t>
      </w:r>
      <w:r w:rsidR="00DB6369">
        <w:rPr>
          <w:rFonts w:ascii="Times New Roman" w:hAnsi="Times New Roman" w:cs="Times New Roman"/>
          <w:sz w:val="24"/>
          <w:szCs w:val="24"/>
        </w:rPr>
        <w:t>Laimonas Ivaškevičius</w:t>
      </w:r>
    </w:p>
    <w:p w14:paraId="41F7D621" w14:textId="77777777" w:rsidR="00005817" w:rsidRDefault="00005817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E857B" w14:textId="77777777" w:rsidR="00005817" w:rsidRDefault="00005817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E3447" w14:textId="77777777" w:rsidR="001F356C" w:rsidRDefault="001F356C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B781B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3F39C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31B45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66C52" w14:textId="77777777" w:rsidR="006860D9" w:rsidRDefault="006860D9" w:rsidP="00ED56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B3A331" w14:textId="77777777" w:rsidR="00005817" w:rsidRPr="00287E45" w:rsidRDefault="00005817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C2CFB" w14:textId="58E36BC3" w:rsidR="00287E45" w:rsidRDefault="00287E45" w:rsidP="00287E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F5680D" w14:textId="79D0B3DB" w:rsidR="001F1433" w:rsidRPr="00255085" w:rsidRDefault="001F1433" w:rsidP="00287E4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F1433" w:rsidRPr="00255085" w:rsidSect="00DB6369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556A8" w14:textId="77777777" w:rsidR="00A10368" w:rsidRDefault="00A10368" w:rsidP="006860D9">
      <w:pPr>
        <w:spacing w:after="0" w:line="240" w:lineRule="auto"/>
      </w:pPr>
      <w:r>
        <w:separator/>
      </w:r>
    </w:p>
  </w:endnote>
  <w:endnote w:type="continuationSeparator" w:id="0">
    <w:p w14:paraId="33895622" w14:textId="77777777" w:rsidR="00A10368" w:rsidRDefault="00A10368" w:rsidP="0068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C313" w14:textId="77777777" w:rsidR="00A10368" w:rsidRDefault="00A10368" w:rsidP="006860D9">
      <w:pPr>
        <w:spacing w:after="0" w:line="240" w:lineRule="auto"/>
      </w:pPr>
      <w:r>
        <w:separator/>
      </w:r>
    </w:p>
  </w:footnote>
  <w:footnote w:type="continuationSeparator" w:id="0">
    <w:p w14:paraId="1AD6A91A" w14:textId="77777777" w:rsidR="00A10368" w:rsidRDefault="00A10368" w:rsidP="00686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8015C"/>
    <w:multiLevelType w:val="hybridMultilevel"/>
    <w:tmpl w:val="26F28150"/>
    <w:lvl w:ilvl="0" w:tplc="1DCEB51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65F8"/>
    <w:multiLevelType w:val="hybridMultilevel"/>
    <w:tmpl w:val="1F5EC0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35919"/>
    <w:multiLevelType w:val="hybridMultilevel"/>
    <w:tmpl w:val="5652EA0A"/>
    <w:lvl w:ilvl="0" w:tplc="A3B4C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621E44"/>
    <w:multiLevelType w:val="multilevel"/>
    <w:tmpl w:val="FF7E4F22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i w:val="0"/>
        <w:strike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7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num w:numId="1" w16cid:durableId="1826508945">
    <w:abstractNumId w:val="0"/>
  </w:num>
  <w:num w:numId="2" w16cid:durableId="369379669">
    <w:abstractNumId w:val="1"/>
  </w:num>
  <w:num w:numId="3" w16cid:durableId="1395591429">
    <w:abstractNumId w:val="3"/>
  </w:num>
  <w:num w:numId="4" w16cid:durableId="756173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D2"/>
    <w:rsid w:val="00003D01"/>
    <w:rsid w:val="00005817"/>
    <w:rsid w:val="00053302"/>
    <w:rsid w:val="0005624C"/>
    <w:rsid w:val="00071CC0"/>
    <w:rsid w:val="00080DD4"/>
    <w:rsid w:val="0010446F"/>
    <w:rsid w:val="00117403"/>
    <w:rsid w:val="001422B5"/>
    <w:rsid w:val="00142F33"/>
    <w:rsid w:val="001611A7"/>
    <w:rsid w:val="001A3CFA"/>
    <w:rsid w:val="001E53BE"/>
    <w:rsid w:val="001F1433"/>
    <w:rsid w:val="001F356C"/>
    <w:rsid w:val="00202B11"/>
    <w:rsid w:val="00255085"/>
    <w:rsid w:val="00287E45"/>
    <w:rsid w:val="002C0E55"/>
    <w:rsid w:val="00326620"/>
    <w:rsid w:val="00364EFE"/>
    <w:rsid w:val="003A6845"/>
    <w:rsid w:val="003F72FB"/>
    <w:rsid w:val="00421300"/>
    <w:rsid w:val="00442650"/>
    <w:rsid w:val="004D601E"/>
    <w:rsid w:val="0052390C"/>
    <w:rsid w:val="005379DD"/>
    <w:rsid w:val="00613913"/>
    <w:rsid w:val="00624397"/>
    <w:rsid w:val="006315A9"/>
    <w:rsid w:val="00682005"/>
    <w:rsid w:val="00685939"/>
    <w:rsid w:val="006860D9"/>
    <w:rsid w:val="006B757B"/>
    <w:rsid w:val="006E26EB"/>
    <w:rsid w:val="00741DA1"/>
    <w:rsid w:val="007B4640"/>
    <w:rsid w:val="007E6D7F"/>
    <w:rsid w:val="008228FC"/>
    <w:rsid w:val="00856062"/>
    <w:rsid w:val="008A24A4"/>
    <w:rsid w:val="009076F6"/>
    <w:rsid w:val="0092500E"/>
    <w:rsid w:val="009850AB"/>
    <w:rsid w:val="009975C4"/>
    <w:rsid w:val="009C2F26"/>
    <w:rsid w:val="00A10368"/>
    <w:rsid w:val="00A500DF"/>
    <w:rsid w:val="00A5514C"/>
    <w:rsid w:val="00A66C66"/>
    <w:rsid w:val="00AC1B0E"/>
    <w:rsid w:val="00AE1375"/>
    <w:rsid w:val="00B83E3F"/>
    <w:rsid w:val="00BD1E86"/>
    <w:rsid w:val="00BD4F0B"/>
    <w:rsid w:val="00BE3538"/>
    <w:rsid w:val="00BE7B96"/>
    <w:rsid w:val="00CF4102"/>
    <w:rsid w:val="00D060E9"/>
    <w:rsid w:val="00D7781E"/>
    <w:rsid w:val="00DB6369"/>
    <w:rsid w:val="00EB6CD2"/>
    <w:rsid w:val="00EC1026"/>
    <w:rsid w:val="00EC6E13"/>
    <w:rsid w:val="00ED16CB"/>
    <w:rsid w:val="00ED569C"/>
    <w:rsid w:val="00EE46CD"/>
    <w:rsid w:val="00FB6605"/>
    <w:rsid w:val="00FC1683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DBDA"/>
  <w15:chartTrackingRefBased/>
  <w15:docId w15:val="{9C0DEAE2-3183-4464-A2D4-60EDA3C6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4F0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86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60D9"/>
  </w:style>
  <w:style w:type="paragraph" w:styleId="Porat">
    <w:name w:val="footer"/>
    <w:basedOn w:val="prastasis"/>
    <w:link w:val="PoratDiagrama"/>
    <w:uiPriority w:val="99"/>
    <w:unhideWhenUsed/>
    <w:rsid w:val="00686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860D9"/>
  </w:style>
  <w:style w:type="paragraph" w:styleId="Pataisymai">
    <w:name w:val="Revision"/>
    <w:hidden/>
    <w:uiPriority w:val="99"/>
    <w:semiHidden/>
    <w:rsid w:val="00080DD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778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7781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7781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78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78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6366</Characters>
  <Application>Microsoft Office Word</Application>
  <DocSecurity>0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Jacevičienė</dc:creator>
  <cp:keywords/>
  <dc:description/>
  <cp:lastModifiedBy>Brigita Kubeckienė</cp:lastModifiedBy>
  <cp:revision>2</cp:revision>
  <dcterms:created xsi:type="dcterms:W3CDTF">2026-04-27T13:13:00Z</dcterms:created>
  <dcterms:modified xsi:type="dcterms:W3CDTF">2026-04-27T13:13:00Z</dcterms:modified>
</cp:coreProperties>
</file>