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53BF" w14:textId="737302F5" w:rsidR="00EC3F40" w:rsidRPr="00371690" w:rsidRDefault="00E83C7E" w:rsidP="00EC3F40">
      <w:pPr>
        <w:jc w:val="center"/>
        <w:rPr>
          <w:b/>
          <w:bCs/>
          <w:lang w:val="lt-LT"/>
        </w:rPr>
      </w:pPr>
      <w:r w:rsidRPr="00371690">
        <w:rPr>
          <w:b/>
          <w:lang w:val="lt-LT"/>
        </w:rPr>
        <w:t>RINKOS KONSULTACIJOS KOMENTARŲ ANALIZĖ</w:t>
      </w:r>
      <w:r w:rsidR="00EC3F40" w:rsidRPr="00371690">
        <w:rPr>
          <w:b/>
          <w:lang w:val="lt-LT"/>
        </w:rPr>
        <w:br/>
      </w:r>
      <w:r w:rsidR="007E4D0F" w:rsidRPr="00371690">
        <w:rPr>
          <w:b/>
          <w:lang w:val="lt-LT"/>
        </w:rPr>
        <w:t>202</w:t>
      </w:r>
      <w:r w:rsidR="006D1F41" w:rsidRPr="00371690">
        <w:rPr>
          <w:b/>
          <w:lang w:val="lt-LT"/>
        </w:rPr>
        <w:t>6</w:t>
      </w:r>
      <w:r w:rsidR="007E4D0F" w:rsidRPr="00371690">
        <w:rPr>
          <w:b/>
          <w:lang w:val="lt-LT"/>
        </w:rPr>
        <w:t>-</w:t>
      </w:r>
      <w:r w:rsidR="006D1F41" w:rsidRPr="00371690">
        <w:rPr>
          <w:b/>
          <w:lang w:val="lt-LT"/>
        </w:rPr>
        <w:t>04</w:t>
      </w:r>
      <w:r w:rsidR="007E4D0F" w:rsidRPr="00371690">
        <w:rPr>
          <w:b/>
          <w:lang w:val="lt-LT"/>
        </w:rPr>
        <w:t>-2</w:t>
      </w:r>
      <w:r w:rsidR="006D1F41" w:rsidRPr="00371690">
        <w:rPr>
          <w:b/>
          <w:lang w:val="lt-LT"/>
        </w:rPr>
        <w:t>9</w:t>
      </w:r>
      <w:r w:rsidR="00EC3F40" w:rsidRPr="00371690">
        <w:rPr>
          <w:b/>
          <w:lang w:val="lt-LT"/>
        </w:rPr>
        <w:br/>
      </w:r>
    </w:p>
    <w:p w14:paraId="3AA5710A" w14:textId="74876782" w:rsidR="00466603" w:rsidRPr="00371690" w:rsidRDefault="00466603" w:rsidP="00466603">
      <w:pPr>
        <w:rPr>
          <w:b/>
          <w:lang w:val="lt-LT"/>
        </w:rPr>
      </w:pPr>
      <w:r w:rsidRPr="00371690">
        <w:rPr>
          <w:b/>
          <w:lang w:val="lt-LT"/>
        </w:rPr>
        <w:t xml:space="preserve">Pirkimo pavadinimas: </w:t>
      </w:r>
      <w:r w:rsidR="006D1F41" w:rsidRPr="00371690">
        <w:rPr>
          <w:b/>
          <w:lang w:val="lt-LT"/>
        </w:rPr>
        <w:t>Nauji M3 klasės mokykliniai autobusai</w:t>
      </w:r>
    </w:p>
    <w:p w14:paraId="77EE5C5A" w14:textId="72A52E8E" w:rsidR="00466603" w:rsidRPr="00371690" w:rsidRDefault="006D1F41" w:rsidP="00466603">
      <w:pPr>
        <w:rPr>
          <w:b/>
          <w:lang w:val="lt-LT"/>
        </w:rPr>
      </w:pPr>
      <w:r w:rsidRPr="00371690">
        <w:rPr>
          <w:b/>
          <w:lang w:val="lt-LT"/>
        </w:rPr>
        <w:t>Konsultacijos</w:t>
      </w:r>
      <w:r w:rsidR="00466603" w:rsidRPr="00371690">
        <w:rPr>
          <w:b/>
          <w:lang w:val="lt-LT"/>
        </w:rPr>
        <w:t xml:space="preserve"> numeris: </w:t>
      </w:r>
      <w:r w:rsidRPr="00371690">
        <w:rPr>
          <w:b/>
          <w:lang w:val="lt-LT"/>
        </w:rPr>
        <w:t>7593664</w:t>
      </w:r>
    </w:p>
    <w:p w14:paraId="2E99E029" w14:textId="77777777" w:rsidR="00E83C7E" w:rsidRPr="00371690" w:rsidRDefault="00E83C7E" w:rsidP="001C37B9">
      <w:pPr>
        <w:rPr>
          <w:lang w:val="lt-LT"/>
        </w:rPr>
      </w:pPr>
    </w:p>
    <w:tbl>
      <w:tblPr>
        <w:tblStyle w:val="TableGrid"/>
        <w:tblW w:w="14742" w:type="dxa"/>
        <w:tblInd w:w="-5" w:type="dxa"/>
        <w:tblLayout w:type="fixed"/>
        <w:tblLook w:val="0600" w:firstRow="0" w:lastRow="0" w:firstColumn="0" w:lastColumn="0" w:noHBand="1" w:noVBand="1"/>
      </w:tblPr>
      <w:tblGrid>
        <w:gridCol w:w="567"/>
        <w:gridCol w:w="12049"/>
        <w:gridCol w:w="2126"/>
      </w:tblGrid>
      <w:tr w:rsidR="0040255D" w:rsidRPr="00371690" w14:paraId="1A151D5A" w14:textId="77777777" w:rsidTr="0040255D">
        <w:trPr>
          <w:trHeight w:val="563"/>
        </w:trPr>
        <w:tc>
          <w:tcPr>
            <w:tcW w:w="567" w:type="dxa"/>
            <w:vAlign w:val="center"/>
          </w:tcPr>
          <w:p w14:paraId="4A3DEE7B" w14:textId="2B3C3236" w:rsidR="0040255D" w:rsidRPr="00371690" w:rsidRDefault="0040255D" w:rsidP="00E83C7E">
            <w:pPr>
              <w:jc w:val="center"/>
              <w:rPr>
                <w:b/>
                <w:sz w:val="20"/>
                <w:szCs w:val="20"/>
                <w:lang w:val="lt-LT"/>
              </w:rPr>
            </w:pPr>
            <w:r w:rsidRPr="00371690">
              <w:rPr>
                <w:b/>
                <w:sz w:val="20"/>
                <w:szCs w:val="20"/>
                <w:lang w:val="lt-LT"/>
              </w:rPr>
              <w:t>Eil. Nr.</w:t>
            </w:r>
          </w:p>
        </w:tc>
        <w:tc>
          <w:tcPr>
            <w:tcW w:w="12049" w:type="dxa"/>
            <w:vAlign w:val="center"/>
          </w:tcPr>
          <w:p w14:paraId="44F2CE68" w14:textId="19DF8740" w:rsidR="0040255D" w:rsidRPr="00371690" w:rsidRDefault="0040255D" w:rsidP="00455431">
            <w:pPr>
              <w:jc w:val="center"/>
              <w:rPr>
                <w:b/>
                <w:sz w:val="20"/>
                <w:szCs w:val="20"/>
                <w:lang w:val="lt-LT"/>
              </w:rPr>
            </w:pPr>
            <w:r w:rsidRPr="00371690">
              <w:rPr>
                <w:b/>
                <w:sz w:val="20"/>
                <w:szCs w:val="20"/>
                <w:lang w:val="lt-LT"/>
              </w:rPr>
              <w:t>Pastaba</w:t>
            </w:r>
          </w:p>
        </w:tc>
        <w:tc>
          <w:tcPr>
            <w:tcW w:w="2126" w:type="dxa"/>
            <w:vAlign w:val="center"/>
          </w:tcPr>
          <w:p w14:paraId="726EA74D" w14:textId="197A3073" w:rsidR="0040255D" w:rsidRPr="00371690" w:rsidRDefault="0040255D" w:rsidP="00455431">
            <w:pPr>
              <w:ind w:right="15"/>
              <w:jc w:val="center"/>
              <w:rPr>
                <w:b/>
                <w:sz w:val="20"/>
                <w:szCs w:val="20"/>
                <w:lang w:val="lt-LT"/>
              </w:rPr>
            </w:pPr>
            <w:r w:rsidRPr="00371690">
              <w:rPr>
                <w:b/>
                <w:sz w:val="20"/>
                <w:szCs w:val="20"/>
                <w:lang w:val="lt-LT"/>
              </w:rPr>
              <w:t>Sprendimas</w:t>
            </w:r>
          </w:p>
        </w:tc>
      </w:tr>
      <w:tr w:rsidR="0040255D" w:rsidRPr="00371690" w14:paraId="77A6DAED" w14:textId="77777777" w:rsidTr="0040255D">
        <w:trPr>
          <w:trHeight w:val="467"/>
        </w:trPr>
        <w:tc>
          <w:tcPr>
            <w:tcW w:w="567" w:type="dxa"/>
          </w:tcPr>
          <w:p w14:paraId="1F5816FD" w14:textId="77777777" w:rsidR="0040255D" w:rsidRPr="00371690" w:rsidRDefault="0040255D" w:rsidP="00CD23D3">
            <w:pPr>
              <w:pStyle w:val="ListParagraph"/>
              <w:numPr>
                <w:ilvl w:val="0"/>
                <w:numId w:val="1"/>
              </w:numPr>
              <w:jc w:val="center"/>
              <w:rPr>
                <w:b/>
                <w:bCs/>
                <w:sz w:val="20"/>
                <w:szCs w:val="20"/>
                <w:lang w:val="lt-LT"/>
              </w:rPr>
            </w:pPr>
          </w:p>
        </w:tc>
        <w:tc>
          <w:tcPr>
            <w:tcW w:w="12049" w:type="dxa"/>
            <w:vAlign w:val="center"/>
          </w:tcPr>
          <w:p w14:paraId="1176A0B5" w14:textId="349AD139" w:rsidR="0040255D" w:rsidRPr="00371690" w:rsidRDefault="0040255D" w:rsidP="006D1F41">
            <w:pPr>
              <w:rPr>
                <w:sz w:val="20"/>
                <w:szCs w:val="20"/>
                <w:lang w:val="lt-LT"/>
              </w:rPr>
            </w:pPr>
            <w:r w:rsidRPr="00371690">
              <w:rPr>
                <w:sz w:val="20"/>
                <w:szCs w:val="20"/>
                <w:lang w:val="lt-LT"/>
              </w:rPr>
              <w:t>1.4. punkte ribojamas ilgis iki 7900mm. Šioje autobusų klasėje (M3/ iki 6000kg) daug autobusų gamintojai gamina autobusus su 7700 – 8100 mm ilgyje. ( tai yra originalioje bazėje prailginti autobusai su komfortiškais tarpais tarp sėdynių.) Prašome patikslinti autobuso ilgį iki 8100mm, tuo neribodami dalyvių ir pasilikdami teisę gauti kuo daugiau Pirkėjui naudingų pasiūlymų.</w:t>
            </w:r>
          </w:p>
        </w:tc>
        <w:tc>
          <w:tcPr>
            <w:tcW w:w="2126" w:type="dxa"/>
            <w:vAlign w:val="center"/>
          </w:tcPr>
          <w:p w14:paraId="101102D8" w14:textId="38A7C99D" w:rsidR="0040255D" w:rsidRPr="00371690" w:rsidRDefault="00A508A7" w:rsidP="00CD23D3">
            <w:pPr>
              <w:ind w:right="15"/>
              <w:rPr>
                <w:sz w:val="20"/>
                <w:szCs w:val="20"/>
                <w:lang w:val="lt-LT"/>
              </w:rPr>
            </w:pPr>
            <w:r>
              <w:rPr>
                <w:sz w:val="20"/>
                <w:szCs w:val="20"/>
                <w:lang w:val="lt-LT"/>
              </w:rPr>
              <w:t>Vertinama</w:t>
            </w:r>
          </w:p>
        </w:tc>
      </w:tr>
      <w:tr w:rsidR="00A508A7" w:rsidRPr="00371690" w14:paraId="40ECC168" w14:textId="77777777" w:rsidTr="007E5D67">
        <w:trPr>
          <w:trHeight w:val="467"/>
        </w:trPr>
        <w:tc>
          <w:tcPr>
            <w:tcW w:w="567" w:type="dxa"/>
          </w:tcPr>
          <w:p w14:paraId="5729BAB8" w14:textId="77777777" w:rsidR="00A508A7" w:rsidRPr="00371690" w:rsidRDefault="00A508A7" w:rsidP="00A508A7">
            <w:pPr>
              <w:pStyle w:val="ListParagraph"/>
              <w:numPr>
                <w:ilvl w:val="0"/>
                <w:numId w:val="1"/>
              </w:numPr>
              <w:jc w:val="center"/>
              <w:rPr>
                <w:b/>
                <w:bCs/>
                <w:sz w:val="20"/>
                <w:szCs w:val="20"/>
                <w:lang w:val="lt-LT"/>
              </w:rPr>
            </w:pPr>
          </w:p>
        </w:tc>
        <w:tc>
          <w:tcPr>
            <w:tcW w:w="12049" w:type="dxa"/>
            <w:vAlign w:val="center"/>
          </w:tcPr>
          <w:p w14:paraId="76ED1203" w14:textId="33304734" w:rsidR="00A508A7" w:rsidRPr="00371690" w:rsidRDefault="00A508A7" w:rsidP="00A508A7">
            <w:pPr>
              <w:rPr>
                <w:sz w:val="20"/>
                <w:szCs w:val="20"/>
                <w:lang w:val="lt-LT"/>
              </w:rPr>
            </w:pPr>
            <w:r w:rsidRPr="00371690">
              <w:rPr>
                <w:sz w:val="20"/>
                <w:szCs w:val="20"/>
                <w:lang w:val="lt-LT"/>
              </w:rPr>
              <w:t>1.7. punkte aukštis ribojamas iki 3000mm. Šioje klasėje dauguma autobusų gamintojų naudoja aukštį 2850 – 3187 mm. Prašome patikslinti autobuso aukštį iki 3200mm, tuo neribodami dalyvių ir pasilikdami teisę gauti kuo daugiau Pirkėjui naudingų pasiūlymų</w:t>
            </w:r>
          </w:p>
        </w:tc>
        <w:tc>
          <w:tcPr>
            <w:tcW w:w="2126" w:type="dxa"/>
          </w:tcPr>
          <w:p w14:paraId="40776F11" w14:textId="0EA01417" w:rsidR="00A508A7" w:rsidRPr="00371690" w:rsidRDefault="00A508A7" w:rsidP="00A508A7">
            <w:pPr>
              <w:ind w:right="15"/>
              <w:rPr>
                <w:sz w:val="20"/>
                <w:szCs w:val="20"/>
                <w:lang w:val="lt-LT"/>
              </w:rPr>
            </w:pPr>
            <w:r w:rsidRPr="00A34525">
              <w:rPr>
                <w:sz w:val="20"/>
                <w:szCs w:val="20"/>
                <w:lang w:val="lt-LT"/>
              </w:rPr>
              <w:t>Vertinama</w:t>
            </w:r>
          </w:p>
        </w:tc>
      </w:tr>
      <w:tr w:rsidR="00A508A7" w:rsidRPr="00371690" w14:paraId="41D7733B" w14:textId="77777777" w:rsidTr="007E5D67">
        <w:trPr>
          <w:trHeight w:val="467"/>
        </w:trPr>
        <w:tc>
          <w:tcPr>
            <w:tcW w:w="567" w:type="dxa"/>
          </w:tcPr>
          <w:p w14:paraId="55C491A4" w14:textId="77777777" w:rsidR="00A508A7" w:rsidRPr="00371690" w:rsidRDefault="00A508A7" w:rsidP="00A508A7">
            <w:pPr>
              <w:pStyle w:val="ListParagraph"/>
              <w:numPr>
                <w:ilvl w:val="0"/>
                <w:numId w:val="1"/>
              </w:numPr>
              <w:jc w:val="center"/>
              <w:rPr>
                <w:b/>
                <w:bCs/>
                <w:sz w:val="20"/>
                <w:szCs w:val="20"/>
                <w:lang w:val="lt-LT"/>
              </w:rPr>
            </w:pPr>
          </w:p>
        </w:tc>
        <w:tc>
          <w:tcPr>
            <w:tcW w:w="12049" w:type="dxa"/>
            <w:vAlign w:val="center"/>
          </w:tcPr>
          <w:p w14:paraId="711418C4" w14:textId="49734EDF" w:rsidR="00A508A7" w:rsidRPr="00371690" w:rsidRDefault="00A508A7" w:rsidP="00A508A7">
            <w:pPr>
              <w:rPr>
                <w:sz w:val="20"/>
                <w:szCs w:val="20"/>
                <w:lang w:val="lt-LT"/>
              </w:rPr>
            </w:pPr>
            <w:r w:rsidRPr="00371690">
              <w:rPr>
                <w:sz w:val="20"/>
                <w:szCs w:val="20"/>
                <w:lang w:val="lt-LT"/>
              </w:rPr>
              <w:t>2.43. Pirmos pakopos autobusų gamintojų originalios bazės gaminamos baltos spalvos. Spalva būna pirminė, padengta aukščiausios klasės gamykline kokybe. Mokykliniai autobusai neprivalo būti geltonos spalvos, o apipavidalinti kaip „Mokykliniai autobusai“ pagal galiojančius LR reikalavimus. Dauguma Savivaldybių įsigyja baltos spalvos mokyklinius autobusus, tuo išsaugodami originalų ir ilgaamžišką spalvos padengimą. Pirkėjui siūlytumėm reikalavimą patikslinti į „geltonos arba baltos spalvos“.</w:t>
            </w:r>
          </w:p>
        </w:tc>
        <w:tc>
          <w:tcPr>
            <w:tcW w:w="2126" w:type="dxa"/>
          </w:tcPr>
          <w:p w14:paraId="48E6304A" w14:textId="2E2F6124" w:rsidR="00A508A7" w:rsidRPr="00371690" w:rsidRDefault="00A508A7" w:rsidP="00A508A7">
            <w:pPr>
              <w:ind w:right="15"/>
              <w:rPr>
                <w:sz w:val="20"/>
                <w:szCs w:val="20"/>
                <w:lang w:val="lt-LT"/>
              </w:rPr>
            </w:pPr>
            <w:r w:rsidRPr="00A34525">
              <w:rPr>
                <w:sz w:val="20"/>
                <w:szCs w:val="20"/>
                <w:lang w:val="lt-LT"/>
              </w:rPr>
              <w:t>Vertinama</w:t>
            </w:r>
          </w:p>
        </w:tc>
      </w:tr>
      <w:tr w:rsidR="00A508A7" w:rsidRPr="00371690" w14:paraId="0FE8B675" w14:textId="77777777" w:rsidTr="007E5D67">
        <w:trPr>
          <w:trHeight w:val="467"/>
        </w:trPr>
        <w:tc>
          <w:tcPr>
            <w:tcW w:w="567" w:type="dxa"/>
          </w:tcPr>
          <w:p w14:paraId="016C6AF1" w14:textId="77777777" w:rsidR="00A508A7" w:rsidRPr="00371690" w:rsidRDefault="00A508A7" w:rsidP="00A508A7">
            <w:pPr>
              <w:pStyle w:val="ListParagraph"/>
              <w:numPr>
                <w:ilvl w:val="0"/>
                <w:numId w:val="1"/>
              </w:numPr>
              <w:jc w:val="center"/>
              <w:rPr>
                <w:b/>
                <w:bCs/>
                <w:sz w:val="20"/>
                <w:szCs w:val="20"/>
                <w:lang w:val="lt-LT"/>
              </w:rPr>
            </w:pPr>
          </w:p>
        </w:tc>
        <w:tc>
          <w:tcPr>
            <w:tcW w:w="12049" w:type="dxa"/>
            <w:vAlign w:val="center"/>
          </w:tcPr>
          <w:p w14:paraId="7EC060F7" w14:textId="281E6B6C" w:rsidR="00A508A7" w:rsidRPr="00371690" w:rsidRDefault="00A508A7" w:rsidP="00A508A7">
            <w:pPr>
              <w:rPr>
                <w:i/>
                <w:iCs/>
                <w:sz w:val="20"/>
                <w:szCs w:val="20"/>
                <w:lang w:val="lt-LT"/>
              </w:rPr>
            </w:pPr>
            <w:r w:rsidRPr="00371690">
              <w:rPr>
                <w:sz w:val="20"/>
                <w:szCs w:val="20"/>
                <w:lang w:val="lt-LT"/>
              </w:rPr>
              <w:t xml:space="preserve">Vairuotojo ir keleivių patogumui reikėtų būtinai įtraukti privalomą panoraminių elektra arba oru valdomų durų reikalavimą. Tai yra daug mokiniams daug saugesnės - aklosios zonos matomumui ir varstymui siaurose gatvėse) durys. Savivaldybių reikalavimas dėl įlaipinimo/išlaipinimo durų mokykliniams autobusams skamba dažniausia taip: </w:t>
            </w:r>
            <w:r w:rsidRPr="00371690">
              <w:rPr>
                <w:i/>
                <w:iCs/>
                <w:sz w:val="20"/>
                <w:szCs w:val="20"/>
                <w:lang w:val="lt-LT"/>
              </w:rPr>
              <w:t>“Panoraminės (aklosios zonos saugumui – ne mažiau kaip 70 proc. stiklas) keleivių įlipimo/išlipimo durys, valdomos oru arba elektra, atsidarančios iš kairės pusės, link galinės ašies. Stiklo plotas skaičiuojamas duryse – t. y. kėbulo dalyje, kuri slenkasi iš kairės pusės link</w:t>
            </w:r>
          </w:p>
          <w:p w14:paraId="374F3E1F" w14:textId="3554E043" w:rsidR="00A508A7" w:rsidRPr="00371690" w:rsidRDefault="00A508A7" w:rsidP="00A508A7">
            <w:pPr>
              <w:rPr>
                <w:sz w:val="20"/>
                <w:szCs w:val="20"/>
                <w:lang w:val="lt-LT"/>
              </w:rPr>
            </w:pPr>
            <w:r w:rsidRPr="00371690">
              <w:rPr>
                <w:i/>
                <w:iCs/>
                <w:sz w:val="20"/>
                <w:szCs w:val="20"/>
                <w:lang w:val="lt-LT"/>
              </w:rPr>
              <w:t>galinės ašies).“</w:t>
            </w:r>
          </w:p>
        </w:tc>
        <w:tc>
          <w:tcPr>
            <w:tcW w:w="2126" w:type="dxa"/>
          </w:tcPr>
          <w:p w14:paraId="39E48C57" w14:textId="6AAE710D" w:rsidR="00A508A7" w:rsidRPr="00371690" w:rsidRDefault="00A508A7" w:rsidP="00A508A7">
            <w:pPr>
              <w:ind w:right="15"/>
              <w:rPr>
                <w:sz w:val="20"/>
                <w:szCs w:val="20"/>
                <w:lang w:val="lt-LT"/>
              </w:rPr>
            </w:pPr>
            <w:r w:rsidRPr="00A34525">
              <w:rPr>
                <w:sz w:val="20"/>
                <w:szCs w:val="20"/>
                <w:lang w:val="lt-LT"/>
              </w:rPr>
              <w:t>Vertinama</w:t>
            </w:r>
          </w:p>
        </w:tc>
      </w:tr>
      <w:tr w:rsidR="00A508A7" w:rsidRPr="00371690" w14:paraId="143FF6AA" w14:textId="77777777" w:rsidTr="007E5D67">
        <w:trPr>
          <w:trHeight w:val="467"/>
        </w:trPr>
        <w:tc>
          <w:tcPr>
            <w:tcW w:w="567" w:type="dxa"/>
          </w:tcPr>
          <w:p w14:paraId="6DAC599A" w14:textId="77777777" w:rsidR="00A508A7" w:rsidRPr="00371690" w:rsidRDefault="00A508A7" w:rsidP="00A508A7">
            <w:pPr>
              <w:pStyle w:val="ListParagraph"/>
              <w:numPr>
                <w:ilvl w:val="0"/>
                <w:numId w:val="1"/>
              </w:numPr>
              <w:jc w:val="center"/>
              <w:rPr>
                <w:b/>
                <w:bCs/>
                <w:sz w:val="20"/>
                <w:szCs w:val="20"/>
                <w:lang w:val="lt-LT"/>
              </w:rPr>
            </w:pPr>
          </w:p>
        </w:tc>
        <w:tc>
          <w:tcPr>
            <w:tcW w:w="12049" w:type="dxa"/>
            <w:vAlign w:val="center"/>
          </w:tcPr>
          <w:p w14:paraId="0903688A" w14:textId="77777777" w:rsidR="00A508A7" w:rsidRPr="00371690" w:rsidRDefault="00A508A7" w:rsidP="00A508A7">
            <w:pPr>
              <w:rPr>
                <w:sz w:val="20"/>
                <w:szCs w:val="20"/>
                <w:lang w:val="lt-LT"/>
              </w:rPr>
            </w:pPr>
            <w:r w:rsidRPr="00371690">
              <w:rPr>
                <w:sz w:val="20"/>
                <w:szCs w:val="20"/>
                <w:lang w:val="lt-LT"/>
              </w:rPr>
              <w:t>2.26 punktas: Informuojame, kad pagal galiojančius teisės aktus ir JT EEK 48R taisyklės reikalavimus, papildomi posūkio signalai autobusų kėbulo viršutinėje dalyje gali būti montuojami tik galinėje transporto priemonės dalyje. Todėl reikalavimas dėl papildomų priekinių viršutinių posūkio signalų įrengimo gali neatitikti taikomo teisinio reguliavimo.</w:t>
            </w:r>
          </w:p>
          <w:p w14:paraId="07F66481" w14:textId="1945A60F" w:rsidR="00A508A7" w:rsidRPr="00371690" w:rsidRDefault="00A508A7" w:rsidP="00A508A7">
            <w:pPr>
              <w:rPr>
                <w:sz w:val="20"/>
                <w:szCs w:val="20"/>
                <w:lang w:val="lt-LT"/>
              </w:rPr>
            </w:pPr>
            <w:r w:rsidRPr="00371690">
              <w:rPr>
                <w:sz w:val="20"/>
                <w:szCs w:val="20"/>
                <w:lang w:val="lt-LT"/>
              </w:rPr>
              <w:t>Siūlytume atitinkamai patikslinti techninės specifikacijos 2.26 punkto formuluotę, numatant papildomų viršutinių posūkio signalų įrengimą tik galinėje autobuso dalyje, laikantis galiojančių norminių reikalavimų.</w:t>
            </w:r>
          </w:p>
        </w:tc>
        <w:tc>
          <w:tcPr>
            <w:tcW w:w="2126" w:type="dxa"/>
          </w:tcPr>
          <w:p w14:paraId="7E3D645B" w14:textId="4133EACC" w:rsidR="00A508A7" w:rsidRPr="00371690" w:rsidRDefault="00A508A7" w:rsidP="00A508A7">
            <w:pPr>
              <w:ind w:right="15"/>
              <w:rPr>
                <w:sz w:val="20"/>
                <w:szCs w:val="20"/>
                <w:lang w:val="lt-LT"/>
              </w:rPr>
            </w:pPr>
            <w:r w:rsidRPr="00A34525">
              <w:rPr>
                <w:sz w:val="20"/>
                <w:szCs w:val="20"/>
                <w:lang w:val="lt-LT"/>
              </w:rPr>
              <w:t>Vertinama</w:t>
            </w:r>
          </w:p>
        </w:tc>
      </w:tr>
      <w:tr w:rsidR="00A508A7" w:rsidRPr="00371690" w14:paraId="6C21D226" w14:textId="77777777" w:rsidTr="007E5D67">
        <w:trPr>
          <w:trHeight w:val="467"/>
        </w:trPr>
        <w:tc>
          <w:tcPr>
            <w:tcW w:w="567" w:type="dxa"/>
          </w:tcPr>
          <w:p w14:paraId="74E6981E" w14:textId="77777777" w:rsidR="00A508A7" w:rsidRPr="00371690" w:rsidRDefault="00A508A7" w:rsidP="00A508A7">
            <w:pPr>
              <w:pStyle w:val="ListParagraph"/>
              <w:numPr>
                <w:ilvl w:val="0"/>
                <w:numId w:val="1"/>
              </w:numPr>
              <w:jc w:val="center"/>
              <w:rPr>
                <w:b/>
                <w:bCs/>
                <w:sz w:val="20"/>
                <w:szCs w:val="20"/>
                <w:lang w:val="lt-LT"/>
              </w:rPr>
            </w:pPr>
          </w:p>
        </w:tc>
        <w:tc>
          <w:tcPr>
            <w:tcW w:w="12049" w:type="dxa"/>
            <w:vAlign w:val="center"/>
          </w:tcPr>
          <w:p w14:paraId="28BA21FF" w14:textId="37183883" w:rsidR="00A508A7" w:rsidRPr="00371690" w:rsidRDefault="00A508A7" w:rsidP="00A508A7">
            <w:pPr>
              <w:rPr>
                <w:sz w:val="20"/>
                <w:szCs w:val="20"/>
                <w:lang w:val="lt-LT"/>
              </w:rPr>
            </w:pPr>
            <w:r w:rsidRPr="00371690">
              <w:rPr>
                <w:sz w:val="20"/>
                <w:szCs w:val="20"/>
                <w:lang w:val="lt-LT"/>
              </w:rPr>
              <w:t>Dėl galinių ratų komplektacijos: Siūlytume apsvarstyti galimybę elektrinio autobuso techninėje specifikacijoje numatyti alternatyvą, leidžiančią dalyvauti transporto priemonėms tiek su dvigubais, tiek su viengubais galiniais ratais, jeigu yra užtikrinami visi kiti keliami techniniai, saugumo ir eksploataciniai reikalavimai.</w:t>
            </w:r>
          </w:p>
          <w:p w14:paraId="4D66B839" w14:textId="5A49F353" w:rsidR="00A508A7" w:rsidRPr="00371690" w:rsidRDefault="00A508A7" w:rsidP="00A508A7">
            <w:pPr>
              <w:rPr>
                <w:sz w:val="20"/>
                <w:szCs w:val="20"/>
                <w:lang w:val="lt-LT"/>
              </w:rPr>
            </w:pPr>
            <w:r w:rsidRPr="00371690">
              <w:rPr>
                <w:sz w:val="20"/>
                <w:szCs w:val="20"/>
                <w:lang w:val="lt-LT"/>
              </w:rPr>
              <w:t>Pažymime, kad galinių ratų komplektacijos sprendinys savaime neturi tiesioginės įtakos pirkimo objekto funkcionalumui, keleivių vežimo paskirčiai, saugumui ar eksploatacinėms savybėms, jei transporto priemonė atitinka gamintojo nustatytas apkrovos, stabilumo ir techninio tinkamumo charakteristikas. Toks pakeitimas galėtų prisidėti prie platesnės tiekėjų konkurencijos ir ekonomiškai naudingesnių pasiūlymų gavimo.</w:t>
            </w:r>
          </w:p>
        </w:tc>
        <w:tc>
          <w:tcPr>
            <w:tcW w:w="2126" w:type="dxa"/>
          </w:tcPr>
          <w:p w14:paraId="052EB6A7" w14:textId="7FC35D3C" w:rsidR="00A508A7" w:rsidRPr="00371690" w:rsidRDefault="00A508A7" w:rsidP="00A508A7">
            <w:pPr>
              <w:ind w:right="15"/>
              <w:rPr>
                <w:sz w:val="20"/>
                <w:szCs w:val="20"/>
                <w:lang w:val="lt-LT"/>
              </w:rPr>
            </w:pPr>
            <w:r w:rsidRPr="00A34525">
              <w:rPr>
                <w:sz w:val="20"/>
                <w:szCs w:val="20"/>
                <w:lang w:val="lt-LT"/>
              </w:rPr>
              <w:t>Vertinama</w:t>
            </w:r>
          </w:p>
        </w:tc>
      </w:tr>
      <w:tr w:rsidR="00A508A7" w:rsidRPr="00371690" w14:paraId="019D52BF" w14:textId="77777777" w:rsidTr="007E5D67">
        <w:trPr>
          <w:trHeight w:val="467"/>
        </w:trPr>
        <w:tc>
          <w:tcPr>
            <w:tcW w:w="567" w:type="dxa"/>
          </w:tcPr>
          <w:p w14:paraId="6887DF75" w14:textId="77777777" w:rsidR="00A508A7" w:rsidRPr="00371690" w:rsidRDefault="00A508A7" w:rsidP="00A508A7">
            <w:pPr>
              <w:pStyle w:val="ListParagraph"/>
              <w:numPr>
                <w:ilvl w:val="0"/>
                <w:numId w:val="1"/>
              </w:numPr>
              <w:jc w:val="center"/>
              <w:rPr>
                <w:b/>
                <w:bCs/>
                <w:sz w:val="20"/>
                <w:szCs w:val="20"/>
                <w:lang w:val="lt-LT"/>
              </w:rPr>
            </w:pPr>
          </w:p>
        </w:tc>
        <w:tc>
          <w:tcPr>
            <w:tcW w:w="12049" w:type="dxa"/>
            <w:vAlign w:val="center"/>
          </w:tcPr>
          <w:p w14:paraId="4C8BBD83" w14:textId="64CA7F20" w:rsidR="00A508A7" w:rsidRDefault="00A508A7" w:rsidP="00A508A7">
            <w:pPr>
              <w:rPr>
                <w:sz w:val="20"/>
                <w:szCs w:val="20"/>
                <w:lang w:val="lt-LT"/>
              </w:rPr>
            </w:pPr>
            <w:r w:rsidRPr="00371690">
              <w:rPr>
                <w:sz w:val="20"/>
                <w:szCs w:val="20"/>
                <w:lang w:val="lt-LT"/>
              </w:rPr>
              <w:t>Dėl sėdimų vietų skaičiaus: siūlytume apsvarstyti galimybę sumažinti minimalų sėdimų vietų skaičių nuo 22 iki 19 vietų.</w:t>
            </w:r>
          </w:p>
          <w:p w14:paraId="74FF754B" w14:textId="77E9ABC0" w:rsidR="00A508A7" w:rsidRPr="00371690" w:rsidRDefault="00A508A7" w:rsidP="00A508A7">
            <w:pPr>
              <w:rPr>
                <w:sz w:val="20"/>
                <w:szCs w:val="20"/>
                <w:lang w:val="lt-LT"/>
              </w:rPr>
            </w:pPr>
            <w:r w:rsidRPr="00371690">
              <w:rPr>
                <w:sz w:val="20"/>
                <w:szCs w:val="20"/>
                <w:lang w:val="lt-LT"/>
              </w:rPr>
              <w:t>Mūsų vertinimu, 19 sėdimų vietų išdėstymas leistų užtikrinti didesnius tarpus tarp sėdynių, platesnį</w:t>
            </w:r>
            <w:r>
              <w:rPr>
                <w:sz w:val="20"/>
                <w:szCs w:val="20"/>
                <w:lang w:val="lt-LT"/>
              </w:rPr>
              <w:t xml:space="preserve"> </w:t>
            </w:r>
            <w:r w:rsidRPr="00371690">
              <w:rPr>
                <w:sz w:val="20"/>
                <w:szCs w:val="20"/>
                <w:lang w:val="lt-LT"/>
              </w:rPr>
              <w:t>praėjimą bei</w:t>
            </w:r>
            <w:r>
              <w:rPr>
                <w:sz w:val="20"/>
                <w:szCs w:val="20"/>
                <w:lang w:val="lt-LT"/>
              </w:rPr>
              <w:t xml:space="preserve"> </w:t>
            </w:r>
            <w:r w:rsidRPr="00371690">
              <w:rPr>
                <w:sz w:val="20"/>
                <w:szCs w:val="20"/>
                <w:lang w:val="lt-LT"/>
              </w:rPr>
              <w:t>ergonomiškesnį salono išplanavimą, kas yra ypač aktualu mokyklinio autobuso</w:t>
            </w:r>
            <w:r>
              <w:rPr>
                <w:sz w:val="20"/>
                <w:szCs w:val="20"/>
                <w:lang w:val="lt-LT"/>
              </w:rPr>
              <w:t xml:space="preserve"> </w:t>
            </w:r>
            <w:r w:rsidRPr="00371690">
              <w:rPr>
                <w:sz w:val="20"/>
                <w:szCs w:val="20"/>
                <w:lang w:val="lt-LT"/>
              </w:rPr>
              <w:t>paskirtyje, siekiant didesnio mokinių komforto ir patogumo kelionių metu. Toks sprendimas taip pat</w:t>
            </w:r>
            <w:r>
              <w:rPr>
                <w:sz w:val="20"/>
                <w:szCs w:val="20"/>
                <w:lang w:val="lt-LT"/>
              </w:rPr>
              <w:t xml:space="preserve"> </w:t>
            </w:r>
            <w:r w:rsidRPr="00371690">
              <w:rPr>
                <w:sz w:val="20"/>
                <w:szCs w:val="20"/>
                <w:lang w:val="lt-LT"/>
              </w:rPr>
              <w:t>galėtų turėti teigiamą įtaką įlaipinimo, išlaipinimo bei bendro judėjimo salone patogumui.</w:t>
            </w:r>
          </w:p>
          <w:p w14:paraId="3F947BAC" w14:textId="27F22E79" w:rsidR="00A508A7" w:rsidRPr="00371690" w:rsidRDefault="00A508A7" w:rsidP="00A508A7">
            <w:pPr>
              <w:rPr>
                <w:sz w:val="20"/>
                <w:szCs w:val="20"/>
                <w:lang w:val="lt-LT"/>
              </w:rPr>
            </w:pPr>
          </w:p>
        </w:tc>
        <w:tc>
          <w:tcPr>
            <w:tcW w:w="2126" w:type="dxa"/>
          </w:tcPr>
          <w:p w14:paraId="02C95A64" w14:textId="04DCD1CB" w:rsidR="00A508A7" w:rsidRPr="00371690" w:rsidRDefault="00A508A7" w:rsidP="00A508A7">
            <w:pPr>
              <w:ind w:right="15"/>
              <w:rPr>
                <w:sz w:val="20"/>
                <w:szCs w:val="20"/>
                <w:lang w:val="lt-LT"/>
              </w:rPr>
            </w:pPr>
            <w:r w:rsidRPr="00A34525">
              <w:rPr>
                <w:sz w:val="20"/>
                <w:szCs w:val="20"/>
                <w:lang w:val="lt-LT"/>
              </w:rPr>
              <w:t>Vertinama</w:t>
            </w:r>
          </w:p>
        </w:tc>
      </w:tr>
    </w:tbl>
    <w:p w14:paraId="674A9C7B" w14:textId="77777777" w:rsidR="00467E71" w:rsidRPr="00A508A7" w:rsidRDefault="00467E71" w:rsidP="00E83C7E">
      <w:pPr>
        <w:jc w:val="center"/>
        <w:rPr>
          <w:b/>
          <w:lang w:val="lt-LT"/>
        </w:rPr>
      </w:pPr>
    </w:p>
    <w:sectPr w:rsidR="00467E71" w:rsidRPr="00A508A7" w:rsidSect="004F06FA">
      <w:headerReference w:type="default" r:id="rId7"/>
      <w:footerReference w:type="even" r:id="rId8"/>
      <w:footerReference w:type="default" r:id="rId9"/>
      <w:pgSz w:w="16838" w:h="11906" w:orient="landscape"/>
      <w:pgMar w:top="878" w:right="878" w:bottom="878" w:left="878"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85B0" w14:textId="77777777" w:rsidR="00351ED0" w:rsidRDefault="00351ED0">
      <w:r>
        <w:separator/>
      </w:r>
    </w:p>
  </w:endnote>
  <w:endnote w:type="continuationSeparator" w:id="0">
    <w:p w14:paraId="6A2AAC27" w14:textId="77777777" w:rsidR="00351ED0" w:rsidRDefault="0035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620C" w14:textId="77777777" w:rsidR="002A3E2D" w:rsidRDefault="002A3E2D" w:rsidP="002A3E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263C9A" w14:textId="77777777" w:rsidR="002A3E2D" w:rsidRDefault="002A3E2D" w:rsidP="002A3E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C12A" w14:textId="77777777" w:rsidR="002A3E2D" w:rsidRPr="0081566F" w:rsidRDefault="00EC3F40" w:rsidP="002A3E2D">
    <w:pPr>
      <w:ind w:right="360"/>
      <w:jc w:val="right"/>
      <w:rPr>
        <w:lang w:val="lt-LT"/>
      </w:rPr>
    </w:pPr>
    <w:r w:rsidRPr="0081566F">
      <w:rPr>
        <w:sz w:val="18"/>
        <w:szCs w:val="18"/>
        <w:lang w:val="lt-LT"/>
      </w:rPr>
      <w:t xml:space="preserve">Puslapis </w:t>
    </w:r>
    <w:r w:rsidRPr="0081566F">
      <w:rPr>
        <w:rFonts w:eastAsia="Times New Roman"/>
        <w:sz w:val="18"/>
        <w:szCs w:val="18"/>
        <w:lang w:val="lt-LT"/>
      </w:rPr>
      <w:fldChar w:fldCharType="begin"/>
    </w:r>
    <w:r w:rsidRPr="0081566F">
      <w:rPr>
        <w:rFonts w:eastAsia="Times New Roman"/>
        <w:sz w:val="18"/>
        <w:szCs w:val="18"/>
        <w:lang w:val="lt-LT"/>
      </w:rPr>
      <w:instrText xml:space="preserve"> PAGE </w:instrText>
    </w:r>
    <w:r w:rsidRPr="0081566F">
      <w:rPr>
        <w:rFonts w:eastAsia="Times New Roman"/>
        <w:sz w:val="18"/>
        <w:szCs w:val="18"/>
        <w:lang w:val="lt-LT"/>
      </w:rPr>
      <w:fldChar w:fldCharType="separate"/>
    </w:r>
    <w:r w:rsidRPr="0081566F">
      <w:rPr>
        <w:rFonts w:eastAsia="Times New Roman"/>
        <w:sz w:val="18"/>
        <w:szCs w:val="18"/>
        <w:lang w:val="lt-LT"/>
      </w:rPr>
      <w:t>1</w:t>
    </w:r>
    <w:r w:rsidRPr="0081566F">
      <w:rPr>
        <w:rFonts w:eastAsia="Times New Roman"/>
        <w:sz w:val="18"/>
        <w:szCs w:val="18"/>
        <w:lang w:val="lt-LT"/>
      </w:rPr>
      <w:fldChar w:fldCharType="end"/>
    </w:r>
    <w:r w:rsidRPr="0081566F">
      <w:rPr>
        <w:sz w:val="18"/>
        <w:szCs w:val="18"/>
        <w:lang w:val="lt-LT"/>
      </w:rPr>
      <w:t xml:space="preserve"> iš </w:t>
    </w:r>
    <w:r w:rsidRPr="0081566F">
      <w:rPr>
        <w:rFonts w:eastAsia="Times New Roman"/>
        <w:sz w:val="18"/>
        <w:szCs w:val="18"/>
        <w:lang w:val="lt-LT"/>
      </w:rPr>
      <w:fldChar w:fldCharType="begin"/>
    </w:r>
    <w:r w:rsidRPr="0081566F">
      <w:rPr>
        <w:rFonts w:eastAsia="Times New Roman"/>
        <w:sz w:val="18"/>
        <w:szCs w:val="18"/>
        <w:lang w:val="lt-LT"/>
      </w:rPr>
      <w:instrText xml:space="preserve"> NUMPAGES </w:instrText>
    </w:r>
    <w:r w:rsidRPr="0081566F">
      <w:rPr>
        <w:rFonts w:eastAsia="Times New Roman"/>
        <w:sz w:val="18"/>
        <w:szCs w:val="18"/>
        <w:lang w:val="lt-LT"/>
      </w:rPr>
      <w:fldChar w:fldCharType="separate"/>
    </w:r>
    <w:r w:rsidRPr="0081566F">
      <w:rPr>
        <w:rFonts w:eastAsia="Times New Roman"/>
        <w:sz w:val="18"/>
        <w:szCs w:val="18"/>
        <w:lang w:val="lt-LT"/>
      </w:rPr>
      <w:t>2</w:t>
    </w:r>
    <w:r w:rsidRPr="0081566F">
      <w:rPr>
        <w:rFonts w:eastAsia="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ABA5" w14:textId="77777777" w:rsidR="00351ED0" w:rsidRDefault="00351ED0">
      <w:r>
        <w:separator/>
      </w:r>
    </w:p>
  </w:footnote>
  <w:footnote w:type="continuationSeparator" w:id="0">
    <w:p w14:paraId="104F025B" w14:textId="77777777" w:rsidR="00351ED0" w:rsidRDefault="00351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F38A" w14:textId="03EFD785" w:rsidR="00E83C7E" w:rsidRPr="00E83C7E" w:rsidRDefault="00E83C7E" w:rsidP="00E83C7E">
    <w:pPr>
      <w:rPr>
        <w:lang w:val="lt-LT"/>
      </w:rPr>
    </w:pPr>
    <w:r w:rsidRPr="00E83C7E">
      <w:rPr>
        <w:noProof/>
        <w:lang w:val="lt-LT"/>
      </w:rPr>
      <mc:AlternateContent>
        <mc:Choice Requires="wps">
          <w:drawing>
            <wp:anchor distT="152400" distB="152400" distL="152400" distR="152400" simplePos="0" relativeHeight="251659264" behindDoc="1" locked="0" layoutInCell="1" allowOverlap="1" wp14:anchorId="3190D9D6" wp14:editId="70F28A01">
              <wp:simplePos x="0" y="0"/>
              <wp:positionH relativeFrom="page">
                <wp:posOffset>-23051</wp:posOffset>
              </wp:positionH>
              <wp:positionV relativeFrom="page">
                <wp:posOffset>519846</wp:posOffset>
              </wp:positionV>
              <wp:extent cx="10780662" cy="24130"/>
              <wp:effectExtent l="12700" t="12700" r="14605" b="13970"/>
              <wp:wrapNone/>
              <wp:docPr id="1073741825" name="officeArt object"/>
              <wp:cNvGraphicFramePr/>
              <a:graphic xmlns:a="http://schemas.openxmlformats.org/drawingml/2006/main">
                <a:graphicData uri="http://schemas.microsoft.com/office/word/2010/wordprocessingShape">
                  <wps:wsp>
                    <wps:cNvCnPr/>
                    <wps:spPr>
                      <a:xfrm flipV="1">
                        <a:off x="0" y="0"/>
                        <a:ext cx="10780662" cy="2413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46763BEE" id="officeArt object" o:spid="_x0000_s1026" style="position:absolute;flip:y;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1.8pt,40.95pt" to="847.05pt,4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" strokecolor="#535f65" strokeweight="2pt">
              <v:stroke miterlimit="4" joinstyle="miter"/>
              <w10:wrap anchorx="page" anchory="page"/>
            </v:line>
          </w:pict>
        </mc:Fallback>
      </mc:AlternateContent>
    </w:r>
  </w:p>
  <w:p w14:paraId="0D987238" w14:textId="7FC000E9" w:rsidR="002A3E2D" w:rsidRPr="002C291D" w:rsidRDefault="002A3E2D" w:rsidP="00E83C7E">
    <w:pPr>
      <w:tabs>
        <w:tab w:val="left" w:pos="4453"/>
      </w:tabs>
      <w:spacing w:line="276" w:lineRule="auto"/>
      <w:rPr>
        <w:sz w:val="22"/>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AA3"/>
    <w:multiLevelType w:val="hybridMultilevel"/>
    <w:tmpl w:val="FC027F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6280343"/>
    <w:multiLevelType w:val="hybridMultilevel"/>
    <w:tmpl w:val="177C5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7022665"/>
    <w:multiLevelType w:val="hybridMultilevel"/>
    <w:tmpl w:val="DEA022B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9AB4D4F"/>
    <w:multiLevelType w:val="hybridMultilevel"/>
    <w:tmpl w:val="FC027F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B79687B"/>
    <w:multiLevelType w:val="hybridMultilevel"/>
    <w:tmpl w:val="FC027F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3835454"/>
    <w:multiLevelType w:val="hybridMultilevel"/>
    <w:tmpl w:val="FC027F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69E0AD2"/>
    <w:multiLevelType w:val="hybridMultilevel"/>
    <w:tmpl w:val="7E2A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15D02"/>
    <w:multiLevelType w:val="hybridMultilevel"/>
    <w:tmpl w:val="FC027F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77194263">
    <w:abstractNumId w:val="1"/>
  </w:num>
  <w:num w:numId="2" w16cid:durableId="1069235386">
    <w:abstractNumId w:val="6"/>
  </w:num>
  <w:num w:numId="3" w16cid:durableId="655644873">
    <w:abstractNumId w:val="2"/>
  </w:num>
  <w:num w:numId="4" w16cid:durableId="306710848">
    <w:abstractNumId w:val="4"/>
  </w:num>
  <w:num w:numId="5" w16cid:durableId="525949076">
    <w:abstractNumId w:val="3"/>
  </w:num>
  <w:num w:numId="6" w16cid:durableId="1547402928">
    <w:abstractNumId w:val="7"/>
  </w:num>
  <w:num w:numId="7" w16cid:durableId="1872300948">
    <w:abstractNumId w:val="0"/>
  </w:num>
  <w:num w:numId="8" w16cid:durableId="1817339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1F"/>
    <w:rsid w:val="000062AA"/>
    <w:rsid w:val="00025EE5"/>
    <w:rsid w:val="00037657"/>
    <w:rsid w:val="000464DB"/>
    <w:rsid w:val="000472D8"/>
    <w:rsid w:val="00051ADD"/>
    <w:rsid w:val="000759B6"/>
    <w:rsid w:val="00096E8F"/>
    <w:rsid w:val="000A2C6E"/>
    <w:rsid w:val="000E0CBB"/>
    <w:rsid w:val="000F5F9C"/>
    <w:rsid w:val="00102076"/>
    <w:rsid w:val="00104372"/>
    <w:rsid w:val="0011010C"/>
    <w:rsid w:val="0012224D"/>
    <w:rsid w:val="0013117C"/>
    <w:rsid w:val="001311B0"/>
    <w:rsid w:val="0013779A"/>
    <w:rsid w:val="00147B7D"/>
    <w:rsid w:val="00147C6A"/>
    <w:rsid w:val="00166408"/>
    <w:rsid w:val="0017299D"/>
    <w:rsid w:val="00176D61"/>
    <w:rsid w:val="001838D6"/>
    <w:rsid w:val="00184BA0"/>
    <w:rsid w:val="001A37FD"/>
    <w:rsid w:val="001A39D7"/>
    <w:rsid w:val="001A5DEE"/>
    <w:rsid w:val="001B4C23"/>
    <w:rsid w:val="001C37B9"/>
    <w:rsid w:val="001D181E"/>
    <w:rsid w:val="00201B77"/>
    <w:rsid w:val="002043D9"/>
    <w:rsid w:val="00205B29"/>
    <w:rsid w:val="00210DEC"/>
    <w:rsid w:val="00227D65"/>
    <w:rsid w:val="00245F7F"/>
    <w:rsid w:val="00247A01"/>
    <w:rsid w:val="0025476C"/>
    <w:rsid w:val="00273188"/>
    <w:rsid w:val="00281EDC"/>
    <w:rsid w:val="00287EA5"/>
    <w:rsid w:val="002A3E2D"/>
    <w:rsid w:val="002B6E5A"/>
    <w:rsid w:val="002B71DF"/>
    <w:rsid w:val="002D14B5"/>
    <w:rsid w:val="002E0ACC"/>
    <w:rsid w:val="002E1568"/>
    <w:rsid w:val="002E3296"/>
    <w:rsid w:val="002E54E2"/>
    <w:rsid w:val="002F5351"/>
    <w:rsid w:val="003012FE"/>
    <w:rsid w:val="00303EB9"/>
    <w:rsid w:val="00305281"/>
    <w:rsid w:val="00314DE9"/>
    <w:rsid w:val="00323DBA"/>
    <w:rsid w:val="003241A9"/>
    <w:rsid w:val="00327465"/>
    <w:rsid w:val="0033040F"/>
    <w:rsid w:val="00330EFD"/>
    <w:rsid w:val="00332C70"/>
    <w:rsid w:val="00351ED0"/>
    <w:rsid w:val="00353322"/>
    <w:rsid w:val="00371690"/>
    <w:rsid w:val="00375007"/>
    <w:rsid w:val="003774FF"/>
    <w:rsid w:val="003874CE"/>
    <w:rsid w:val="003A6B09"/>
    <w:rsid w:val="003E1611"/>
    <w:rsid w:val="003E306F"/>
    <w:rsid w:val="0040255D"/>
    <w:rsid w:val="004152E0"/>
    <w:rsid w:val="0041538D"/>
    <w:rsid w:val="0043370E"/>
    <w:rsid w:val="00437883"/>
    <w:rsid w:val="004470BB"/>
    <w:rsid w:val="004545C5"/>
    <w:rsid w:val="0045477C"/>
    <w:rsid w:val="004550C5"/>
    <w:rsid w:val="00455431"/>
    <w:rsid w:val="00466603"/>
    <w:rsid w:val="00467E71"/>
    <w:rsid w:val="00474C8A"/>
    <w:rsid w:val="00477B23"/>
    <w:rsid w:val="00477FA0"/>
    <w:rsid w:val="004A1E5A"/>
    <w:rsid w:val="004A3B13"/>
    <w:rsid w:val="004B42C1"/>
    <w:rsid w:val="004B6F53"/>
    <w:rsid w:val="004C7603"/>
    <w:rsid w:val="004D1C11"/>
    <w:rsid w:val="004E0435"/>
    <w:rsid w:val="004F06FA"/>
    <w:rsid w:val="00503770"/>
    <w:rsid w:val="0051192E"/>
    <w:rsid w:val="005123BB"/>
    <w:rsid w:val="005250C3"/>
    <w:rsid w:val="005360DB"/>
    <w:rsid w:val="005403D6"/>
    <w:rsid w:val="00555848"/>
    <w:rsid w:val="0057642A"/>
    <w:rsid w:val="00580E73"/>
    <w:rsid w:val="00582407"/>
    <w:rsid w:val="0058272C"/>
    <w:rsid w:val="00594C3A"/>
    <w:rsid w:val="005A73E4"/>
    <w:rsid w:val="005D318B"/>
    <w:rsid w:val="0060072C"/>
    <w:rsid w:val="00644334"/>
    <w:rsid w:val="00685822"/>
    <w:rsid w:val="006957BC"/>
    <w:rsid w:val="006A1BDE"/>
    <w:rsid w:val="006B001E"/>
    <w:rsid w:val="006C08CD"/>
    <w:rsid w:val="006C09DE"/>
    <w:rsid w:val="006D1F41"/>
    <w:rsid w:val="006D7642"/>
    <w:rsid w:val="006F209E"/>
    <w:rsid w:val="006F5793"/>
    <w:rsid w:val="007020CA"/>
    <w:rsid w:val="00716523"/>
    <w:rsid w:val="00721BB6"/>
    <w:rsid w:val="00724559"/>
    <w:rsid w:val="00732B50"/>
    <w:rsid w:val="00763B73"/>
    <w:rsid w:val="00771A01"/>
    <w:rsid w:val="007810C3"/>
    <w:rsid w:val="0078398E"/>
    <w:rsid w:val="00784C72"/>
    <w:rsid w:val="0079249A"/>
    <w:rsid w:val="007A4CB5"/>
    <w:rsid w:val="007B75D3"/>
    <w:rsid w:val="007C5FE9"/>
    <w:rsid w:val="007D1EF3"/>
    <w:rsid w:val="007D5E88"/>
    <w:rsid w:val="007E1545"/>
    <w:rsid w:val="007E4D0F"/>
    <w:rsid w:val="007E5B69"/>
    <w:rsid w:val="007F34A5"/>
    <w:rsid w:val="007F66FF"/>
    <w:rsid w:val="00810FCE"/>
    <w:rsid w:val="0081566F"/>
    <w:rsid w:val="00850E30"/>
    <w:rsid w:val="00853C8A"/>
    <w:rsid w:val="00861340"/>
    <w:rsid w:val="00870734"/>
    <w:rsid w:val="00875EB4"/>
    <w:rsid w:val="00890808"/>
    <w:rsid w:val="008A1D23"/>
    <w:rsid w:val="008A286C"/>
    <w:rsid w:val="008B4D4B"/>
    <w:rsid w:val="008C211A"/>
    <w:rsid w:val="008C68D5"/>
    <w:rsid w:val="008D75C8"/>
    <w:rsid w:val="008F5CED"/>
    <w:rsid w:val="00923725"/>
    <w:rsid w:val="00923970"/>
    <w:rsid w:val="00940CCA"/>
    <w:rsid w:val="00945A5D"/>
    <w:rsid w:val="0095275B"/>
    <w:rsid w:val="00961D03"/>
    <w:rsid w:val="00967385"/>
    <w:rsid w:val="009A6E1C"/>
    <w:rsid w:val="009B4944"/>
    <w:rsid w:val="009C4996"/>
    <w:rsid w:val="009C549C"/>
    <w:rsid w:val="009E5400"/>
    <w:rsid w:val="009F19C8"/>
    <w:rsid w:val="009F34E5"/>
    <w:rsid w:val="00A02F82"/>
    <w:rsid w:val="00A10082"/>
    <w:rsid w:val="00A13795"/>
    <w:rsid w:val="00A15A8A"/>
    <w:rsid w:val="00A508A7"/>
    <w:rsid w:val="00A52005"/>
    <w:rsid w:val="00A52A3D"/>
    <w:rsid w:val="00A52D08"/>
    <w:rsid w:val="00A542E6"/>
    <w:rsid w:val="00A5609D"/>
    <w:rsid w:val="00A653B0"/>
    <w:rsid w:val="00A67CEB"/>
    <w:rsid w:val="00A81E97"/>
    <w:rsid w:val="00A835C7"/>
    <w:rsid w:val="00A948CF"/>
    <w:rsid w:val="00AA1AFF"/>
    <w:rsid w:val="00AA28D7"/>
    <w:rsid w:val="00AA3883"/>
    <w:rsid w:val="00AB0B84"/>
    <w:rsid w:val="00AC7856"/>
    <w:rsid w:val="00AD538D"/>
    <w:rsid w:val="00AE0990"/>
    <w:rsid w:val="00AE491D"/>
    <w:rsid w:val="00AF5EDF"/>
    <w:rsid w:val="00B24523"/>
    <w:rsid w:val="00B31794"/>
    <w:rsid w:val="00B36B27"/>
    <w:rsid w:val="00B45E5E"/>
    <w:rsid w:val="00B53DEE"/>
    <w:rsid w:val="00B64125"/>
    <w:rsid w:val="00B70802"/>
    <w:rsid w:val="00B80158"/>
    <w:rsid w:val="00B939A3"/>
    <w:rsid w:val="00B9592B"/>
    <w:rsid w:val="00B974B8"/>
    <w:rsid w:val="00BA2F91"/>
    <w:rsid w:val="00BB02C6"/>
    <w:rsid w:val="00BB3D94"/>
    <w:rsid w:val="00BE667B"/>
    <w:rsid w:val="00BF7916"/>
    <w:rsid w:val="00C00B14"/>
    <w:rsid w:val="00C06D6E"/>
    <w:rsid w:val="00C1025A"/>
    <w:rsid w:val="00C132F4"/>
    <w:rsid w:val="00C327F3"/>
    <w:rsid w:val="00C32BF8"/>
    <w:rsid w:val="00C34EE6"/>
    <w:rsid w:val="00C408C3"/>
    <w:rsid w:val="00C51D1F"/>
    <w:rsid w:val="00C549FF"/>
    <w:rsid w:val="00C60227"/>
    <w:rsid w:val="00C70495"/>
    <w:rsid w:val="00C8214C"/>
    <w:rsid w:val="00C8247A"/>
    <w:rsid w:val="00CB4EFF"/>
    <w:rsid w:val="00CE0541"/>
    <w:rsid w:val="00CE3EB0"/>
    <w:rsid w:val="00D02257"/>
    <w:rsid w:val="00D02391"/>
    <w:rsid w:val="00D1018F"/>
    <w:rsid w:val="00D154C8"/>
    <w:rsid w:val="00D2668C"/>
    <w:rsid w:val="00D341B2"/>
    <w:rsid w:val="00D524EA"/>
    <w:rsid w:val="00D60453"/>
    <w:rsid w:val="00D71767"/>
    <w:rsid w:val="00D81361"/>
    <w:rsid w:val="00DA49B1"/>
    <w:rsid w:val="00DB0DF7"/>
    <w:rsid w:val="00DB1A27"/>
    <w:rsid w:val="00DD372F"/>
    <w:rsid w:val="00E05743"/>
    <w:rsid w:val="00E20594"/>
    <w:rsid w:val="00E421C6"/>
    <w:rsid w:val="00E424FB"/>
    <w:rsid w:val="00E4321A"/>
    <w:rsid w:val="00E5091F"/>
    <w:rsid w:val="00E70EE7"/>
    <w:rsid w:val="00E7164E"/>
    <w:rsid w:val="00E72B0E"/>
    <w:rsid w:val="00E75634"/>
    <w:rsid w:val="00E75E72"/>
    <w:rsid w:val="00E81F73"/>
    <w:rsid w:val="00E83C7E"/>
    <w:rsid w:val="00E870F2"/>
    <w:rsid w:val="00EA3035"/>
    <w:rsid w:val="00EA3D31"/>
    <w:rsid w:val="00EB3377"/>
    <w:rsid w:val="00EB3714"/>
    <w:rsid w:val="00EB43DA"/>
    <w:rsid w:val="00EB755D"/>
    <w:rsid w:val="00EC3F40"/>
    <w:rsid w:val="00EE3650"/>
    <w:rsid w:val="00EF03E4"/>
    <w:rsid w:val="00F1481B"/>
    <w:rsid w:val="00F36998"/>
    <w:rsid w:val="00F433BB"/>
    <w:rsid w:val="00F439CD"/>
    <w:rsid w:val="00F50AA8"/>
    <w:rsid w:val="00F54B8B"/>
    <w:rsid w:val="00F628B8"/>
    <w:rsid w:val="00F928FA"/>
    <w:rsid w:val="00F965B0"/>
    <w:rsid w:val="00FD3662"/>
    <w:rsid w:val="00FE06ED"/>
    <w:rsid w:val="00FE7A3B"/>
    <w:rsid w:val="00FF6C73"/>
    <w:rsid w:val="00FF6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A0060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224D"/>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A3B"/>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GB"/>
    </w:rPr>
  </w:style>
  <w:style w:type="paragraph" w:styleId="Footer">
    <w:name w:val="footer"/>
    <w:basedOn w:val="Normal"/>
    <w:link w:val="FooterChar"/>
    <w:uiPriority w:val="99"/>
    <w:unhideWhenUsed/>
    <w:rsid w:val="001C37B9"/>
    <w:pPr>
      <w:widowControl w:val="0"/>
      <w:tabs>
        <w:tab w:val="center" w:pos="4680"/>
        <w:tab w:val="right" w:pos="9360"/>
      </w:tabs>
      <w:contextualSpacing/>
    </w:pPr>
    <w:rPr>
      <w:rFonts w:eastAsia="Times New Roman"/>
      <w:color w:val="000000"/>
    </w:rPr>
  </w:style>
  <w:style w:type="character" w:customStyle="1" w:styleId="FooterChar">
    <w:name w:val="Footer Char"/>
    <w:basedOn w:val="DefaultParagraphFont"/>
    <w:link w:val="Footer"/>
    <w:uiPriority w:val="99"/>
    <w:rsid w:val="001C37B9"/>
    <w:rPr>
      <w:rFonts w:ascii="Times New Roman" w:eastAsia="Times New Roman" w:hAnsi="Times New Roman" w:cs="Times New Roman"/>
      <w:color w:val="000000"/>
      <w:lang w:val="en-US"/>
    </w:rPr>
  </w:style>
  <w:style w:type="character" w:styleId="PageNumber">
    <w:name w:val="page number"/>
    <w:basedOn w:val="DefaultParagraphFont"/>
    <w:uiPriority w:val="99"/>
    <w:semiHidden/>
    <w:unhideWhenUsed/>
    <w:rsid w:val="001C37B9"/>
  </w:style>
  <w:style w:type="table" w:styleId="TableGrid">
    <w:name w:val="Table Grid"/>
    <w:basedOn w:val="TableNormal"/>
    <w:uiPriority w:val="39"/>
    <w:rsid w:val="00C10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rsid w:val="00850E30"/>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850E30"/>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FreeForm">
    <w:name w:val="Free Form"/>
    <w:rsid w:val="00850E30"/>
    <w:pPr>
      <w:pBdr>
        <w:top w:val="nil"/>
        <w:left w:val="nil"/>
        <w:bottom w:val="nil"/>
        <w:right w:val="nil"/>
        <w:between w:val="nil"/>
        <w:bar w:val="nil"/>
      </w:pBdr>
    </w:pPr>
    <w:rPr>
      <w:rFonts w:ascii="Helvetica Neue" w:eastAsia="Arial Unicode MS" w:hAnsi="Helvetica Neue" w:cs="Arial Unicode MS"/>
      <w:color w:val="413F3C"/>
      <w:sz w:val="16"/>
      <w:szCs w:val="16"/>
      <w:bdr w:val="nil"/>
      <w:lang w:eastAsia="en-GB"/>
    </w:rPr>
  </w:style>
  <w:style w:type="paragraph" w:customStyle="1" w:styleId="p1">
    <w:name w:val="p1"/>
    <w:basedOn w:val="Normal"/>
    <w:rsid w:val="00332C70"/>
    <w:rPr>
      <w:rFonts w:ascii="Verdana" w:hAnsi="Verdana"/>
      <w:sz w:val="17"/>
      <w:szCs w:val="17"/>
    </w:rPr>
  </w:style>
  <w:style w:type="paragraph" w:styleId="Header">
    <w:name w:val="header"/>
    <w:basedOn w:val="Normal"/>
    <w:link w:val="HeaderChar"/>
    <w:uiPriority w:val="99"/>
    <w:unhideWhenUsed/>
    <w:rsid w:val="007E1545"/>
    <w:pPr>
      <w:tabs>
        <w:tab w:val="center" w:pos="4680"/>
        <w:tab w:val="right" w:pos="9360"/>
      </w:tabs>
    </w:pPr>
  </w:style>
  <w:style w:type="character" w:customStyle="1" w:styleId="HeaderChar">
    <w:name w:val="Header Char"/>
    <w:basedOn w:val="DefaultParagraphFont"/>
    <w:link w:val="Header"/>
    <w:uiPriority w:val="99"/>
    <w:rsid w:val="007E1545"/>
    <w:rPr>
      <w:rFonts w:ascii="Times New Roman" w:hAnsi="Times New Roman" w:cs="Times New Roman"/>
      <w:lang w:val="en-US"/>
    </w:rPr>
  </w:style>
  <w:style w:type="character" w:styleId="Hyperlink">
    <w:name w:val="Hyperlink"/>
    <w:basedOn w:val="DefaultParagraphFont"/>
    <w:uiPriority w:val="99"/>
    <w:unhideWhenUsed/>
    <w:rsid w:val="00E83C7E"/>
    <w:rPr>
      <w:color w:val="0563C1" w:themeColor="hyperlink"/>
      <w:u w:val="single"/>
    </w:rPr>
  </w:style>
  <w:style w:type="character" w:styleId="UnresolvedMention">
    <w:name w:val="Unresolved Mention"/>
    <w:basedOn w:val="DefaultParagraphFont"/>
    <w:uiPriority w:val="99"/>
    <w:rsid w:val="00E83C7E"/>
    <w:rPr>
      <w:color w:val="605E5C"/>
      <w:shd w:val="clear" w:color="auto" w:fill="E1DFDD"/>
    </w:rPr>
  </w:style>
  <w:style w:type="paragraph" w:styleId="ListParagraph">
    <w:name w:val="List Paragraph"/>
    <w:basedOn w:val="Normal"/>
    <w:uiPriority w:val="34"/>
    <w:qFormat/>
    <w:rsid w:val="00E83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293">
      <w:bodyDiv w:val="1"/>
      <w:marLeft w:val="0"/>
      <w:marRight w:val="0"/>
      <w:marTop w:val="0"/>
      <w:marBottom w:val="0"/>
      <w:divBdr>
        <w:top w:val="none" w:sz="0" w:space="0" w:color="auto"/>
        <w:left w:val="none" w:sz="0" w:space="0" w:color="auto"/>
        <w:bottom w:val="none" w:sz="0" w:space="0" w:color="auto"/>
        <w:right w:val="none" w:sz="0" w:space="0" w:color="auto"/>
      </w:divBdr>
    </w:div>
    <w:div w:id="73859387">
      <w:bodyDiv w:val="1"/>
      <w:marLeft w:val="0"/>
      <w:marRight w:val="0"/>
      <w:marTop w:val="0"/>
      <w:marBottom w:val="0"/>
      <w:divBdr>
        <w:top w:val="none" w:sz="0" w:space="0" w:color="auto"/>
        <w:left w:val="none" w:sz="0" w:space="0" w:color="auto"/>
        <w:bottom w:val="none" w:sz="0" w:space="0" w:color="auto"/>
        <w:right w:val="none" w:sz="0" w:space="0" w:color="auto"/>
      </w:divBdr>
    </w:div>
    <w:div w:id="129440057">
      <w:bodyDiv w:val="1"/>
      <w:marLeft w:val="0"/>
      <w:marRight w:val="0"/>
      <w:marTop w:val="0"/>
      <w:marBottom w:val="0"/>
      <w:divBdr>
        <w:top w:val="none" w:sz="0" w:space="0" w:color="auto"/>
        <w:left w:val="none" w:sz="0" w:space="0" w:color="auto"/>
        <w:bottom w:val="none" w:sz="0" w:space="0" w:color="auto"/>
        <w:right w:val="none" w:sz="0" w:space="0" w:color="auto"/>
      </w:divBdr>
    </w:div>
    <w:div w:id="378435931">
      <w:bodyDiv w:val="1"/>
      <w:marLeft w:val="0"/>
      <w:marRight w:val="0"/>
      <w:marTop w:val="0"/>
      <w:marBottom w:val="0"/>
      <w:divBdr>
        <w:top w:val="none" w:sz="0" w:space="0" w:color="auto"/>
        <w:left w:val="none" w:sz="0" w:space="0" w:color="auto"/>
        <w:bottom w:val="none" w:sz="0" w:space="0" w:color="auto"/>
        <w:right w:val="none" w:sz="0" w:space="0" w:color="auto"/>
      </w:divBdr>
    </w:div>
    <w:div w:id="437989933">
      <w:bodyDiv w:val="1"/>
      <w:marLeft w:val="0"/>
      <w:marRight w:val="0"/>
      <w:marTop w:val="0"/>
      <w:marBottom w:val="0"/>
      <w:divBdr>
        <w:top w:val="none" w:sz="0" w:space="0" w:color="auto"/>
        <w:left w:val="none" w:sz="0" w:space="0" w:color="auto"/>
        <w:bottom w:val="none" w:sz="0" w:space="0" w:color="auto"/>
        <w:right w:val="none" w:sz="0" w:space="0" w:color="auto"/>
      </w:divBdr>
    </w:div>
    <w:div w:id="473837266">
      <w:bodyDiv w:val="1"/>
      <w:marLeft w:val="0"/>
      <w:marRight w:val="0"/>
      <w:marTop w:val="0"/>
      <w:marBottom w:val="0"/>
      <w:divBdr>
        <w:top w:val="none" w:sz="0" w:space="0" w:color="auto"/>
        <w:left w:val="none" w:sz="0" w:space="0" w:color="auto"/>
        <w:bottom w:val="none" w:sz="0" w:space="0" w:color="auto"/>
        <w:right w:val="none" w:sz="0" w:space="0" w:color="auto"/>
      </w:divBdr>
    </w:div>
    <w:div w:id="521286620">
      <w:bodyDiv w:val="1"/>
      <w:marLeft w:val="0"/>
      <w:marRight w:val="0"/>
      <w:marTop w:val="0"/>
      <w:marBottom w:val="0"/>
      <w:divBdr>
        <w:top w:val="none" w:sz="0" w:space="0" w:color="auto"/>
        <w:left w:val="none" w:sz="0" w:space="0" w:color="auto"/>
        <w:bottom w:val="none" w:sz="0" w:space="0" w:color="auto"/>
        <w:right w:val="none" w:sz="0" w:space="0" w:color="auto"/>
      </w:divBdr>
    </w:div>
    <w:div w:id="641085300">
      <w:bodyDiv w:val="1"/>
      <w:marLeft w:val="0"/>
      <w:marRight w:val="0"/>
      <w:marTop w:val="0"/>
      <w:marBottom w:val="0"/>
      <w:divBdr>
        <w:top w:val="none" w:sz="0" w:space="0" w:color="auto"/>
        <w:left w:val="none" w:sz="0" w:space="0" w:color="auto"/>
        <w:bottom w:val="none" w:sz="0" w:space="0" w:color="auto"/>
        <w:right w:val="none" w:sz="0" w:space="0" w:color="auto"/>
      </w:divBdr>
    </w:div>
    <w:div w:id="748576641">
      <w:bodyDiv w:val="1"/>
      <w:marLeft w:val="0"/>
      <w:marRight w:val="0"/>
      <w:marTop w:val="0"/>
      <w:marBottom w:val="0"/>
      <w:divBdr>
        <w:top w:val="none" w:sz="0" w:space="0" w:color="auto"/>
        <w:left w:val="none" w:sz="0" w:space="0" w:color="auto"/>
        <w:bottom w:val="none" w:sz="0" w:space="0" w:color="auto"/>
        <w:right w:val="none" w:sz="0" w:space="0" w:color="auto"/>
      </w:divBdr>
    </w:div>
    <w:div w:id="1077164776">
      <w:bodyDiv w:val="1"/>
      <w:marLeft w:val="0"/>
      <w:marRight w:val="0"/>
      <w:marTop w:val="0"/>
      <w:marBottom w:val="0"/>
      <w:divBdr>
        <w:top w:val="none" w:sz="0" w:space="0" w:color="auto"/>
        <w:left w:val="none" w:sz="0" w:space="0" w:color="auto"/>
        <w:bottom w:val="none" w:sz="0" w:space="0" w:color="auto"/>
        <w:right w:val="none" w:sz="0" w:space="0" w:color="auto"/>
      </w:divBdr>
    </w:div>
    <w:div w:id="1280450293">
      <w:bodyDiv w:val="1"/>
      <w:marLeft w:val="0"/>
      <w:marRight w:val="0"/>
      <w:marTop w:val="0"/>
      <w:marBottom w:val="0"/>
      <w:divBdr>
        <w:top w:val="none" w:sz="0" w:space="0" w:color="auto"/>
        <w:left w:val="none" w:sz="0" w:space="0" w:color="auto"/>
        <w:bottom w:val="none" w:sz="0" w:space="0" w:color="auto"/>
        <w:right w:val="none" w:sz="0" w:space="0" w:color="auto"/>
      </w:divBdr>
    </w:div>
    <w:div w:id="1359697638">
      <w:bodyDiv w:val="1"/>
      <w:marLeft w:val="0"/>
      <w:marRight w:val="0"/>
      <w:marTop w:val="0"/>
      <w:marBottom w:val="0"/>
      <w:divBdr>
        <w:top w:val="none" w:sz="0" w:space="0" w:color="auto"/>
        <w:left w:val="none" w:sz="0" w:space="0" w:color="auto"/>
        <w:bottom w:val="none" w:sz="0" w:space="0" w:color="auto"/>
        <w:right w:val="none" w:sz="0" w:space="0" w:color="auto"/>
      </w:divBdr>
    </w:div>
    <w:div w:id="1417828037">
      <w:bodyDiv w:val="1"/>
      <w:marLeft w:val="0"/>
      <w:marRight w:val="0"/>
      <w:marTop w:val="0"/>
      <w:marBottom w:val="0"/>
      <w:divBdr>
        <w:top w:val="none" w:sz="0" w:space="0" w:color="auto"/>
        <w:left w:val="none" w:sz="0" w:space="0" w:color="auto"/>
        <w:bottom w:val="none" w:sz="0" w:space="0" w:color="auto"/>
        <w:right w:val="none" w:sz="0" w:space="0" w:color="auto"/>
      </w:divBdr>
    </w:div>
    <w:div w:id="1613854942">
      <w:bodyDiv w:val="1"/>
      <w:marLeft w:val="0"/>
      <w:marRight w:val="0"/>
      <w:marTop w:val="0"/>
      <w:marBottom w:val="0"/>
      <w:divBdr>
        <w:top w:val="none" w:sz="0" w:space="0" w:color="auto"/>
        <w:left w:val="none" w:sz="0" w:space="0" w:color="auto"/>
        <w:bottom w:val="none" w:sz="0" w:space="0" w:color="auto"/>
        <w:right w:val="none" w:sz="0" w:space="0" w:color="auto"/>
      </w:divBdr>
    </w:div>
    <w:div w:id="1750813334">
      <w:bodyDiv w:val="1"/>
      <w:marLeft w:val="0"/>
      <w:marRight w:val="0"/>
      <w:marTop w:val="0"/>
      <w:marBottom w:val="0"/>
      <w:divBdr>
        <w:top w:val="none" w:sz="0" w:space="0" w:color="auto"/>
        <w:left w:val="none" w:sz="0" w:space="0" w:color="auto"/>
        <w:bottom w:val="none" w:sz="0" w:space="0" w:color="auto"/>
        <w:right w:val="none" w:sz="0" w:space="0" w:color="auto"/>
      </w:divBdr>
    </w:div>
    <w:div w:id="1814832715">
      <w:bodyDiv w:val="1"/>
      <w:marLeft w:val="0"/>
      <w:marRight w:val="0"/>
      <w:marTop w:val="0"/>
      <w:marBottom w:val="0"/>
      <w:divBdr>
        <w:top w:val="none" w:sz="0" w:space="0" w:color="auto"/>
        <w:left w:val="none" w:sz="0" w:space="0" w:color="auto"/>
        <w:bottom w:val="none" w:sz="0" w:space="0" w:color="auto"/>
        <w:right w:val="none" w:sz="0" w:space="0" w:color="auto"/>
      </w:divBdr>
    </w:div>
    <w:div w:id="1827553842">
      <w:bodyDiv w:val="1"/>
      <w:marLeft w:val="0"/>
      <w:marRight w:val="0"/>
      <w:marTop w:val="0"/>
      <w:marBottom w:val="0"/>
      <w:divBdr>
        <w:top w:val="none" w:sz="0" w:space="0" w:color="auto"/>
        <w:left w:val="none" w:sz="0" w:space="0" w:color="auto"/>
        <w:bottom w:val="none" w:sz="0" w:space="0" w:color="auto"/>
        <w:right w:val="none" w:sz="0" w:space="0" w:color="auto"/>
      </w:divBdr>
      <w:divsChild>
        <w:div w:id="289748845">
          <w:marLeft w:val="0"/>
          <w:marRight w:val="0"/>
          <w:marTop w:val="0"/>
          <w:marBottom w:val="0"/>
          <w:divBdr>
            <w:top w:val="none" w:sz="0" w:space="0" w:color="auto"/>
            <w:left w:val="none" w:sz="0" w:space="0" w:color="auto"/>
            <w:bottom w:val="none" w:sz="0" w:space="0" w:color="auto"/>
            <w:right w:val="none" w:sz="0" w:space="0" w:color="auto"/>
          </w:divBdr>
          <w:divsChild>
            <w:div w:id="2142993714">
              <w:marLeft w:val="0"/>
              <w:marRight w:val="0"/>
              <w:marTop w:val="0"/>
              <w:marBottom w:val="0"/>
              <w:divBdr>
                <w:top w:val="none" w:sz="0" w:space="0" w:color="auto"/>
                <w:left w:val="none" w:sz="0" w:space="0" w:color="auto"/>
                <w:bottom w:val="none" w:sz="0" w:space="0" w:color="auto"/>
                <w:right w:val="none" w:sz="0" w:space="0" w:color="auto"/>
              </w:divBdr>
              <w:divsChild>
                <w:div w:id="1363431913">
                  <w:marLeft w:val="0"/>
                  <w:marRight w:val="0"/>
                  <w:marTop w:val="0"/>
                  <w:marBottom w:val="0"/>
                  <w:divBdr>
                    <w:top w:val="none" w:sz="0" w:space="0" w:color="auto"/>
                    <w:left w:val="none" w:sz="0" w:space="0" w:color="auto"/>
                    <w:bottom w:val="none" w:sz="0" w:space="0" w:color="auto"/>
                    <w:right w:val="none" w:sz="0" w:space="0" w:color="auto"/>
                  </w:divBdr>
                  <w:divsChild>
                    <w:div w:id="4619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92843">
      <w:bodyDiv w:val="1"/>
      <w:marLeft w:val="0"/>
      <w:marRight w:val="0"/>
      <w:marTop w:val="0"/>
      <w:marBottom w:val="0"/>
      <w:divBdr>
        <w:top w:val="none" w:sz="0" w:space="0" w:color="auto"/>
        <w:left w:val="none" w:sz="0" w:space="0" w:color="auto"/>
        <w:bottom w:val="none" w:sz="0" w:space="0" w:color="auto"/>
        <w:right w:val="none" w:sz="0" w:space="0" w:color="auto"/>
      </w:divBdr>
    </w:div>
    <w:div w:id="2097481187">
      <w:bodyDiv w:val="1"/>
      <w:marLeft w:val="0"/>
      <w:marRight w:val="0"/>
      <w:marTop w:val="0"/>
      <w:marBottom w:val="0"/>
      <w:divBdr>
        <w:top w:val="none" w:sz="0" w:space="0" w:color="auto"/>
        <w:left w:val="none" w:sz="0" w:space="0" w:color="auto"/>
        <w:bottom w:val="none" w:sz="0" w:space="0" w:color="auto"/>
        <w:right w:val="none" w:sz="0" w:space="0" w:color="auto"/>
      </w:divBdr>
    </w:div>
    <w:div w:id="2106416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Ecocost UAB 301795597</dc:creator>
  <cp:keywords/>
  <dc:description/>
  <cp:lastModifiedBy>Žilvaras Gelumbauskas</cp:lastModifiedBy>
  <cp:revision>170</cp:revision>
  <cp:lastPrinted>2025-10-27T15:01:00Z</cp:lastPrinted>
  <dcterms:created xsi:type="dcterms:W3CDTF">2018-03-12T08:34:00Z</dcterms:created>
  <dcterms:modified xsi:type="dcterms:W3CDTF">2026-04-29T10:43:00Z</dcterms:modified>
</cp:coreProperties>
</file>