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C661" w14:textId="77777777" w:rsidR="005E4F9C" w:rsidRPr="00157F64" w:rsidRDefault="005E4F9C" w:rsidP="005E4F9C">
      <w:pPr>
        <w:pStyle w:val="Heading"/>
        <w:jc w:val="center"/>
        <w:rPr>
          <w:rFonts w:ascii="Jost" w:hAnsi="Jost"/>
          <w:noProof/>
          <w:color w:val="auto"/>
          <w:lang w:val="lt-LT"/>
        </w:rPr>
      </w:pPr>
    </w:p>
    <w:p w14:paraId="717E8CBB" w14:textId="1F8B8EE6" w:rsidR="005E4F9C" w:rsidRPr="00157F64" w:rsidRDefault="00157F64" w:rsidP="00230D89">
      <w:pPr>
        <w:jc w:val="center"/>
        <w:rPr>
          <w:rFonts w:ascii="Jost" w:hAnsi="Jost"/>
          <w:noProof/>
        </w:rPr>
      </w:pPr>
      <w:r w:rsidRPr="00157F64">
        <w:rPr>
          <w:rFonts w:ascii="Jost" w:hAnsi="Jost"/>
          <w:b/>
          <w:bCs/>
          <w:noProof/>
        </w:rPr>
        <w:t>VADYBOS SISTEMOS STANDARTAI</w:t>
      </w:r>
      <w:r w:rsidR="00230D89">
        <w:rPr>
          <w:rFonts w:ascii="Jost" w:hAnsi="Jost"/>
          <w:b/>
          <w:bCs/>
          <w:noProof/>
        </w:rPr>
        <w:t xml:space="preserve"> </w:t>
      </w:r>
      <w:r w:rsidR="001610FF" w:rsidRPr="00157F64">
        <w:rPr>
          <w:rFonts w:ascii="Jost" w:hAnsi="Jost"/>
          <w:b/>
          <w:bCs/>
          <w:noProof/>
        </w:rPr>
        <w:t>(PROJEKTAS)</w:t>
      </w:r>
    </w:p>
    <w:p w14:paraId="05A34ECB" w14:textId="77777777" w:rsidR="00157F64" w:rsidRPr="00157F64" w:rsidRDefault="00157F64" w:rsidP="00157F64">
      <w:pPr>
        <w:rPr>
          <w:rFonts w:ascii="Jost" w:hAnsi="Jost"/>
          <w:noProof/>
        </w:rPr>
      </w:pPr>
    </w:p>
    <w:tbl>
      <w:tblPr>
        <w:tblW w:w="5350" w:type="pct"/>
        <w:tblInd w:w="-370" w:type="dxa"/>
        <w:tblCellMar>
          <w:left w:w="0" w:type="dxa"/>
          <w:right w:w="0" w:type="dxa"/>
        </w:tblCellMar>
        <w:tblLook w:val="04A0" w:firstRow="1" w:lastRow="0" w:firstColumn="1" w:lastColumn="0" w:noHBand="0" w:noVBand="1"/>
      </w:tblPr>
      <w:tblGrid>
        <w:gridCol w:w="822"/>
        <w:gridCol w:w="4734"/>
        <w:gridCol w:w="5621"/>
        <w:gridCol w:w="4394"/>
      </w:tblGrid>
      <w:tr w:rsidR="00157F64" w:rsidRPr="00157F64" w14:paraId="0DAAF4FB" w14:textId="77777777" w:rsidTr="00157F64">
        <w:tc>
          <w:tcPr>
            <w:tcW w:w="2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126F13" w14:textId="77777777" w:rsidR="00157F64" w:rsidRPr="00157F64" w:rsidRDefault="00157F64">
            <w:pPr>
              <w:rPr>
                <w:rFonts w:ascii="Jost" w:hAnsi="Jost"/>
                <w:b/>
                <w:bCs/>
                <w:noProof/>
              </w:rPr>
            </w:pPr>
            <w:r w:rsidRPr="00157F64">
              <w:rPr>
                <w:rFonts w:ascii="Jost" w:hAnsi="Jost"/>
                <w:b/>
                <w:bCs/>
                <w:noProof/>
              </w:rPr>
              <w:t>Eil. Nr.</w:t>
            </w:r>
          </w:p>
        </w:tc>
        <w:tc>
          <w:tcPr>
            <w:tcW w:w="152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F3C27FD" w14:textId="77777777" w:rsidR="00157F64" w:rsidRPr="00157F64" w:rsidRDefault="00157F64">
            <w:pPr>
              <w:rPr>
                <w:rFonts w:ascii="Jost" w:hAnsi="Jost"/>
                <w:b/>
                <w:bCs/>
                <w:noProof/>
              </w:rPr>
            </w:pPr>
            <w:r w:rsidRPr="00157F64">
              <w:rPr>
                <w:rFonts w:ascii="Jost" w:hAnsi="Jost"/>
                <w:b/>
                <w:bCs/>
                <w:noProof/>
              </w:rPr>
              <w:t>Reikalavimas</w:t>
            </w:r>
          </w:p>
        </w:tc>
        <w:tc>
          <w:tcPr>
            <w:tcW w:w="180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D6C099" w14:textId="77777777" w:rsidR="00157F64" w:rsidRPr="00157F64" w:rsidRDefault="00157F64">
            <w:pPr>
              <w:rPr>
                <w:rFonts w:ascii="Jost" w:hAnsi="Jost"/>
                <w:b/>
                <w:bCs/>
                <w:noProof/>
              </w:rPr>
            </w:pPr>
            <w:r w:rsidRPr="00157F64">
              <w:rPr>
                <w:rFonts w:ascii="Jost" w:hAnsi="Jost"/>
                <w:b/>
                <w:bCs/>
                <w:noProof/>
              </w:rPr>
              <w:t>Atitikį pagrindžiantys dokumentai</w:t>
            </w:r>
          </w:p>
        </w:tc>
        <w:tc>
          <w:tcPr>
            <w:tcW w:w="141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6A75D15" w14:textId="77777777" w:rsidR="00157F64" w:rsidRPr="00157F64" w:rsidRDefault="00157F64">
            <w:pPr>
              <w:rPr>
                <w:rFonts w:ascii="Jost" w:hAnsi="Jost"/>
                <w:b/>
                <w:bCs/>
                <w:noProof/>
              </w:rPr>
            </w:pPr>
            <w:r w:rsidRPr="00157F64">
              <w:rPr>
                <w:rFonts w:ascii="Jost" w:hAnsi="Jost"/>
                <w:b/>
                <w:bCs/>
                <w:noProof/>
              </w:rPr>
              <w:t>Subjektas, kuris turi atitikti reikalavimą</w:t>
            </w:r>
          </w:p>
        </w:tc>
      </w:tr>
      <w:tr w:rsidR="00157F64" w:rsidRPr="00157F64" w14:paraId="72D6223A" w14:textId="77777777" w:rsidTr="00157F64">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F8474" w14:textId="77777777" w:rsidR="00157F64" w:rsidRPr="00157F64" w:rsidRDefault="00157F64">
            <w:pPr>
              <w:pStyle w:val="BodyA"/>
              <w:spacing w:line="276" w:lineRule="auto"/>
              <w:jc w:val="center"/>
              <w:rPr>
                <w:rFonts w:ascii="Jost" w:hAnsi="Jost" w:cs="Times New Roman"/>
                <w:noProof/>
                <w:color w:val="auto"/>
                <w:sz w:val="22"/>
                <w:szCs w:val="22"/>
                <w:lang w:val="lt-LT"/>
              </w:rPr>
            </w:pPr>
            <w:r w:rsidRPr="00157F64">
              <w:rPr>
                <w:rFonts w:ascii="Jost" w:hAnsi="Jost" w:cs="Times New Roman"/>
                <w:noProof/>
                <w:color w:val="auto"/>
                <w:sz w:val="22"/>
                <w:szCs w:val="22"/>
                <w:lang w:val="lt-LT"/>
              </w:rPr>
              <w:t>1.</w:t>
            </w:r>
          </w:p>
        </w:tc>
        <w:tc>
          <w:tcPr>
            <w:tcW w:w="1520" w:type="pct"/>
            <w:tcBorders>
              <w:top w:val="nil"/>
              <w:left w:val="nil"/>
              <w:bottom w:val="single" w:sz="8" w:space="0" w:color="auto"/>
              <w:right w:val="single" w:sz="8" w:space="0" w:color="auto"/>
            </w:tcBorders>
            <w:tcMar>
              <w:top w:w="0" w:type="dxa"/>
              <w:left w:w="108" w:type="dxa"/>
              <w:bottom w:w="0" w:type="dxa"/>
              <w:right w:w="108" w:type="dxa"/>
            </w:tcMar>
          </w:tcPr>
          <w:p w14:paraId="37D93DB1" w14:textId="77777777" w:rsidR="00157F64" w:rsidRPr="00157F64" w:rsidRDefault="00157F64">
            <w:pPr>
              <w:pStyle w:val="BodyA"/>
              <w:spacing w:line="240" w:lineRule="auto"/>
              <w:jc w:val="both"/>
              <w:rPr>
                <w:rFonts w:ascii="Jost" w:hAnsi="Jost" w:cs="Times New Roman"/>
                <w:noProof/>
                <w:color w:val="auto"/>
                <w:sz w:val="22"/>
                <w:szCs w:val="22"/>
                <w:lang w:val="lt-LT"/>
              </w:rPr>
            </w:pPr>
            <w:r w:rsidRPr="00157F64">
              <w:rPr>
                <w:rFonts w:ascii="Jost" w:hAnsi="Jost" w:cs="Times New Roman"/>
                <w:noProof/>
                <w:color w:val="auto"/>
                <w:sz w:val="22"/>
                <w:szCs w:val="22"/>
                <w:lang w:val="lt-LT"/>
              </w:rPr>
              <w:t xml:space="preserve">Tiekėjas laikosi informacijos saugumo valdymo sistemos standarto ISO/IEC 27001 arba jam lygiaverčio standarto. </w:t>
            </w:r>
          </w:p>
          <w:p w14:paraId="24208A31" w14:textId="77777777" w:rsidR="00157F64" w:rsidRPr="00157F64" w:rsidRDefault="00157F64">
            <w:pPr>
              <w:pStyle w:val="BodyA"/>
              <w:spacing w:line="240" w:lineRule="auto"/>
              <w:jc w:val="both"/>
              <w:rPr>
                <w:rFonts w:ascii="Jost" w:hAnsi="Jost" w:cs="Times New Roman"/>
                <w:noProof/>
                <w:color w:val="auto"/>
                <w:sz w:val="22"/>
                <w:szCs w:val="22"/>
                <w:lang w:val="lt-LT"/>
              </w:rPr>
            </w:pPr>
          </w:p>
          <w:p w14:paraId="0F6239F1" w14:textId="77777777" w:rsidR="00157F64" w:rsidRPr="00157F64" w:rsidRDefault="00157F64">
            <w:pPr>
              <w:rPr>
                <w:rFonts w:ascii="Jost" w:hAnsi="Jost"/>
                <w:noProof/>
              </w:rPr>
            </w:pPr>
            <w:r w:rsidRPr="00157F64">
              <w:rPr>
                <w:rFonts w:ascii="Jost" w:hAnsi="Jost"/>
                <w:noProof/>
              </w:rPr>
              <w:t>*Sritis, kuri nurodoma išduodant sertifikatus, neapibrėžiama (nesiaurinama). Perkančioji organizacija priims kaip tinkamus sertifikatus ir(ar) kitus lygiaverčius įrodymus, jei Tiekėjas informacijos saugos valdymui minėto ISO standarto arba lygiaverčio standarto reikalavimus taiko bet kuriai taikymo sričiai. </w:t>
            </w:r>
          </w:p>
        </w:tc>
        <w:tc>
          <w:tcPr>
            <w:tcW w:w="1805" w:type="pct"/>
            <w:tcBorders>
              <w:top w:val="nil"/>
              <w:left w:val="nil"/>
              <w:bottom w:val="single" w:sz="8" w:space="0" w:color="auto"/>
              <w:right w:val="single" w:sz="8" w:space="0" w:color="auto"/>
            </w:tcBorders>
            <w:tcMar>
              <w:top w:w="0" w:type="dxa"/>
              <w:left w:w="108" w:type="dxa"/>
              <w:bottom w:w="0" w:type="dxa"/>
              <w:right w:w="108" w:type="dxa"/>
            </w:tcMar>
          </w:tcPr>
          <w:p w14:paraId="4655989C" w14:textId="77777777" w:rsidR="00157F64" w:rsidRPr="00157F64" w:rsidRDefault="00157F64">
            <w:pPr>
              <w:pStyle w:val="Body2"/>
              <w:spacing w:after="0"/>
              <w:rPr>
                <w:rFonts w:ascii="Jost" w:hAnsi="Jost" w:cs="Times New Roman"/>
                <w:noProof/>
                <w:color w:val="auto"/>
                <w:lang w:val="lt-LT"/>
              </w:rPr>
            </w:pPr>
            <w:r w:rsidRPr="00157F64">
              <w:rPr>
                <w:rFonts w:ascii="Jost" w:hAnsi="Jost"/>
                <w:noProof/>
                <w:color w:val="auto"/>
                <w:lang w:val="lt-LT"/>
              </w:rPr>
              <w:t xml:space="preserve">Tiekėjas, kuris pagal vertinimo rezultatus galės būti pripažintas laimėjusiu, Perkančiajai organizacijai paprašius, turės pateikti nepriklausomos sertifikavimo įstaigos išduotą galiojantį standarto ISO/IEC 27001 arba lygiaverčio standarto atitikties sertifikatą, arba kitus lygiaverčius dokumentus. </w:t>
            </w:r>
          </w:p>
          <w:p w14:paraId="5CCC6C24" w14:textId="77777777" w:rsidR="00157F64" w:rsidRPr="00157F64" w:rsidRDefault="00157F64">
            <w:pPr>
              <w:pStyle w:val="BodyA"/>
              <w:spacing w:line="240" w:lineRule="auto"/>
              <w:jc w:val="both"/>
              <w:rPr>
                <w:rFonts w:ascii="Jost" w:hAnsi="Jost" w:cs="Times New Roman"/>
                <w:noProof/>
                <w:color w:val="auto"/>
                <w:sz w:val="22"/>
                <w:szCs w:val="22"/>
                <w:lang w:val="lt-LT"/>
              </w:rPr>
            </w:pPr>
            <w:r w:rsidRPr="00157F64">
              <w:rPr>
                <w:rFonts w:ascii="Jost" w:hAnsi="Jost" w:cs="Times New Roman"/>
                <w:noProof/>
                <w:color w:val="auto"/>
                <w:sz w:val="22"/>
                <w:szCs w:val="22"/>
                <w:lang w:val="lt-LT"/>
              </w:rPr>
              <w:t>Tiekėjas gali pateikti lygiaverčius įrodymus, jeigu tiekėjas dėl nuo jo nepriklausančių objektyvių priežasčių negali pateikti sertifikatų per nustatytą laiką (tiekėjas kreipėsi į sertifikavimo įstaigą ir atlieka vadybos sistemos sertifikavimą, kuris dar nėra užbaigtas).</w:t>
            </w:r>
          </w:p>
          <w:p w14:paraId="295D8842" w14:textId="77777777" w:rsidR="00157F64" w:rsidRPr="00157F64" w:rsidRDefault="00157F64">
            <w:pPr>
              <w:pStyle w:val="BodyA"/>
              <w:spacing w:line="240" w:lineRule="auto"/>
              <w:jc w:val="both"/>
              <w:rPr>
                <w:rFonts w:ascii="Jost" w:hAnsi="Jost" w:cs="Times New Roman"/>
                <w:noProof/>
                <w:color w:val="auto"/>
                <w:sz w:val="22"/>
                <w:szCs w:val="22"/>
                <w:lang w:val="lt-LT"/>
              </w:rPr>
            </w:pPr>
          </w:p>
          <w:p w14:paraId="04410407" w14:textId="77777777" w:rsidR="00157F64" w:rsidRPr="00157F64" w:rsidRDefault="00157F64">
            <w:pPr>
              <w:rPr>
                <w:rFonts w:ascii="Jost" w:hAnsi="Jost"/>
                <w:noProof/>
                <w:lang w:eastAsia="en-GB"/>
              </w:rPr>
            </w:pPr>
            <w:r w:rsidRPr="00157F64">
              <w:rPr>
                <w:rFonts w:ascii="Jost" w:hAnsi="Jost"/>
                <w:noProof/>
                <w:lang w:eastAsia="en-GB"/>
              </w:rPr>
              <w:t>Perkančioji organizacija pripažįsta kitose valstybėse narėse įsisteigusių nepriklausomų įstaigų išduotus lygiaverčius sertifikatus.</w:t>
            </w:r>
          </w:p>
          <w:p w14:paraId="4D442EEC" w14:textId="77777777" w:rsidR="00157F64" w:rsidRPr="00157F64" w:rsidRDefault="00157F64">
            <w:pPr>
              <w:rPr>
                <w:rFonts w:ascii="Jost" w:hAnsi="Jost"/>
                <w:noProof/>
                <w:lang w:eastAsia="en-GB"/>
              </w:rPr>
            </w:pPr>
          </w:p>
          <w:p w14:paraId="4BC8FE48" w14:textId="77777777" w:rsidR="00157F64" w:rsidRPr="00157F64" w:rsidRDefault="00157F64">
            <w:pPr>
              <w:pStyle w:val="BodyA"/>
              <w:spacing w:line="240" w:lineRule="auto"/>
              <w:jc w:val="both"/>
              <w:rPr>
                <w:rFonts w:ascii="Jost" w:hAnsi="Jost" w:cs="Times New Roman"/>
                <w:noProof/>
                <w:color w:val="auto"/>
                <w:sz w:val="22"/>
                <w:szCs w:val="22"/>
                <w:lang w:val="lt-LT"/>
              </w:rPr>
            </w:pPr>
            <w:r w:rsidRPr="00157F64">
              <w:rPr>
                <w:rFonts w:ascii="Jost" w:hAnsi="Jost" w:cs="Times New Roman"/>
                <w:noProof/>
                <w:color w:val="auto"/>
                <w:sz w:val="22"/>
                <w:szCs w:val="22"/>
                <w:lang w:val="lt-LT"/>
              </w:rPr>
              <w:t>Sertifikatas turi galioti pasiūlymo pateikimo metu bei per visą sutarties vykdymo laikotarpį. Jeigu tiekėjo turimas sertifikato galiojimas baigiasi anksčiau arba sutarties vykdymo laikotarpiu, tiekėjas privalės pratęsti turimą sertifikatą (įsigyti naują) ir pateikti jį Perkančiajai organizacijai. Perkančioji organizacija pasilieka teisę nutraukti sutartį su tiekėju, jeigu sertifikatas nebus pratęstas arba bus sustabdytas ar nutrauktas jo galiojimas.</w:t>
            </w:r>
          </w:p>
        </w:tc>
        <w:tc>
          <w:tcPr>
            <w:tcW w:w="1411" w:type="pct"/>
            <w:tcBorders>
              <w:top w:val="nil"/>
              <w:left w:val="nil"/>
              <w:bottom w:val="single" w:sz="8" w:space="0" w:color="auto"/>
              <w:right w:val="single" w:sz="8" w:space="0" w:color="auto"/>
            </w:tcBorders>
            <w:tcMar>
              <w:top w:w="0" w:type="dxa"/>
              <w:left w:w="108" w:type="dxa"/>
              <w:bottom w:w="0" w:type="dxa"/>
              <w:right w:w="108" w:type="dxa"/>
            </w:tcMar>
          </w:tcPr>
          <w:p w14:paraId="78CFF53B" w14:textId="77777777" w:rsidR="00157F64" w:rsidRPr="00157F64" w:rsidRDefault="00157F64">
            <w:pPr>
              <w:pStyle w:val="Body2"/>
              <w:spacing w:after="0"/>
              <w:rPr>
                <w:rFonts w:ascii="Jost" w:hAnsi="Jost" w:cs="Times New Roman"/>
                <w:noProof/>
                <w:color w:val="auto"/>
                <w:lang w:val="lt-LT"/>
              </w:rPr>
            </w:pPr>
            <w:r w:rsidRPr="00157F64">
              <w:rPr>
                <w:rFonts w:ascii="Jost" w:hAnsi="Jost"/>
                <w:noProof/>
                <w:color w:val="auto"/>
                <w:lang w:val="lt-LT"/>
              </w:rPr>
              <w:t xml:space="preserve">Tiekėjas, tiekėjų grupės nariai, kiti ūkio subjektai, kurių pajėgumais remiasi tiekėjas, subtiekėjai, pagal prisiimamus įsipareigojimus. </w:t>
            </w:r>
          </w:p>
          <w:p w14:paraId="5CFFD9E9" w14:textId="77777777" w:rsidR="00157F64" w:rsidRPr="00157F64" w:rsidRDefault="00157F64">
            <w:pPr>
              <w:pStyle w:val="Body2"/>
              <w:spacing w:after="0"/>
              <w:rPr>
                <w:rFonts w:ascii="Jost" w:hAnsi="Jost"/>
                <w:noProof/>
                <w:color w:val="auto"/>
                <w:lang w:val="lt-LT"/>
              </w:rPr>
            </w:pPr>
            <w:r w:rsidRPr="00157F64">
              <w:rPr>
                <w:rFonts w:ascii="Jost" w:hAnsi="Jost"/>
                <w:noProof/>
                <w:color w:val="auto"/>
                <w:lang w:val="lt-LT"/>
              </w:rPr>
              <w:t>Tiekėjas gali remtis kitų ūkio subjektų pajėgumais tik tuo atveju, jeigu tie subjektai patys vykdys tą pirkimo sutarties dalį, kuriai reikia jų turimų pajėgumų.</w:t>
            </w:r>
          </w:p>
          <w:p w14:paraId="5E5794B0" w14:textId="77777777" w:rsidR="00157F64" w:rsidRPr="00157F64" w:rsidRDefault="00157F64">
            <w:pPr>
              <w:pStyle w:val="Body2"/>
              <w:spacing w:after="0"/>
              <w:rPr>
                <w:rFonts w:ascii="Jost" w:hAnsi="Jost"/>
                <w:noProof/>
                <w:color w:val="auto"/>
                <w:lang w:val="lt-LT"/>
              </w:rPr>
            </w:pPr>
          </w:p>
          <w:p w14:paraId="60F003FE" w14:textId="77777777" w:rsidR="00157F64" w:rsidRPr="00157F64" w:rsidRDefault="00157F64">
            <w:pPr>
              <w:pStyle w:val="BodyA"/>
              <w:spacing w:line="240" w:lineRule="auto"/>
              <w:jc w:val="both"/>
              <w:rPr>
                <w:rFonts w:ascii="Jost" w:hAnsi="Jost" w:cs="Times New Roman"/>
                <w:noProof/>
                <w:color w:val="auto"/>
                <w:sz w:val="22"/>
                <w:szCs w:val="22"/>
                <w:lang w:val="lt-LT"/>
              </w:rPr>
            </w:pPr>
          </w:p>
        </w:tc>
      </w:tr>
    </w:tbl>
    <w:p w14:paraId="64F99ECE" w14:textId="6E9EFA9E" w:rsidR="00966F8F" w:rsidRPr="00966F8F" w:rsidRDefault="00966F8F" w:rsidP="00966F8F">
      <w:pPr>
        <w:tabs>
          <w:tab w:val="left" w:pos="2976"/>
        </w:tabs>
        <w:rPr>
          <w:rFonts w:ascii="Jost" w:eastAsia="Times New Roman" w:hAnsi="Jost"/>
          <w:lang w:eastAsia="en-GB"/>
        </w:rPr>
      </w:pPr>
    </w:p>
    <w:sectPr w:rsidR="00966F8F" w:rsidRPr="00966F8F" w:rsidSect="00C25CEC">
      <w:headerReference w:type="default" r:id="rId7"/>
      <w:footerReference w:type="default" r:id="rId8"/>
      <w:headerReference w:type="first" r:id="rId9"/>
      <w:pgSz w:w="16840" w:h="11900" w:orient="landscape"/>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10A2" w14:textId="77777777" w:rsidR="009B6F9D" w:rsidRDefault="009B6F9D" w:rsidP="00992543">
      <w:r>
        <w:separator/>
      </w:r>
    </w:p>
  </w:endnote>
  <w:endnote w:type="continuationSeparator" w:id="0">
    <w:p w14:paraId="6D6E14CA" w14:textId="77777777" w:rsidR="009B6F9D" w:rsidRDefault="009B6F9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BAE" w14:textId="0AF24B62"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7C77" w14:textId="77777777" w:rsidR="009B6F9D" w:rsidRDefault="009B6F9D" w:rsidP="00992543">
      <w:r>
        <w:separator/>
      </w:r>
    </w:p>
  </w:footnote>
  <w:footnote w:type="continuationSeparator" w:id="0">
    <w:p w14:paraId="288D88F0" w14:textId="77777777" w:rsidR="009B6F9D" w:rsidRDefault="009B6F9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4D55" w14:textId="7FE94B5D" w:rsidR="00805393" w:rsidRDefault="00CA010D" w:rsidP="00A05600">
    <w:pPr>
      <w:pStyle w:val="Body"/>
      <w:jc w:val="right"/>
    </w:pPr>
    <w:r>
      <w:t>3 priedas</w:t>
    </w:r>
    <w:r w:rsidR="00A82A9E">
      <w:rPr>
        <w:noProof/>
      </w:rPr>
      <mc:AlternateContent>
        <mc:Choice Requires="wps">
          <w:drawing>
            <wp:anchor distT="152400" distB="152400" distL="152400" distR="152400" simplePos="0" relativeHeight="251658240" behindDoc="1" locked="0" layoutInCell="1" allowOverlap="1" wp14:anchorId="043847E7" wp14:editId="7E2B0BD5">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43CF4E3B"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F771" w14:textId="3D08FA90" w:rsidR="00F25D4B" w:rsidRPr="00F25D4B" w:rsidRDefault="00F25D4B" w:rsidP="00F25D4B">
    <w:pPr>
      <w:pStyle w:val="Header"/>
      <w:jc w:val="right"/>
      <w:rPr>
        <w:rFonts w:ascii="Jost" w:hAnsi="Jost"/>
        <w:sz w:val="20"/>
        <w:szCs w:val="20"/>
      </w:rPr>
    </w:pPr>
    <w:r w:rsidRPr="00F25D4B">
      <w:rPr>
        <w:rFonts w:ascii="Jost" w:hAnsi="Jost"/>
        <w:sz w:val="20"/>
        <w:szCs w:val="20"/>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061E"/>
    <w:multiLevelType w:val="hybridMultilevel"/>
    <w:tmpl w:val="6BC4C6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F17386"/>
    <w:multiLevelType w:val="hybridMultilevel"/>
    <w:tmpl w:val="FFFFFFFF"/>
    <w:lvl w:ilvl="0" w:tplc="753042B2">
      <w:start w:val="1"/>
      <w:numFmt w:val="bullet"/>
      <w:lvlText w:val="-"/>
      <w:lvlJc w:val="left"/>
      <w:pPr>
        <w:ind w:left="720" w:hanging="360"/>
      </w:pPr>
      <w:rPr>
        <w:rFonts w:ascii="Symbol" w:hAnsi="Symbol" w:hint="default"/>
      </w:rPr>
    </w:lvl>
    <w:lvl w:ilvl="1" w:tplc="1A2C7946">
      <w:start w:val="1"/>
      <w:numFmt w:val="bullet"/>
      <w:lvlText w:val="o"/>
      <w:lvlJc w:val="left"/>
      <w:pPr>
        <w:ind w:left="1440" w:hanging="360"/>
      </w:pPr>
      <w:rPr>
        <w:rFonts w:ascii="Courier New" w:hAnsi="Courier New" w:hint="default"/>
      </w:rPr>
    </w:lvl>
    <w:lvl w:ilvl="2" w:tplc="FF1208B6">
      <w:start w:val="1"/>
      <w:numFmt w:val="bullet"/>
      <w:lvlText w:val=""/>
      <w:lvlJc w:val="left"/>
      <w:pPr>
        <w:ind w:left="2160" w:hanging="360"/>
      </w:pPr>
      <w:rPr>
        <w:rFonts w:ascii="Wingdings" w:hAnsi="Wingdings" w:hint="default"/>
      </w:rPr>
    </w:lvl>
    <w:lvl w:ilvl="3" w:tplc="A372BAA6">
      <w:start w:val="1"/>
      <w:numFmt w:val="bullet"/>
      <w:lvlText w:val=""/>
      <w:lvlJc w:val="left"/>
      <w:pPr>
        <w:ind w:left="2880" w:hanging="360"/>
      </w:pPr>
      <w:rPr>
        <w:rFonts w:ascii="Symbol" w:hAnsi="Symbol" w:hint="default"/>
      </w:rPr>
    </w:lvl>
    <w:lvl w:ilvl="4" w:tplc="1182E5C6">
      <w:start w:val="1"/>
      <w:numFmt w:val="bullet"/>
      <w:lvlText w:val="o"/>
      <w:lvlJc w:val="left"/>
      <w:pPr>
        <w:ind w:left="3600" w:hanging="360"/>
      </w:pPr>
      <w:rPr>
        <w:rFonts w:ascii="Courier New" w:hAnsi="Courier New" w:hint="default"/>
      </w:rPr>
    </w:lvl>
    <w:lvl w:ilvl="5" w:tplc="A3465396">
      <w:start w:val="1"/>
      <w:numFmt w:val="bullet"/>
      <w:lvlText w:val=""/>
      <w:lvlJc w:val="left"/>
      <w:pPr>
        <w:ind w:left="4320" w:hanging="360"/>
      </w:pPr>
      <w:rPr>
        <w:rFonts w:ascii="Wingdings" w:hAnsi="Wingdings" w:hint="default"/>
      </w:rPr>
    </w:lvl>
    <w:lvl w:ilvl="6" w:tplc="3386FEB6">
      <w:start w:val="1"/>
      <w:numFmt w:val="bullet"/>
      <w:lvlText w:val=""/>
      <w:lvlJc w:val="left"/>
      <w:pPr>
        <w:ind w:left="5040" w:hanging="360"/>
      </w:pPr>
      <w:rPr>
        <w:rFonts w:ascii="Symbol" w:hAnsi="Symbol" w:hint="default"/>
      </w:rPr>
    </w:lvl>
    <w:lvl w:ilvl="7" w:tplc="570E4F1C">
      <w:start w:val="1"/>
      <w:numFmt w:val="bullet"/>
      <w:lvlText w:val="o"/>
      <w:lvlJc w:val="left"/>
      <w:pPr>
        <w:ind w:left="5760" w:hanging="360"/>
      </w:pPr>
      <w:rPr>
        <w:rFonts w:ascii="Courier New" w:hAnsi="Courier New" w:hint="default"/>
      </w:rPr>
    </w:lvl>
    <w:lvl w:ilvl="8" w:tplc="7D860020">
      <w:start w:val="1"/>
      <w:numFmt w:val="bullet"/>
      <w:lvlText w:val=""/>
      <w:lvlJc w:val="left"/>
      <w:pPr>
        <w:ind w:left="6480" w:hanging="360"/>
      </w:pPr>
      <w:rPr>
        <w:rFonts w:ascii="Wingdings" w:hAnsi="Wingding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2"/>
  </w:num>
  <w:num w:numId="2" w16cid:durableId="1995449866">
    <w:abstractNumId w:val="0"/>
  </w:num>
  <w:num w:numId="3" w16cid:durableId="67816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0B23"/>
    <w:rsid w:val="00007921"/>
    <w:rsid w:val="00014C41"/>
    <w:rsid w:val="000303DC"/>
    <w:rsid w:val="00035CAE"/>
    <w:rsid w:val="00051663"/>
    <w:rsid w:val="000564F8"/>
    <w:rsid w:val="0006194A"/>
    <w:rsid w:val="00064C99"/>
    <w:rsid w:val="00073BF2"/>
    <w:rsid w:val="00074879"/>
    <w:rsid w:val="0008474E"/>
    <w:rsid w:val="00084934"/>
    <w:rsid w:val="00092C15"/>
    <w:rsid w:val="0009563B"/>
    <w:rsid w:val="00096318"/>
    <w:rsid w:val="000B46B5"/>
    <w:rsid w:val="000B7F26"/>
    <w:rsid w:val="000C2B4D"/>
    <w:rsid w:val="000D1107"/>
    <w:rsid w:val="000D190D"/>
    <w:rsid w:val="000D2AC3"/>
    <w:rsid w:val="000D33E2"/>
    <w:rsid w:val="000F634B"/>
    <w:rsid w:val="0010193F"/>
    <w:rsid w:val="00111827"/>
    <w:rsid w:val="00112D89"/>
    <w:rsid w:val="00125AB0"/>
    <w:rsid w:val="001272B3"/>
    <w:rsid w:val="001310D3"/>
    <w:rsid w:val="001337C6"/>
    <w:rsid w:val="00140907"/>
    <w:rsid w:val="001428B7"/>
    <w:rsid w:val="00143C06"/>
    <w:rsid w:val="001443A3"/>
    <w:rsid w:val="0014560B"/>
    <w:rsid w:val="00145C0A"/>
    <w:rsid w:val="001472D1"/>
    <w:rsid w:val="00151570"/>
    <w:rsid w:val="00157F64"/>
    <w:rsid w:val="001610FF"/>
    <w:rsid w:val="0016649A"/>
    <w:rsid w:val="001676EB"/>
    <w:rsid w:val="001701C1"/>
    <w:rsid w:val="00174B62"/>
    <w:rsid w:val="00191404"/>
    <w:rsid w:val="00193055"/>
    <w:rsid w:val="00193440"/>
    <w:rsid w:val="001A071A"/>
    <w:rsid w:val="001B0255"/>
    <w:rsid w:val="001B614D"/>
    <w:rsid w:val="001B78A0"/>
    <w:rsid w:val="001C4694"/>
    <w:rsid w:val="001D0379"/>
    <w:rsid w:val="001D29A6"/>
    <w:rsid w:val="001E7EA9"/>
    <w:rsid w:val="001F69BA"/>
    <w:rsid w:val="00207E8C"/>
    <w:rsid w:val="00213A6B"/>
    <w:rsid w:val="002174E0"/>
    <w:rsid w:val="00230D89"/>
    <w:rsid w:val="00232799"/>
    <w:rsid w:val="00242345"/>
    <w:rsid w:val="002470CC"/>
    <w:rsid w:val="002538F1"/>
    <w:rsid w:val="002560CC"/>
    <w:rsid w:val="00256175"/>
    <w:rsid w:val="002621E9"/>
    <w:rsid w:val="002628FD"/>
    <w:rsid w:val="00263945"/>
    <w:rsid w:val="00267E64"/>
    <w:rsid w:val="0027024E"/>
    <w:rsid w:val="00273732"/>
    <w:rsid w:val="002775EE"/>
    <w:rsid w:val="00280A92"/>
    <w:rsid w:val="00286728"/>
    <w:rsid w:val="0029110A"/>
    <w:rsid w:val="00295E68"/>
    <w:rsid w:val="00297477"/>
    <w:rsid w:val="002A1230"/>
    <w:rsid w:val="002A1D36"/>
    <w:rsid w:val="002A6CC5"/>
    <w:rsid w:val="002B4D1F"/>
    <w:rsid w:val="002B583C"/>
    <w:rsid w:val="002D7D46"/>
    <w:rsid w:val="002E5D6C"/>
    <w:rsid w:val="002E7661"/>
    <w:rsid w:val="002F5176"/>
    <w:rsid w:val="002F53AD"/>
    <w:rsid w:val="002F7369"/>
    <w:rsid w:val="00302AB3"/>
    <w:rsid w:val="00305D27"/>
    <w:rsid w:val="0031630A"/>
    <w:rsid w:val="003171EC"/>
    <w:rsid w:val="00323B20"/>
    <w:rsid w:val="00325BD8"/>
    <w:rsid w:val="003304F9"/>
    <w:rsid w:val="00330F1B"/>
    <w:rsid w:val="00347D32"/>
    <w:rsid w:val="003563AD"/>
    <w:rsid w:val="003777A8"/>
    <w:rsid w:val="003813FD"/>
    <w:rsid w:val="00381F67"/>
    <w:rsid w:val="0038347F"/>
    <w:rsid w:val="003848AE"/>
    <w:rsid w:val="00390E93"/>
    <w:rsid w:val="00393317"/>
    <w:rsid w:val="003936CA"/>
    <w:rsid w:val="003B0CD9"/>
    <w:rsid w:val="003B3917"/>
    <w:rsid w:val="003B7B3A"/>
    <w:rsid w:val="003D0BFF"/>
    <w:rsid w:val="003D2219"/>
    <w:rsid w:val="003E26C5"/>
    <w:rsid w:val="003E45ED"/>
    <w:rsid w:val="003F77EB"/>
    <w:rsid w:val="00407BD5"/>
    <w:rsid w:val="00415926"/>
    <w:rsid w:val="00423465"/>
    <w:rsid w:val="00426865"/>
    <w:rsid w:val="00435CFB"/>
    <w:rsid w:val="00436708"/>
    <w:rsid w:val="00447B75"/>
    <w:rsid w:val="00464F52"/>
    <w:rsid w:val="00465CAA"/>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4681D"/>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E4F9C"/>
    <w:rsid w:val="005F4213"/>
    <w:rsid w:val="005F75BD"/>
    <w:rsid w:val="00600427"/>
    <w:rsid w:val="006018D0"/>
    <w:rsid w:val="00602D74"/>
    <w:rsid w:val="0061227E"/>
    <w:rsid w:val="0062016C"/>
    <w:rsid w:val="0062765C"/>
    <w:rsid w:val="00630693"/>
    <w:rsid w:val="00630ED2"/>
    <w:rsid w:val="006405C5"/>
    <w:rsid w:val="00651554"/>
    <w:rsid w:val="006519D0"/>
    <w:rsid w:val="00653BF4"/>
    <w:rsid w:val="00670C15"/>
    <w:rsid w:val="00670F6B"/>
    <w:rsid w:val="00682AF4"/>
    <w:rsid w:val="00684216"/>
    <w:rsid w:val="00696ED3"/>
    <w:rsid w:val="006A5295"/>
    <w:rsid w:val="006B4BFA"/>
    <w:rsid w:val="006B621E"/>
    <w:rsid w:val="006C1BF4"/>
    <w:rsid w:val="006C77CA"/>
    <w:rsid w:val="006E0399"/>
    <w:rsid w:val="006F3DD7"/>
    <w:rsid w:val="006F47F1"/>
    <w:rsid w:val="00700B8D"/>
    <w:rsid w:val="00710BB0"/>
    <w:rsid w:val="007201D1"/>
    <w:rsid w:val="0072611D"/>
    <w:rsid w:val="00726270"/>
    <w:rsid w:val="00731F1F"/>
    <w:rsid w:val="007717B3"/>
    <w:rsid w:val="00774E03"/>
    <w:rsid w:val="00775AD9"/>
    <w:rsid w:val="00776EF1"/>
    <w:rsid w:val="00777160"/>
    <w:rsid w:val="00780BA7"/>
    <w:rsid w:val="00781C75"/>
    <w:rsid w:val="0078302C"/>
    <w:rsid w:val="0079199D"/>
    <w:rsid w:val="00795B02"/>
    <w:rsid w:val="00796FC0"/>
    <w:rsid w:val="007B7480"/>
    <w:rsid w:val="007C76BD"/>
    <w:rsid w:val="007D47DB"/>
    <w:rsid w:val="007D7756"/>
    <w:rsid w:val="007D7F1F"/>
    <w:rsid w:val="007E7679"/>
    <w:rsid w:val="007F536A"/>
    <w:rsid w:val="007F5ACB"/>
    <w:rsid w:val="00805393"/>
    <w:rsid w:val="00811D4C"/>
    <w:rsid w:val="00814FFD"/>
    <w:rsid w:val="0082112A"/>
    <w:rsid w:val="00821B63"/>
    <w:rsid w:val="0083707B"/>
    <w:rsid w:val="008457F2"/>
    <w:rsid w:val="00857222"/>
    <w:rsid w:val="00860949"/>
    <w:rsid w:val="00860DD0"/>
    <w:rsid w:val="00885BFE"/>
    <w:rsid w:val="008924E9"/>
    <w:rsid w:val="008964BC"/>
    <w:rsid w:val="00896828"/>
    <w:rsid w:val="008A708A"/>
    <w:rsid w:val="008B2FB1"/>
    <w:rsid w:val="008C0AA1"/>
    <w:rsid w:val="008C5299"/>
    <w:rsid w:val="008C64F3"/>
    <w:rsid w:val="008F2244"/>
    <w:rsid w:val="008F5D16"/>
    <w:rsid w:val="008F6BCD"/>
    <w:rsid w:val="00900928"/>
    <w:rsid w:val="0091373A"/>
    <w:rsid w:val="00915F79"/>
    <w:rsid w:val="009266F9"/>
    <w:rsid w:val="00927667"/>
    <w:rsid w:val="009321BC"/>
    <w:rsid w:val="0093362C"/>
    <w:rsid w:val="00933823"/>
    <w:rsid w:val="0093686F"/>
    <w:rsid w:val="00940951"/>
    <w:rsid w:val="00942FBB"/>
    <w:rsid w:val="00946F10"/>
    <w:rsid w:val="00952AC1"/>
    <w:rsid w:val="00964262"/>
    <w:rsid w:val="00964B67"/>
    <w:rsid w:val="00966F8F"/>
    <w:rsid w:val="00975BA7"/>
    <w:rsid w:val="0098584D"/>
    <w:rsid w:val="0099191E"/>
    <w:rsid w:val="00992543"/>
    <w:rsid w:val="009A2F9A"/>
    <w:rsid w:val="009B5142"/>
    <w:rsid w:val="009B5A18"/>
    <w:rsid w:val="009B6F9D"/>
    <w:rsid w:val="009C08A6"/>
    <w:rsid w:val="009C344C"/>
    <w:rsid w:val="009D3D0C"/>
    <w:rsid w:val="009E1237"/>
    <w:rsid w:val="009E1C94"/>
    <w:rsid w:val="009E2B98"/>
    <w:rsid w:val="009F1325"/>
    <w:rsid w:val="009F1B8A"/>
    <w:rsid w:val="009F4E9E"/>
    <w:rsid w:val="00A0322D"/>
    <w:rsid w:val="00A05600"/>
    <w:rsid w:val="00A24D9F"/>
    <w:rsid w:val="00A31A93"/>
    <w:rsid w:val="00A324BA"/>
    <w:rsid w:val="00A34643"/>
    <w:rsid w:val="00A3798A"/>
    <w:rsid w:val="00A37CA9"/>
    <w:rsid w:val="00A4489C"/>
    <w:rsid w:val="00A47888"/>
    <w:rsid w:val="00A565B8"/>
    <w:rsid w:val="00A57AD6"/>
    <w:rsid w:val="00A63D3C"/>
    <w:rsid w:val="00A65BCB"/>
    <w:rsid w:val="00A741EF"/>
    <w:rsid w:val="00A7676D"/>
    <w:rsid w:val="00A82A9E"/>
    <w:rsid w:val="00A85726"/>
    <w:rsid w:val="00A87897"/>
    <w:rsid w:val="00A9322A"/>
    <w:rsid w:val="00A9443F"/>
    <w:rsid w:val="00AA370E"/>
    <w:rsid w:val="00AA5B3A"/>
    <w:rsid w:val="00AB11E9"/>
    <w:rsid w:val="00AB3B42"/>
    <w:rsid w:val="00AC2862"/>
    <w:rsid w:val="00AC455D"/>
    <w:rsid w:val="00AC5DDC"/>
    <w:rsid w:val="00AD0567"/>
    <w:rsid w:val="00AD683C"/>
    <w:rsid w:val="00B125BD"/>
    <w:rsid w:val="00B161FF"/>
    <w:rsid w:val="00B22D42"/>
    <w:rsid w:val="00B2726B"/>
    <w:rsid w:val="00B379DF"/>
    <w:rsid w:val="00B41763"/>
    <w:rsid w:val="00B47A77"/>
    <w:rsid w:val="00B54D3C"/>
    <w:rsid w:val="00B61DCD"/>
    <w:rsid w:val="00B7004B"/>
    <w:rsid w:val="00B72605"/>
    <w:rsid w:val="00B806CD"/>
    <w:rsid w:val="00BA35CD"/>
    <w:rsid w:val="00BB7FCF"/>
    <w:rsid w:val="00BC09D2"/>
    <w:rsid w:val="00BC1767"/>
    <w:rsid w:val="00BC3953"/>
    <w:rsid w:val="00BC7DB1"/>
    <w:rsid w:val="00BD01B5"/>
    <w:rsid w:val="00BD1D43"/>
    <w:rsid w:val="00BD718C"/>
    <w:rsid w:val="00BE5733"/>
    <w:rsid w:val="00BF27E4"/>
    <w:rsid w:val="00BF37A6"/>
    <w:rsid w:val="00C03221"/>
    <w:rsid w:val="00C03A64"/>
    <w:rsid w:val="00C069B6"/>
    <w:rsid w:val="00C075D3"/>
    <w:rsid w:val="00C12750"/>
    <w:rsid w:val="00C23461"/>
    <w:rsid w:val="00C25B14"/>
    <w:rsid w:val="00C25CEC"/>
    <w:rsid w:val="00C42A3D"/>
    <w:rsid w:val="00C44574"/>
    <w:rsid w:val="00C51BF6"/>
    <w:rsid w:val="00C532FB"/>
    <w:rsid w:val="00C53DC3"/>
    <w:rsid w:val="00C6587B"/>
    <w:rsid w:val="00C66CB0"/>
    <w:rsid w:val="00C709C5"/>
    <w:rsid w:val="00C76473"/>
    <w:rsid w:val="00C76B09"/>
    <w:rsid w:val="00C77709"/>
    <w:rsid w:val="00C91C6D"/>
    <w:rsid w:val="00C944D2"/>
    <w:rsid w:val="00C979E3"/>
    <w:rsid w:val="00CA010D"/>
    <w:rsid w:val="00CA0B53"/>
    <w:rsid w:val="00CA1C76"/>
    <w:rsid w:val="00CA641E"/>
    <w:rsid w:val="00CB132C"/>
    <w:rsid w:val="00CD1ACE"/>
    <w:rsid w:val="00CD2DB1"/>
    <w:rsid w:val="00CD6F42"/>
    <w:rsid w:val="00CE0510"/>
    <w:rsid w:val="00CF44A6"/>
    <w:rsid w:val="00CF6253"/>
    <w:rsid w:val="00D026F1"/>
    <w:rsid w:val="00D03A4D"/>
    <w:rsid w:val="00D1550E"/>
    <w:rsid w:val="00D16ABA"/>
    <w:rsid w:val="00D27949"/>
    <w:rsid w:val="00D342BB"/>
    <w:rsid w:val="00D37A9B"/>
    <w:rsid w:val="00D4393F"/>
    <w:rsid w:val="00D52236"/>
    <w:rsid w:val="00D532B1"/>
    <w:rsid w:val="00D75DAD"/>
    <w:rsid w:val="00D9086E"/>
    <w:rsid w:val="00DA61C2"/>
    <w:rsid w:val="00DD3774"/>
    <w:rsid w:val="00DD5562"/>
    <w:rsid w:val="00DD7022"/>
    <w:rsid w:val="00DE2461"/>
    <w:rsid w:val="00DE3D8D"/>
    <w:rsid w:val="00DE68AD"/>
    <w:rsid w:val="00DF04E0"/>
    <w:rsid w:val="00DF0E54"/>
    <w:rsid w:val="00DF7177"/>
    <w:rsid w:val="00E00372"/>
    <w:rsid w:val="00E1461F"/>
    <w:rsid w:val="00E17847"/>
    <w:rsid w:val="00E2701C"/>
    <w:rsid w:val="00E366B4"/>
    <w:rsid w:val="00E37C9C"/>
    <w:rsid w:val="00E4697E"/>
    <w:rsid w:val="00E5319D"/>
    <w:rsid w:val="00E554E2"/>
    <w:rsid w:val="00E61EAF"/>
    <w:rsid w:val="00E6250F"/>
    <w:rsid w:val="00EA7115"/>
    <w:rsid w:val="00EC379C"/>
    <w:rsid w:val="00ED5483"/>
    <w:rsid w:val="00EE0C7D"/>
    <w:rsid w:val="00EE2047"/>
    <w:rsid w:val="00EE2688"/>
    <w:rsid w:val="00EE45C4"/>
    <w:rsid w:val="00EF011E"/>
    <w:rsid w:val="00EF3491"/>
    <w:rsid w:val="00EF3AE3"/>
    <w:rsid w:val="00EF48FB"/>
    <w:rsid w:val="00F00C15"/>
    <w:rsid w:val="00F15423"/>
    <w:rsid w:val="00F15C97"/>
    <w:rsid w:val="00F1708B"/>
    <w:rsid w:val="00F25D4B"/>
    <w:rsid w:val="00F30873"/>
    <w:rsid w:val="00F32252"/>
    <w:rsid w:val="00F32BD0"/>
    <w:rsid w:val="00F35B28"/>
    <w:rsid w:val="00F40AD5"/>
    <w:rsid w:val="00F42A81"/>
    <w:rsid w:val="00F56CD3"/>
    <w:rsid w:val="00F75579"/>
    <w:rsid w:val="00F771D4"/>
    <w:rsid w:val="00F826F2"/>
    <w:rsid w:val="00F871BD"/>
    <w:rsid w:val="00F92F60"/>
    <w:rsid w:val="00FA08BD"/>
    <w:rsid w:val="00FA22DC"/>
    <w:rsid w:val="00FA5AA9"/>
    <w:rsid w:val="00FA76CB"/>
    <w:rsid w:val="00FB18B7"/>
    <w:rsid w:val="00FB7E18"/>
    <w:rsid w:val="00FC3480"/>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5FF6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aliases w:val="ERP-List Paragraph,List Paragraph1,List Paragraph11,Bullet EY,Table of contents numbered,List Paragraph21,List Paragraph2,Numbering,Sąrašo pastraipa1,List Paragraph22,List Paragraph Red,Paragraph,List Paragraph111,Buletai,lp1,Bullet 1"/>
    <w:basedOn w:val="Normal"/>
    <w:link w:val="ListParagraphChar"/>
    <w:uiPriority w:val="34"/>
    <w:qFormat/>
    <w:rsid w:val="005E4F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left"/>
    </w:pPr>
    <w:rPr>
      <w:rFonts w:asciiTheme="minorHAnsi" w:eastAsiaTheme="minorHAnsi" w:hAnsiTheme="minorHAnsi" w:cstheme="minorBidi"/>
      <w:bdr w:val="none" w:sz="0" w:space="0" w:color="auto"/>
    </w:r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22 Char,Paragraph Char"/>
    <w:link w:val="ListParagraph"/>
    <w:uiPriority w:val="34"/>
    <w:qFormat/>
    <w:locked/>
    <w:rsid w:val="005E4F9C"/>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1292</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Jelena Kaleničenko</cp:lastModifiedBy>
  <cp:revision>37</cp:revision>
  <cp:lastPrinted>2021-03-17T12:52:00Z</cp:lastPrinted>
  <dcterms:created xsi:type="dcterms:W3CDTF">2025-07-21T12:06:00Z</dcterms:created>
  <dcterms:modified xsi:type="dcterms:W3CDTF">2026-04-29T07:27:00Z</dcterms:modified>
</cp:coreProperties>
</file>