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cs="Times New Roman"/>
          <w:b/>
          <w:bCs/>
          <w:lang w:val="lt-LT"/>
        </w:rPr>
      </w:pPr>
      <w:r>
        <w:rPr>
          <w:rFonts w:cs="Times New Roman" w:ascii="Times New Roman" w:hAnsi="Times New Roman"/>
          <w:b/>
          <w:bCs/>
          <w:lang w:val="lt-LT"/>
        </w:rPr>
        <w:t>DĖL ATSAKYMO Į KLAUSIMĄ</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cs="Times New Roman"/>
          <w:lang w:val="lt-LT"/>
        </w:rPr>
      </w:pPr>
      <w:r>
        <w:rPr>
          <w:rFonts w:cs="Times New Roman" w:ascii="Times New Roman" w:hAnsi="Times New Roman"/>
          <w:lang w:val="en-US"/>
        </w:rPr>
        <w:t>Higienos institut</w:t>
      </w:r>
      <w:r>
        <w:rPr>
          <w:rFonts w:cs="Times New Roman" w:ascii="Times New Roman" w:hAnsi="Times New Roman"/>
          <w:lang w:val="lt-LT"/>
        </w:rPr>
        <w:t>o</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vykdydama pirkimą  „</w:t>
      </w:r>
      <w:r>
        <w:rPr>
          <w:rFonts w:cs="Times New Roman" w:ascii="Times New Roman" w:hAnsi="Times New Roman"/>
          <w:lang w:val="lt-LT"/>
        </w:rPr>
        <w:t>Mokymo paslaugos, Projektas „Specialistų mokymas ir kvalifikacijos kėlimas“</w:t>
      </w:r>
      <w:r>
        <w:rPr>
          <w:rFonts w:cs="Times New Roman" w:ascii="Times New Roman" w:hAnsi="Times New Roman"/>
          <w:lang w:val="lt-LT"/>
        </w:rPr>
        <w:t xml:space="preserve">“ pirkimą (ID. </w:t>
      </w:r>
      <w:r>
        <w:rPr>
          <w:rFonts w:cs="Times New Roman" w:ascii="Times New Roman" w:hAnsi="Times New Roman"/>
          <w:lang w:val="lt-LT"/>
        </w:rPr>
        <w:t>7462199</w:t>
      </w:r>
      <w:r>
        <w:rPr>
          <w:rFonts w:cs="Times New Roman" w:ascii="Times New Roman" w:hAnsi="Times New Roman"/>
          <w:lang w:val="lt-LT"/>
        </w:rPr>
        <w:t>) gavo klausimą iš tiekėjo. Higienos instituto viešojo pirkimo komisija išnagrinėjo gautą klausimą ir pateikia atsakymą:</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i/>
          <w:iCs/>
          <w:color w:val="333333"/>
          <w:sz w:val="23"/>
          <w:szCs w:val="23"/>
          <w:shd w:fill="FFFFFF" w:val="clear"/>
          <w:lang w:val="lt-LT"/>
        </w:rPr>
        <w:t>Ar mokymų metu maitinimą teikiančioms įmonėms taikomi pirkimo sąlygose nurodyti reikalavimai paslaugų tiekėjams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ar pan.?</w:t>
      </w:r>
    </w:p>
    <w:p>
      <w:pPr>
        <w:pStyle w:val="NormalWeb"/>
        <w:shd w:val="clear" w:color="auto" w:fill="FFFFFF"/>
        <w:spacing w:lineRule="auto" w:line="360" w:beforeAutospacing="0" w:before="0" w:afterAutospacing="0" w:after="0"/>
        <w:ind w:left="714"/>
        <w:jc w:val="both"/>
        <w:rPr>
          <w:rFonts w:ascii="Times New Roman" w:hAnsi="Times New Roman"/>
        </w:rPr>
      </w:pPr>
      <w:r>
        <w:rPr>
          <w:rFonts w:cs="Calibri"/>
          <w:i/>
          <w:iCs/>
          <w:color w:val="333333"/>
          <w:sz w:val="23"/>
          <w:szCs w:val="23"/>
          <w:shd w:fill="FFFFFF" w:val="clear"/>
          <w:lang w:val="lt-LT"/>
        </w:rPr>
        <w:t xml:space="preserve">Ar teikaint pasiūlymą reikia įtraukti maitinimo paslaugų tiekėjus į subtiekėjų sąrašą? </w:t>
      </w:r>
      <w:r>
        <w:rPr>
          <w:rFonts w:cs="Calibri"/>
          <w:color w:val="333333"/>
          <w:sz w:val="23"/>
          <w:szCs w:val="23"/>
          <w:shd w:fill="FFFFFF" w:val="clear"/>
          <w:lang w:val="lt-LT"/>
        </w:rPr>
        <w:t>“</w:t>
        <w:b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before="0" w:after="140"/>
        <w:ind w:left="709"/>
        <w:jc w:val="both"/>
        <w:rPr>
          <w:rFonts w:ascii="Times New Roman" w:hAnsi="Times New Roman"/>
          <w:b w:val="false"/>
          <w:bCs w:val="false"/>
          <w:lang w:val="en-US"/>
        </w:rPr>
      </w:pPr>
      <w:r>
        <w:rPr>
          <w:rFonts w:ascii="Times New Roman" w:hAnsi="Times New Roman"/>
          <w:b w:val="false"/>
          <w:bCs w:val="false"/>
          <w:lang w:val="lt-LT"/>
        </w:rPr>
        <w:t xml:space="preserve"> </w:t>
      </w:r>
      <w:r>
        <w:rPr>
          <w:rFonts w:ascii="Times New Roman" w:hAnsi="Times New Roman"/>
          <w:b w:val="false"/>
          <w:bCs w:val="false"/>
          <w:lang w:val="lt-LT"/>
        </w:rPr>
        <w:t xml:space="preserve">Pašalinimo </w:t>
      </w:r>
      <w:r>
        <w:rPr>
          <w:rFonts w:cs="Times New Roman" w:ascii="Times New Roman" w:hAnsi="Times New Roman"/>
          <w:b w:val="false"/>
          <w:bCs w:val="false"/>
          <w:sz w:val="24"/>
          <w:szCs w:val="24"/>
          <w:lang w:val="en-GB"/>
        </w:rPr>
        <w:t xml:space="preserve">pagrindai taikomi tiekėjui (kai pasiūlymą teikia ūkio subjektų grupė – visiems tos grupės nariams), ūkio subjektams, kurių pajėgumais tiekėjas remiasi ir pasiūlymo teikimo metu žinomiems subtiekėjams, </w:t>
      </w:r>
      <w:r>
        <w:rPr>
          <w:rFonts w:cs="Times New Roman" w:ascii="Times New Roman" w:hAnsi="Times New Roman"/>
          <w:b w:val="false"/>
          <w:bCs w:val="false"/>
          <w:sz w:val="24"/>
          <w:szCs w:val="24"/>
          <w:lang w:val="lt-LT"/>
        </w:rPr>
        <w:t>kaip tai nustatyta Specialiųjų pirkimo sąlygų 3 priedo „Tiekėjų pašalinimo pagrindai“ 2 punkte.</w:t>
      </w:r>
    </w:p>
    <w:p>
      <w:pPr>
        <w:pStyle w:val="BodyText"/>
        <w:spacing w:lineRule="auto" w:line="360" w:before="0" w:after="140"/>
        <w:ind w:left="709"/>
        <w:jc w:val="both"/>
        <w:rPr>
          <w:rFonts w:ascii="Times New Roman" w:hAnsi="Times New Roman"/>
          <w:b w:val="false"/>
          <w:bCs w:val="false"/>
          <w:lang w:val="en-US"/>
        </w:rPr>
      </w:pPr>
      <w:r>
        <w:rPr>
          <w:rFonts w:cs="Times New Roman" w:ascii="Times New Roman" w:hAnsi="Times New Roman"/>
          <w:b w:val="false"/>
          <w:bCs w:val="false"/>
          <w:sz w:val="24"/>
          <w:szCs w:val="24"/>
          <w:lang w:val="lt-LT"/>
        </w:rPr>
        <w:t>Reikalavimai dėl nacionalinio saugumo taikomi tiekėjui, subtiekėjui ir ūkio subjektui, kurio pajėgumais yra remiamasi, kaip tai nustatyta Specialiųjų pirkimo sąlygų 5.2 punkte. Užpildytas deklaracijas teikia Tiekėjas, kaip tai nustatyta Specialiųjų pirkimo sąlygų 5.1 punkte.</w:t>
      </w:r>
    </w:p>
    <w:p>
      <w:pPr>
        <w:pStyle w:val="BodyText"/>
        <w:spacing w:lineRule="auto" w:line="360" w:before="0" w:after="140"/>
        <w:ind w:left="709"/>
        <w:jc w:val="both"/>
        <w:rPr>
          <w:rFonts w:ascii="Times New Roman" w:hAnsi="Times New Roman"/>
          <w:b w:val="false"/>
          <w:bCs w:val="false"/>
          <w:lang w:val="en-US"/>
        </w:rPr>
      </w:pPr>
      <w:r>
        <w:rPr>
          <w:rFonts w:cs="Times New Roman" w:ascii="Times New Roman" w:hAnsi="Times New Roman"/>
          <w:b w:val="false"/>
          <w:bCs w:val="false"/>
          <w:sz w:val="24"/>
          <w:szCs w:val="24"/>
          <w:lang w:val="lt-LT"/>
        </w:rPr>
        <w:t xml:space="preserve">Subtiekėjas, kurio pajėgumais tiekėjas nesiremia – tiekėjo pirkimo sutarties vykdymui pasitelkiamas trečiasis asmuo, kurio kvalifikacija tiekėjas nesiremia, kad atitiktų kvalifikacijos reikalavimus (Viešųjų pirkimų tarnybos komentaras: </w:t>
      </w:r>
      <w:hyperlink r:id="rId2">
        <w:r>
          <w:rPr>
            <w:rStyle w:val="Hyperlink"/>
            <w:rFonts w:cs="Times New Roman" w:ascii="Times New Roman" w:hAnsi="Times New Roman"/>
            <w:b w:val="false"/>
            <w:bCs w:val="false"/>
            <w:sz w:val="24"/>
            <w:szCs w:val="24"/>
            <w:lang w:val="lt-LT"/>
          </w:rPr>
          <w:t>https://klausk.vpt.lt/hc/lt/articles/4411132075794-Kas-yra-subtiek%C4%97jas-kurio-paj%C4%97gumais-tiek%C4%97jas-nesiremia-Kur-galima-rasti-%C5%A1ios-s%C4%85vokos-apibr%C4%97%C5%BEim%C4%85</w:t>
        </w:r>
      </w:hyperlink>
      <w:r>
        <w:rPr>
          <w:rFonts w:cs="Times New Roman" w:ascii="Times New Roman" w:hAnsi="Times New Roman"/>
          <w:b w:val="false"/>
          <w:bCs w:val="false"/>
          <w:sz w:val="24"/>
          <w:szCs w:val="24"/>
          <w:lang w:val="lt-LT"/>
        </w:rPr>
        <w:t xml:space="preserve">). Tretieji asmenys nebus laikomi subtiekėjais, jei aktyviai neprisidės prie sutarties vykdymo (daugiau informacijo yra pateiktame Viešųjų pirkimų tarnybos komentare: </w:t>
      </w:r>
      <w:hyperlink r:id="rId3">
        <w:r>
          <w:rPr>
            <w:rStyle w:val="Hyperlink"/>
            <w:rFonts w:cs="Times New Roman" w:ascii="Times New Roman" w:hAnsi="Times New Roman"/>
            <w:b w:val="false"/>
            <w:bCs w:val="false"/>
            <w:sz w:val="24"/>
            <w:szCs w:val="24"/>
            <w:lang w:val="lt-LT"/>
          </w:rPr>
          <w:t>https://klausk.vpt.lt/hc/lt/articles/4410321960466-Ar-pirkimo-dokumentuose-yra-privaloma-nurodyti-kad-tretieji-asmenys-kuri%C5%B3-paj%C4%97gumais-kvalifikacija-nesiremiama-ir-kurie-n%C4%97ra-subtiek%C4%97jai-b%C5%ABt%C5%B3-i%C5%A1vie%C5%A1inti</w:t>
        </w:r>
      </w:hyperlink>
      <w:r>
        <w:rPr>
          <w:rFonts w:cs="Times New Roman" w:ascii="Times New Roman" w:hAnsi="Times New Roman"/>
          <w:b w:val="false"/>
          <w:bCs w:val="false"/>
          <w:sz w:val="24"/>
          <w:szCs w:val="24"/>
          <w:lang w:val="lt-LT"/>
        </w:rPr>
        <w:t xml:space="preserve">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lausk.vpt.lt/hc/lt/articles/4411132075794-Kas-yra-subtiek&#279;jas-kurio-paj&#279;gumais-tiek&#279;jas-nesiremia-Kur-galima-rasti-&#353;ios-s&#261;vokos-apibr&#279;&#382;im&#261;" TargetMode="External"/><Relationship Id="rId3" Type="http://schemas.openxmlformats.org/officeDocument/2006/relationships/hyperlink" Target="https://klausk.vpt.lt/hc/lt/articles/4410321960466-Ar-pirkimo-dokumentuose-yra-privaloma-nurodyti-kad-tretieji-asmenys-kuri&#371;-paj&#279;gumais-kvalifikacija-nesiremiama-ir-kurie-n&#279;ra-subtiek&#279;jai-b&#363;t&#371;-i&#353;vie&#353;inti"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498</TotalTime>
  <Application>LibreOffice/7.6.4.1$Windows_X86_64 LibreOffice_project/e19e193f88cd6c0525a17fb7a176ed8e6a3e2aa1</Application>
  <AppVersion>15.0000</AppVersion>
  <Pages>2</Pages>
  <Words>219</Words>
  <Characters>2033</Characters>
  <CharactersWithSpaces>2246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2026-04-30T08:11:05Z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