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EED0" w14:textId="77777777" w:rsidR="00A87913" w:rsidRPr="00446037" w:rsidRDefault="00A87913" w:rsidP="0356DCD8">
      <w:pPr>
        <w:pStyle w:val="Antrat2"/>
        <w:ind w:left="3139" w:firstLine="720"/>
        <w:jc w:val="both"/>
        <w:rPr>
          <w:rFonts w:ascii="Times New Roman" w:eastAsia="Times New Roman" w:hAnsi="Times New Roman" w:cs="Times New Roman"/>
          <w:color w:val="0070C0"/>
          <w:sz w:val="22"/>
          <w:szCs w:val="22"/>
        </w:rPr>
      </w:pPr>
      <w:bookmarkStart w:id="0" w:name="_Ref38291223"/>
      <w:bookmarkStart w:id="1" w:name="_Ref38291334"/>
      <w:bookmarkStart w:id="2" w:name="_Ref38533412"/>
      <w:bookmarkStart w:id="3" w:name="_Toc168525258"/>
      <w:r w:rsidRPr="0356DCD8">
        <w:rPr>
          <w:rFonts w:ascii="Times New Roman" w:eastAsia="Times New Roman" w:hAnsi="Times New Roman" w:cs="Times New Roman"/>
          <w:color w:val="0070C0"/>
          <w:sz w:val="22"/>
          <w:szCs w:val="22"/>
        </w:rPr>
        <w:t>Pirkimo sąlygų 4 priedas „Tiekėjų kvalifikacijos reikalavimai“</w:t>
      </w:r>
      <w:bookmarkEnd w:id="0"/>
      <w:bookmarkEnd w:id="1"/>
      <w:bookmarkEnd w:id="2"/>
      <w:bookmarkEnd w:id="3"/>
    </w:p>
    <w:p w14:paraId="461A78C7" w14:textId="77777777" w:rsidR="00A87913" w:rsidRDefault="00A87913" w:rsidP="0356DCD8">
      <w:pPr>
        <w:spacing w:after="0"/>
        <w:rPr>
          <w:rFonts w:ascii="Times New Roman" w:eastAsia="Times New Roman" w:hAnsi="Times New Roman" w:cs="Times New Roman"/>
          <w:b/>
          <w:bCs/>
          <w:smallCaps/>
          <w:sz w:val="22"/>
          <w:szCs w:val="22"/>
        </w:rPr>
      </w:pPr>
    </w:p>
    <w:p w14:paraId="0098549F" w14:textId="77777777" w:rsidR="00A87913" w:rsidRPr="00446037" w:rsidRDefault="00A87913" w:rsidP="0356DCD8">
      <w:pPr>
        <w:spacing w:after="0"/>
        <w:jc w:val="center"/>
        <w:rPr>
          <w:rFonts w:ascii="Times New Roman" w:eastAsia="Times New Roman" w:hAnsi="Times New Roman" w:cs="Times New Roman"/>
          <w:b/>
          <w:bCs/>
          <w:smallCaps/>
          <w:sz w:val="22"/>
          <w:szCs w:val="22"/>
        </w:rPr>
      </w:pPr>
      <w:r w:rsidRPr="0356DCD8">
        <w:rPr>
          <w:rFonts w:ascii="Times New Roman" w:eastAsia="Times New Roman" w:hAnsi="Times New Roman" w:cs="Times New Roman"/>
          <w:b/>
          <w:bCs/>
          <w:smallCaps/>
          <w:sz w:val="22"/>
          <w:szCs w:val="22"/>
        </w:rPr>
        <w:t>TIEKĖJŲ KVALIFIKACIJOS REIKALAVIMAI</w:t>
      </w:r>
    </w:p>
    <w:p w14:paraId="6EF30192" w14:textId="77777777" w:rsidR="00A87913" w:rsidRPr="00446037" w:rsidRDefault="00A87913" w:rsidP="0356DCD8">
      <w:pPr>
        <w:spacing w:after="0"/>
        <w:rPr>
          <w:rFonts w:ascii="Times New Roman" w:eastAsia="Times New Roman" w:hAnsi="Times New Roman" w:cs="Times New Roman"/>
          <w:sz w:val="22"/>
          <w:szCs w:val="22"/>
        </w:rPr>
      </w:pPr>
    </w:p>
    <w:p w14:paraId="7B902583"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lang w:eastAsia="en-US"/>
        </w:rPr>
        <w:t>Tiekėjo kvalifikacija turi atitikti šiame priede nustatytus reikalavimus kvalifikacijai.</w:t>
      </w:r>
      <w:r w:rsidRPr="0356DCD8">
        <w:rPr>
          <w:rFonts w:ascii="Times New Roman" w:eastAsia="Times New Roman" w:hAnsi="Times New Roman" w:cs="Times New Roman"/>
          <w:sz w:val="22"/>
          <w:szCs w:val="22"/>
        </w:rPr>
        <w:t xml:space="preserve"> </w:t>
      </w:r>
    </w:p>
    <w:p w14:paraId="63FC187C"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color w:val="000000" w:themeColor="text1"/>
          <w:sz w:val="22"/>
          <w:szCs w:val="22"/>
        </w:rPr>
        <w:t xml:space="preserve">Tiekėjas gali remtis kitų ūkio subjektų pajėgumais, </w:t>
      </w:r>
      <w:r w:rsidRPr="0356DCD8">
        <w:rPr>
          <w:rFonts w:ascii="Times New Roman" w:eastAsia="Times New Roman" w:hAnsi="Times New Roman" w:cs="Times New Roman"/>
          <w:sz w:val="22"/>
          <w:szCs w:val="22"/>
        </w:rPr>
        <w:t xml:space="preserve">kaip nurodyta </w:t>
      </w:r>
      <w:r w:rsidRPr="0356DCD8">
        <w:rPr>
          <w:rFonts w:ascii="Times New Roman" w:eastAsia="Times New Roman" w:hAnsi="Times New Roman" w:cs="Times New Roman"/>
          <w:color w:val="000000" w:themeColor="text1"/>
          <w:sz w:val="22"/>
          <w:szCs w:val="22"/>
        </w:rPr>
        <w:t>1 lentelėje.</w:t>
      </w:r>
    </w:p>
    <w:p w14:paraId="59443DAA"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9FE7CD3"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color w:val="000000" w:themeColor="text1"/>
          <w:sz w:val="22"/>
          <w:szCs w:val="22"/>
        </w:rPr>
        <w:t xml:space="preserve">Jei tiekėjas (jo pasitelkiami specialistai) pats atitinka 1 lentelės 2.1-2.2 eilutėse nustatytus reikalavimus, tačiau ketina pasitelkti subtiekėjus (jo specialistus) – tokiu atveju </w:t>
      </w:r>
      <w:r w:rsidRPr="0356DCD8">
        <w:rPr>
          <w:rFonts w:ascii="Times New Roman" w:eastAsia="Times New Roman" w:hAnsi="Times New Roman" w:cs="Times New Roman"/>
          <w:b/>
          <w:bCs/>
          <w:color w:val="000000" w:themeColor="text1"/>
          <w:sz w:val="22"/>
          <w:szCs w:val="22"/>
        </w:rPr>
        <w:t>subtiekėjų specialistai privalo atitikti nustatytus kvalifikacinius reikalavimus, jeigu subtiekėjai (jų darbuotojai) patys vykdys tą pirkimo sutarties dalį, kuriai reikia nustatytos kvalifikacijos</w:t>
      </w:r>
      <w:r w:rsidRPr="0356DCD8">
        <w:rPr>
          <w:rFonts w:ascii="Times New Roman" w:eastAsia="Times New Roman" w:hAnsi="Times New Roman" w:cs="Times New Roman"/>
          <w:color w:val="000000" w:themeColor="text1"/>
          <w:sz w:val="22"/>
          <w:szCs w:val="22"/>
        </w:rPr>
        <w:t>.</w:t>
      </w:r>
    </w:p>
    <w:p w14:paraId="23076ADE"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 xml:space="preserve">Tiekėjui nedraudžiama remtis sutartimi, kurią tiekėjas vykdė ne vienas, bet kartu su kitais ūkio subjektais. Tačiau tokiu atveju bus vertinami būtent </w:t>
      </w:r>
      <w:r w:rsidRPr="0356DCD8">
        <w:rPr>
          <w:rFonts w:ascii="Times New Roman" w:eastAsia="Times New Roman" w:hAnsi="Times New Roman" w:cs="Times New Roman"/>
          <w:b/>
          <w:bCs/>
          <w:sz w:val="22"/>
          <w:szCs w:val="22"/>
        </w:rPr>
        <w:t>konkretaus tiekėjo, dalyvaujančio viešajame pirkime, suteiktos paslaugos, jų apimtis, vertė, o ne visas vykdytos sutarties objektas</w:t>
      </w:r>
      <w:r w:rsidRPr="0356DCD8">
        <w:rPr>
          <w:rFonts w:ascii="Times New Roman" w:eastAsia="Times New Roman" w:hAnsi="Times New Roman" w:cs="Times New Roman"/>
          <w:sz w:val="22"/>
          <w:szCs w:val="22"/>
        </w:rPr>
        <w:t>.</w:t>
      </w:r>
    </w:p>
    <w:p w14:paraId="6E9B93AC"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color w:val="000000" w:themeColor="text1"/>
          <w:sz w:val="22"/>
          <w:szCs w:val="22"/>
        </w:rPr>
        <w:t xml:space="preserve">Tais atvejais, kai tiekėjas naudojasi (naudosis) trečiųjų asmenų, kurie tiesiogiai </w:t>
      </w:r>
      <w:r w:rsidRPr="0356DCD8">
        <w:rPr>
          <w:rFonts w:ascii="Times New Roman" w:eastAsia="Times New Roman" w:hAnsi="Times New Roman" w:cs="Times New Roman"/>
          <w:sz w:val="22"/>
          <w:szCs w:val="22"/>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356DCD8">
        <w:rPr>
          <w:rFonts w:ascii="Times New Roman" w:eastAsia="Times New Roman" w:hAnsi="Times New Roman" w:cs="Times New Roman"/>
          <w:color w:val="000000" w:themeColor="text1"/>
          <w:sz w:val="22"/>
          <w:szCs w:val="22"/>
        </w:rPr>
        <w:t>, priemonėmis (</w:t>
      </w:r>
      <w:r w:rsidRPr="0356DCD8">
        <w:rPr>
          <w:rFonts w:ascii="Times New Roman" w:eastAsia="Times New Roman" w:hAnsi="Times New Roman" w:cs="Times New Roman"/>
          <w:i/>
          <w:iCs/>
          <w:color w:val="000000" w:themeColor="text1"/>
          <w:sz w:val="22"/>
          <w:szCs w:val="22"/>
        </w:rPr>
        <w:t>pavyzdžiui, tik išnuomos patalpas, išnuomos įrangą ar pan.</w:t>
      </w:r>
      <w:r w:rsidRPr="0356DCD8">
        <w:rPr>
          <w:rFonts w:ascii="Times New Roman" w:eastAsia="Times New Roman" w:hAnsi="Times New Roman" w:cs="Times New Roman"/>
          <w:color w:val="000000" w:themeColor="text1"/>
          <w:sz w:val="22"/>
          <w:szCs w:val="22"/>
        </w:rPr>
        <w:t xml:space="preserve">), tiekėjas, neprivalo teikti jų </w:t>
      </w:r>
      <w:r w:rsidRPr="0356DCD8">
        <w:rPr>
          <w:rFonts w:ascii="Times New Roman" w:eastAsia="Times New Roman" w:hAnsi="Times New Roman" w:cs="Times New Roman"/>
          <w:sz w:val="22"/>
          <w:szCs w:val="22"/>
        </w:rPr>
        <w:t>Europos bendrąjį viešųjų pirkimų dokumento</w:t>
      </w:r>
      <w:r w:rsidRPr="0356DCD8">
        <w:rPr>
          <w:rFonts w:ascii="Times New Roman" w:eastAsia="Times New Roman" w:hAnsi="Times New Roman" w:cs="Times New Roman"/>
          <w:color w:val="000000" w:themeColor="text1"/>
          <w:sz w:val="22"/>
          <w:szCs w:val="22"/>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17D2332"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Šiame priede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356DCD8">
        <w:rPr>
          <w:rFonts w:ascii="Times New Roman" w:eastAsia="Times New Roman" w:hAnsi="Times New Roman" w:cs="Times New Roman"/>
          <w:sz w:val="22"/>
          <w:szCs w:val="22"/>
          <w:vertAlign w:val="superscript"/>
        </w:rPr>
        <w:footnoteReference w:id="1"/>
      </w:r>
      <w:r w:rsidRPr="0356DCD8">
        <w:rPr>
          <w:rFonts w:ascii="Times New Roman" w:eastAsia="Times New Roman" w:hAnsi="Times New Roman" w:cs="Times New Roman"/>
          <w:sz w:val="22"/>
          <w:szCs w:val="22"/>
        </w:rPr>
        <w:t xml:space="preserve">. Atitinkamai, pirkimo vykdytojas turi nurodyti, iki kada šie dokumentai turės būti pateikti, </w:t>
      </w:r>
      <w:r w:rsidRPr="0356DCD8">
        <w:rPr>
          <w:rFonts w:ascii="Times New Roman" w:eastAsia="Times New Roman" w:hAnsi="Times New Roman" w:cs="Times New Roman"/>
          <w:i/>
          <w:iCs/>
          <w:sz w:val="22"/>
          <w:szCs w:val="22"/>
        </w:rPr>
        <w:t>pavyzdžiui, iki pirkimo sutarties pasirašymo, iki darbų pradžios ar iki kito, pirkimo vykdytojo nurodyto, termino.</w:t>
      </w:r>
    </w:p>
    <w:p w14:paraId="18BC1CCB"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03A9533E" w14:textId="77777777" w:rsidR="00A87913" w:rsidRDefault="00A87913" w:rsidP="003A4FC0">
      <w:pPr>
        <w:pStyle w:val="Sraopastraipa"/>
        <w:numPr>
          <w:ilvl w:val="0"/>
          <w:numId w:val="4"/>
        </w:numPr>
        <w:spacing w:after="0"/>
        <w:ind w:left="567" w:firstLine="0"/>
        <w:jc w:val="both"/>
        <w:rPr>
          <w:rFonts w:ascii="Times New Roman" w:eastAsia="Times New Roman" w:hAnsi="Times New Roman" w:cs="Times New Roman"/>
          <w:sz w:val="22"/>
          <w:szCs w:val="22"/>
          <w:lang w:eastAsia="en-US"/>
        </w:rPr>
      </w:pPr>
      <w:r w:rsidRPr="0356DCD8">
        <w:rPr>
          <w:rFonts w:ascii="Times New Roman" w:eastAsia="Times New Roman" w:hAnsi="Times New Roman" w:cs="Times New Roman"/>
          <w:sz w:val="22"/>
          <w:szCs w:val="22"/>
        </w:rPr>
        <w:t>Tiekėjas, dalyvaujantis pirkime, turi atitikti šiuos kvalifikacijos reikalavimus:</w:t>
      </w:r>
    </w:p>
    <w:p w14:paraId="134B8218" w14:textId="49BFAACF" w:rsidR="00CB0025" w:rsidRDefault="00CB0025">
      <w:pPr>
        <w:spacing w:line="259"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br w:type="page"/>
      </w:r>
    </w:p>
    <w:p w14:paraId="3F26ACCB" w14:textId="77777777" w:rsidR="00CB0025" w:rsidRPr="00CB0025" w:rsidRDefault="00CB0025" w:rsidP="00CB0025">
      <w:pPr>
        <w:spacing w:after="0"/>
        <w:jc w:val="both"/>
        <w:rPr>
          <w:rFonts w:ascii="Times New Roman" w:eastAsia="Times New Roman" w:hAnsi="Times New Roman" w:cs="Times New Roman"/>
          <w:sz w:val="22"/>
          <w:szCs w:val="22"/>
          <w:lang w:eastAsia="en-US"/>
        </w:rPr>
      </w:pPr>
    </w:p>
    <w:p w14:paraId="11EB2D8B" w14:textId="77777777" w:rsidR="00A87913" w:rsidRPr="005D4DE6" w:rsidRDefault="00A87913" w:rsidP="0356DCD8">
      <w:pPr>
        <w:ind w:left="681"/>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1 lentelė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252"/>
        <w:gridCol w:w="4536"/>
      </w:tblGrid>
      <w:tr w:rsidR="00752479" w:rsidRPr="009E29CF" w14:paraId="6FC3010A" w14:textId="77777777" w:rsidTr="00752479">
        <w:tc>
          <w:tcPr>
            <w:tcW w:w="851" w:type="dxa"/>
            <w:hideMark/>
          </w:tcPr>
          <w:p w14:paraId="75832120" w14:textId="77777777" w:rsidR="00752479" w:rsidRPr="009E29CF" w:rsidRDefault="00752479" w:rsidP="00240288">
            <w:pPr>
              <w:ind w:left="-959" w:firstLine="851"/>
              <w:jc w:val="center"/>
              <w:rPr>
                <w:rFonts w:ascii="Times New Roman" w:hAnsi="Times New Roman" w:cs="Times New Roman"/>
                <w:b/>
                <w:color w:val="000000" w:themeColor="text1"/>
                <w:sz w:val="24"/>
                <w:szCs w:val="24"/>
              </w:rPr>
            </w:pPr>
            <w:r w:rsidRPr="009E29CF">
              <w:rPr>
                <w:rFonts w:ascii="Times New Roman" w:hAnsi="Times New Roman" w:cs="Times New Roman"/>
                <w:b/>
                <w:color w:val="000000" w:themeColor="text1"/>
                <w:sz w:val="24"/>
                <w:szCs w:val="24"/>
              </w:rPr>
              <w:t>Eil.</w:t>
            </w:r>
          </w:p>
          <w:p w14:paraId="429ACE86" w14:textId="77777777" w:rsidR="00752479" w:rsidRPr="009E29CF" w:rsidRDefault="00752479" w:rsidP="00240288">
            <w:pPr>
              <w:ind w:left="-959" w:firstLine="851"/>
              <w:jc w:val="center"/>
              <w:rPr>
                <w:rFonts w:ascii="Times New Roman" w:hAnsi="Times New Roman" w:cs="Times New Roman"/>
                <w:b/>
                <w:color w:val="000000" w:themeColor="text1"/>
                <w:sz w:val="24"/>
                <w:szCs w:val="24"/>
              </w:rPr>
            </w:pPr>
            <w:r w:rsidRPr="009E29CF">
              <w:rPr>
                <w:rFonts w:ascii="Times New Roman" w:hAnsi="Times New Roman" w:cs="Times New Roman"/>
                <w:b/>
                <w:color w:val="000000" w:themeColor="text1"/>
                <w:sz w:val="24"/>
                <w:szCs w:val="24"/>
              </w:rPr>
              <w:t>Nr.</w:t>
            </w:r>
          </w:p>
        </w:tc>
        <w:tc>
          <w:tcPr>
            <w:tcW w:w="4252" w:type="dxa"/>
            <w:hideMark/>
          </w:tcPr>
          <w:p w14:paraId="47F1B4EF" w14:textId="77777777" w:rsidR="00752479" w:rsidRPr="009E29CF" w:rsidRDefault="00752479" w:rsidP="00240288">
            <w:pPr>
              <w:jc w:val="center"/>
              <w:rPr>
                <w:rFonts w:ascii="Times New Roman" w:hAnsi="Times New Roman" w:cs="Times New Roman"/>
                <w:b/>
                <w:color w:val="000000" w:themeColor="text1"/>
                <w:sz w:val="24"/>
                <w:szCs w:val="24"/>
              </w:rPr>
            </w:pPr>
            <w:r w:rsidRPr="009E29CF">
              <w:rPr>
                <w:rFonts w:ascii="Times New Roman" w:hAnsi="Times New Roman" w:cs="Times New Roman"/>
                <w:b/>
                <w:color w:val="000000" w:themeColor="text1"/>
                <w:sz w:val="24"/>
                <w:szCs w:val="24"/>
              </w:rPr>
              <w:t>Kvalifikacijos reikalavimai</w:t>
            </w:r>
          </w:p>
        </w:tc>
        <w:tc>
          <w:tcPr>
            <w:tcW w:w="4536" w:type="dxa"/>
            <w:hideMark/>
          </w:tcPr>
          <w:p w14:paraId="1EB70EE4" w14:textId="77777777" w:rsidR="00752479" w:rsidRPr="009E29CF" w:rsidRDefault="00752479" w:rsidP="00240288">
            <w:pPr>
              <w:ind w:right="-108"/>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Atitiktį k</w:t>
            </w:r>
            <w:r w:rsidRPr="009E29CF">
              <w:rPr>
                <w:rFonts w:ascii="Times New Roman" w:hAnsi="Times New Roman" w:cs="Times New Roman"/>
                <w:b/>
                <w:color w:val="000000" w:themeColor="text1"/>
                <w:sz w:val="24"/>
                <w:szCs w:val="24"/>
              </w:rPr>
              <w:t>valifikacijos reikalavim</w:t>
            </w:r>
            <w:r>
              <w:rPr>
                <w:rFonts w:ascii="Times New Roman" w:hAnsi="Times New Roman" w:cs="Times New Roman"/>
                <w:b/>
                <w:color w:val="000000" w:themeColor="text1"/>
                <w:sz w:val="24"/>
                <w:szCs w:val="24"/>
              </w:rPr>
              <w:t>am</w:t>
            </w:r>
            <w:r w:rsidRPr="009E29CF">
              <w:rPr>
                <w:rFonts w:ascii="Times New Roman" w:hAnsi="Times New Roman" w:cs="Times New Roman"/>
                <w:b/>
                <w:color w:val="000000" w:themeColor="text1"/>
                <w:sz w:val="24"/>
                <w:szCs w:val="24"/>
              </w:rPr>
              <w:t>s įrodantys dokumentai</w:t>
            </w:r>
          </w:p>
        </w:tc>
      </w:tr>
      <w:tr w:rsidR="00752479" w:rsidRPr="00E02860" w14:paraId="0B384588" w14:textId="77777777" w:rsidTr="00752479">
        <w:trPr>
          <w:trHeight w:val="299"/>
        </w:trPr>
        <w:tc>
          <w:tcPr>
            <w:tcW w:w="9639" w:type="dxa"/>
            <w:gridSpan w:val="3"/>
            <w:tcBorders>
              <w:top w:val="single" w:sz="4" w:space="0" w:color="auto"/>
            </w:tcBorders>
          </w:tcPr>
          <w:p w14:paraId="270BD006" w14:textId="77777777" w:rsidR="00752479" w:rsidRPr="00E02860" w:rsidRDefault="00752479" w:rsidP="00240288">
            <w:pPr>
              <w:jc w:val="center"/>
              <w:rPr>
                <w:rFonts w:ascii="Times New Roman" w:hAnsi="Times New Roman" w:cs="Times New Roman"/>
                <w:bCs/>
                <w:color w:val="000000" w:themeColor="text1"/>
                <w:sz w:val="24"/>
                <w:szCs w:val="24"/>
              </w:rPr>
            </w:pPr>
            <w:r w:rsidRPr="00E02860">
              <w:rPr>
                <w:rFonts w:ascii="Times New Roman" w:hAnsi="Times New Roman" w:cs="Times New Roman"/>
                <w:b/>
                <w:bCs/>
                <w:color w:val="000000" w:themeColor="text1"/>
                <w:sz w:val="24"/>
                <w:szCs w:val="24"/>
              </w:rPr>
              <w:t>Finansinis ir ekonominis pajėgumas</w:t>
            </w:r>
          </w:p>
        </w:tc>
      </w:tr>
      <w:tr w:rsidR="00752479" w:rsidRPr="00752479" w14:paraId="58FA71EF" w14:textId="77777777" w:rsidTr="00752479">
        <w:trPr>
          <w:trHeight w:val="299"/>
        </w:trPr>
        <w:tc>
          <w:tcPr>
            <w:tcW w:w="851" w:type="dxa"/>
            <w:tcBorders>
              <w:top w:val="single" w:sz="4" w:space="0" w:color="auto"/>
            </w:tcBorders>
            <w:hideMark/>
          </w:tcPr>
          <w:p w14:paraId="08D03399" w14:textId="77777777" w:rsidR="00752479" w:rsidRPr="00752479" w:rsidRDefault="00752479" w:rsidP="00240288">
            <w:pPr>
              <w:ind w:left="-959" w:firstLine="851"/>
              <w:jc w:val="center"/>
              <w:rPr>
                <w:rFonts w:ascii="Times New Roman" w:hAnsi="Times New Roman" w:cs="Times New Roman"/>
                <w:color w:val="000000" w:themeColor="text1"/>
                <w:sz w:val="22"/>
                <w:szCs w:val="22"/>
              </w:rPr>
            </w:pPr>
            <w:r w:rsidRPr="00752479">
              <w:rPr>
                <w:rFonts w:ascii="Times New Roman" w:hAnsi="Times New Roman" w:cs="Times New Roman"/>
                <w:color w:val="000000" w:themeColor="text1"/>
                <w:sz w:val="22"/>
                <w:szCs w:val="22"/>
              </w:rPr>
              <w:t>1.</w:t>
            </w:r>
          </w:p>
        </w:tc>
        <w:tc>
          <w:tcPr>
            <w:tcW w:w="4252" w:type="dxa"/>
            <w:tcBorders>
              <w:top w:val="single" w:sz="4" w:space="0" w:color="auto"/>
            </w:tcBorders>
          </w:tcPr>
          <w:p w14:paraId="3658291C" w14:textId="77777777" w:rsidR="00752479" w:rsidRPr="00752479" w:rsidRDefault="00752479" w:rsidP="00240288">
            <w:pPr>
              <w:jc w:val="both"/>
              <w:rPr>
                <w:rFonts w:ascii="Times New Roman" w:hAnsi="Times New Roman" w:cs="Times New Roman"/>
                <w:b/>
                <w:bCs/>
                <w:color w:val="000000" w:themeColor="text1"/>
                <w:sz w:val="22"/>
                <w:szCs w:val="22"/>
              </w:rPr>
            </w:pPr>
            <w:r w:rsidRPr="00752479">
              <w:rPr>
                <w:rFonts w:ascii="Times New Roman" w:hAnsi="Times New Roman" w:cs="Times New Roman"/>
                <w:color w:val="000000" w:themeColor="text1"/>
                <w:sz w:val="22"/>
                <w:szCs w:val="22"/>
              </w:rPr>
              <w:t xml:space="preserve">Tiekėjo metinės visos veiklos pajamos per paskutinius 1 (vienus) finansinius metus, o jei tiekėjas įregistruotas vėliau ar veiklą atitinkamoje srityje pradėjo vėliau – nuo tiekėjo įregistravimo ar veiklos pradžios, yra ne mažesnės kaip </w:t>
            </w:r>
            <w:r w:rsidRPr="00752479">
              <w:rPr>
                <w:rFonts w:ascii="Times New Roman" w:hAnsi="Times New Roman" w:cs="Times New Roman"/>
                <w:b/>
                <w:bCs/>
                <w:color w:val="000000" w:themeColor="text1"/>
                <w:sz w:val="22"/>
                <w:szCs w:val="22"/>
              </w:rPr>
              <w:t>6</w:t>
            </w:r>
            <w:r w:rsidRPr="00752479">
              <w:rPr>
                <w:rFonts w:ascii="Times New Roman" w:hAnsi="Times New Roman" w:cs="Times New Roman"/>
                <w:b/>
                <w:bCs/>
                <w:color w:val="000000" w:themeColor="text1"/>
                <w:sz w:val="22"/>
                <w:szCs w:val="22"/>
              </w:rPr>
              <w:t xml:space="preserve">0 </w:t>
            </w:r>
            <w:r w:rsidRPr="00752479">
              <w:rPr>
                <w:rFonts w:ascii="Times New Roman" w:hAnsi="Times New Roman" w:cs="Times New Roman"/>
                <w:b/>
                <w:bCs/>
                <w:color w:val="000000" w:themeColor="text1"/>
                <w:sz w:val="22"/>
                <w:szCs w:val="22"/>
              </w:rPr>
              <w:t>000 Eur</w:t>
            </w:r>
            <w:r w:rsidRPr="00752479" w:rsidDel="005C0044">
              <w:rPr>
                <w:rFonts w:ascii="Times New Roman" w:hAnsi="Times New Roman" w:cs="Times New Roman"/>
                <w:b/>
                <w:bCs/>
                <w:color w:val="000000" w:themeColor="text1"/>
                <w:sz w:val="22"/>
                <w:szCs w:val="22"/>
              </w:rPr>
              <w:t xml:space="preserve"> </w:t>
            </w:r>
            <w:r w:rsidRPr="00752479">
              <w:rPr>
                <w:rFonts w:ascii="Times New Roman" w:hAnsi="Times New Roman" w:cs="Times New Roman"/>
                <w:b/>
                <w:bCs/>
                <w:color w:val="000000" w:themeColor="text1"/>
                <w:sz w:val="22"/>
                <w:szCs w:val="22"/>
              </w:rPr>
              <w:t>be PVM.</w:t>
            </w:r>
          </w:p>
          <w:p w14:paraId="6F2DD74F" w14:textId="77777777" w:rsidR="00752479" w:rsidRPr="00752479" w:rsidRDefault="00752479" w:rsidP="00240288">
            <w:pPr>
              <w:jc w:val="both"/>
              <w:rPr>
                <w:rFonts w:ascii="Times New Roman" w:hAnsi="Times New Roman" w:cs="Times New Roman"/>
                <w:color w:val="000000" w:themeColor="text1"/>
                <w:sz w:val="22"/>
                <w:szCs w:val="22"/>
              </w:rPr>
            </w:pPr>
            <w:r w:rsidRPr="00752479">
              <w:rPr>
                <w:rFonts w:ascii="Times New Roman" w:hAnsi="Times New Roman" w:cs="Times New Roman"/>
                <w:i/>
                <w:iCs/>
                <w:color w:val="000000" w:themeColor="text1"/>
                <w:sz w:val="22"/>
                <w:szCs w:val="22"/>
              </w:rPr>
              <w:t>Jeigu pasiūlymą teikia ūkio subjektų grupė, reikalavimą turi atitikti visi kartu (pajėgumai sumuojami).</w:t>
            </w:r>
          </w:p>
          <w:p w14:paraId="4CA9DE1F" w14:textId="77777777" w:rsidR="00752479" w:rsidRPr="00752479" w:rsidRDefault="00752479" w:rsidP="00240288">
            <w:pPr>
              <w:jc w:val="both"/>
              <w:rPr>
                <w:rFonts w:ascii="Times New Roman" w:hAnsi="Times New Roman" w:cs="Times New Roman"/>
                <w:color w:val="000000" w:themeColor="text1"/>
                <w:sz w:val="22"/>
                <w:szCs w:val="22"/>
              </w:rPr>
            </w:pPr>
            <w:r w:rsidRPr="00752479">
              <w:rPr>
                <w:rFonts w:ascii="Times New Roman" w:hAnsi="Times New Roman" w:cs="Times New Roman"/>
                <w:i/>
                <w:iCs/>
                <w:color w:val="000000" w:themeColor="text1"/>
                <w:sz w:val="22"/>
                <w:szCs w:val="22"/>
              </w:rPr>
              <w:t>Tiekėjas gali remtis kitų ūkio subjektų pajėgumais: reikalavimą turi atitikti visi kartu (šių ūkio subjektų pajėgumai gali būti sumuojami su tiekėjo pajėgumais).</w:t>
            </w:r>
          </w:p>
          <w:p w14:paraId="2BBB1ECF" w14:textId="77777777" w:rsidR="00752479" w:rsidRPr="00752479" w:rsidRDefault="00752479" w:rsidP="00240288">
            <w:pPr>
              <w:jc w:val="both"/>
              <w:rPr>
                <w:rFonts w:ascii="Times New Roman" w:hAnsi="Times New Roman" w:cs="Times New Roman"/>
                <w:color w:val="000000" w:themeColor="text1"/>
                <w:sz w:val="22"/>
                <w:szCs w:val="22"/>
              </w:rPr>
            </w:pPr>
            <w:r w:rsidRPr="00752479">
              <w:rPr>
                <w:rFonts w:ascii="Times New Roman" w:hAnsi="Times New Roman" w:cs="Times New Roman"/>
                <w:i/>
                <w:iCs/>
                <w:color w:val="000000" w:themeColor="text1"/>
                <w:sz w:val="22"/>
                <w:szCs w:val="22"/>
              </w:rPr>
              <w:t>Tiekėjas ir ūkio subjektai, kurių pajėgumais remiamasi, turi prisiimti solidarią atsakomybę už pirkimo sutarties įvykdymą.</w:t>
            </w:r>
          </w:p>
          <w:p w14:paraId="4499B2FB" w14:textId="77777777" w:rsidR="00752479" w:rsidRPr="00752479" w:rsidRDefault="00752479" w:rsidP="00240288">
            <w:pPr>
              <w:jc w:val="both"/>
              <w:rPr>
                <w:rFonts w:ascii="Times New Roman" w:hAnsi="Times New Roman" w:cs="Times New Roman"/>
                <w:color w:val="000000" w:themeColor="text1"/>
                <w:sz w:val="22"/>
                <w:szCs w:val="22"/>
              </w:rPr>
            </w:pPr>
            <w:r w:rsidRPr="00752479">
              <w:rPr>
                <w:rFonts w:ascii="Times New Roman" w:hAnsi="Times New Roman" w:cs="Times New Roman"/>
                <w:i/>
                <w:iCs/>
                <w:color w:val="000000" w:themeColor="text1"/>
                <w:sz w:val="22"/>
                <w:szCs w:val="22"/>
              </w:rPr>
              <w:t>Subtiekėjams šis reikalavimas nenustatomas.</w:t>
            </w:r>
          </w:p>
        </w:tc>
        <w:tc>
          <w:tcPr>
            <w:tcW w:w="4536" w:type="dxa"/>
            <w:tcBorders>
              <w:top w:val="single" w:sz="4" w:space="0" w:color="auto"/>
            </w:tcBorders>
          </w:tcPr>
          <w:p w14:paraId="57742179" w14:textId="77777777" w:rsidR="00752479" w:rsidRPr="00752479" w:rsidRDefault="00752479" w:rsidP="00240288">
            <w:pPr>
              <w:jc w:val="both"/>
              <w:rPr>
                <w:rFonts w:ascii="Times New Roman" w:hAnsi="Times New Roman" w:cs="Times New Roman"/>
                <w:bCs/>
                <w:color w:val="000000" w:themeColor="text1"/>
                <w:sz w:val="22"/>
                <w:szCs w:val="22"/>
              </w:rPr>
            </w:pPr>
            <w:r w:rsidRPr="00752479">
              <w:rPr>
                <w:rFonts w:ascii="Times New Roman" w:hAnsi="Times New Roman" w:cs="Times New Roman"/>
                <w:bCs/>
                <w:color w:val="000000" w:themeColor="text1"/>
                <w:sz w:val="22"/>
                <w:szCs w:val="22"/>
              </w:rPr>
              <w:t>Tiekėjas, kuris pagal vertinimo rezultatus galės būti pripažintas laimėjusiu, perkančiajai organizacijai pareikalavus, turės CVP IS priemonėmis pateikti skaitmenines dokumentų kopijas arba elektroninės formos dokumentus:</w:t>
            </w:r>
          </w:p>
          <w:p w14:paraId="1D34F414" w14:textId="77777777" w:rsidR="00752479" w:rsidRPr="00752479" w:rsidRDefault="00752479" w:rsidP="00240288">
            <w:pPr>
              <w:jc w:val="both"/>
              <w:rPr>
                <w:rFonts w:ascii="Times New Roman" w:hAnsi="Times New Roman" w:cs="Times New Roman"/>
                <w:bCs/>
                <w:color w:val="000000" w:themeColor="text1"/>
                <w:sz w:val="22"/>
                <w:szCs w:val="22"/>
              </w:rPr>
            </w:pPr>
            <w:r w:rsidRPr="00752479">
              <w:rPr>
                <w:rFonts w:ascii="Times New Roman" w:hAnsi="Times New Roman" w:cs="Times New Roman"/>
                <w:bCs/>
                <w:color w:val="000000" w:themeColor="text1"/>
                <w:sz w:val="22"/>
                <w:szCs w:val="22"/>
              </w:rPr>
              <w:t>Paskutinių 1 (vienų) finansinių metų, o jei tiekėjas įregistruotas vėliau ar veiklą pradėjo vėliau – nuo tiekėjo įregistravimo ar veiklos pradžios,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finansinę apskaitą tvarkančio asmens pasirašytų finansinių ataskaitų rinkinys ar jo ištrauka arba pažyma apie gautas metines visos veiklos pajamas.</w:t>
            </w:r>
          </w:p>
          <w:p w14:paraId="138463EF" w14:textId="77777777" w:rsidR="00752479" w:rsidRPr="00752479" w:rsidRDefault="00752479" w:rsidP="00240288">
            <w:pPr>
              <w:jc w:val="both"/>
              <w:rPr>
                <w:rFonts w:ascii="Times New Roman" w:hAnsi="Times New Roman" w:cs="Times New Roman"/>
                <w:color w:val="000000" w:themeColor="text1"/>
                <w:sz w:val="22"/>
                <w:szCs w:val="22"/>
              </w:rPr>
            </w:pPr>
            <w:r w:rsidRPr="00752479">
              <w:rPr>
                <w:rFonts w:ascii="Times New Roman" w:hAnsi="Times New Roman" w:cs="Times New Roman"/>
                <w:bCs/>
                <w:color w:val="000000" w:themeColor="text1"/>
                <w:sz w:val="22"/>
                <w:szCs w:val="22"/>
              </w:rPr>
              <w:t>Jeigu tiekėjas dėl pateisinamų priežasčių negali pateikti perkančiosios organizacijos reikalaujamų jo finansinį ir ekonominį pajėgumą įrodančių dokumentų, jis turi teisę pateikti kitus perkančiajai organizacijai priimtinus dokumentus.</w:t>
            </w:r>
          </w:p>
        </w:tc>
      </w:tr>
      <w:tr w:rsidR="00752479" w:rsidRPr="009E29CF" w14:paraId="469880FF" w14:textId="77777777" w:rsidTr="00752479">
        <w:tc>
          <w:tcPr>
            <w:tcW w:w="9639" w:type="dxa"/>
            <w:gridSpan w:val="3"/>
          </w:tcPr>
          <w:p w14:paraId="1AF1BAD0" w14:textId="77777777" w:rsidR="00752479" w:rsidRPr="00597581" w:rsidRDefault="00752479" w:rsidP="00240288">
            <w:pPr>
              <w:jc w:val="center"/>
              <w:rPr>
                <w:rFonts w:ascii="Times New Roman" w:hAnsi="Times New Roman" w:cs="Times New Roman"/>
                <w:color w:val="000000" w:themeColor="text1"/>
                <w:sz w:val="24"/>
                <w:szCs w:val="24"/>
              </w:rPr>
            </w:pPr>
            <w:r w:rsidRPr="008F5218">
              <w:rPr>
                <w:rFonts w:ascii="Times New Roman" w:hAnsi="Times New Roman" w:cs="Times New Roman"/>
                <w:b/>
                <w:bCs/>
                <w:color w:val="000000" w:themeColor="text1"/>
                <w:sz w:val="24"/>
                <w:szCs w:val="24"/>
              </w:rPr>
              <w:t>Techninis ir profesinis pajėgumas</w:t>
            </w:r>
          </w:p>
        </w:tc>
      </w:tr>
      <w:tr w:rsidR="00752479" w:rsidRPr="00752479" w14:paraId="278FA882" w14:textId="77777777" w:rsidTr="00752479">
        <w:tc>
          <w:tcPr>
            <w:tcW w:w="851" w:type="dxa"/>
            <w:hideMark/>
          </w:tcPr>
          <w:p w14:paraId="6399A2C2" w14:textId="77777777" w:rsidR="00752479" w:rsidRPr="00752479" w:rsidRDefault="00752479" w:rsidP="00240288">
            <w:pPr>
              <w:ind w:left="-828" w:firstLine="851"/>
              <w:jc w:val="center"/>
              <w:rPr>
                <w:rFonts w:ascii="Times New Roman" w:hAnsi="Times New Roman" w:cs="Times New Roman"/>
                <w:color w:val="000000" w:themeColor="text1"/>
                <w:sz w:val="22"/>
                <w:szCs w:val="22"/>
              </w:rPr>
            </w:pPr>
            <w:r w:rsidRPr="00752479">
              <w:rPr>
                <w:rFonts w:ascii="Times New Roman" w:hAnsi="Times New Roman" w:cs="Times New Roman"/>
                <w:color w:val="000000" w:themeColor="text1"/>
                <w:sz w:val="22"/>
                <w:szCs w:val="22"/>
              </w:rPr>
              <w:t>2.</w:t>
            </w:r>
          </w:p>
        </w:tc>
        <w:tc>
          <w:tcPr>
            <w:tcW w:w="4252" w:type="dxa"/>
          </w:tcPr>
          <w:p w14:paraId="1805CA70" w14:textId="3381ED20" w:rsidR="00752479" w:rsidRPr="00752479" w:rsidRDefault="00B74CA0" w:rsidP="00240288">
            <w:pPr>
              <w:jc w:val="both"/>
              <w:rPr>
                <w:rFonts w:ascii="Times New Roman" w:hAnsi="Times New Roman" w:cs="Times New Roman"/>
                <w:color w:val="000000" w:themeColor="text1"/>
                <w:sz w:val="22"/>
                <w:szCs w:val="22"/>
              </w:rPr>
            </w:pPr>
            <w:r w:rsidRPr="001E371D">
              <w:rPr>
                <w:rFonts w:asciiTheme="majorBidi" w:eastAsia="Times New Roman" w:hAnsiTheme="majorBidi" w:cstheme="majorBidi"/>
                <w:b/>
                <w:bCs/>
                <w:sz w:val="22"/>
                <w:szCs w:val="22"/>
              </w:rPr>
              <w:t xml:space="preserve">Tiekėjas turi užtikrinti, kad paslaugas </w:t>
            </w:r>
            <w:r w:rsidRPr="00B74CA0">
              <w:rPr>
                <w:rFonts w:asciiTheme="majorBidi" w:eastAsia="Times New Roman" w:hAnsiTheme="majorBidi" w:cstheme="majorBidi"/>
                <w:b/>
                <w:bCs/>
                <w:sz w:val="22"/>
                <w:szCs w:val="22"/>
              </w:rPr>
              <w:t xml:space="preserve">teiks </w:t>
            </w:r>
            <w:r w:rsidR="00752479" w:rsidRPr="00752479">
              <w:rPr>
                <w:rFonts w:ascii="Times New Roman" w:hAnsi="Times New Roman" w:cs="Times New Roman"/>
                <w:b/>
                <w:bCs/>
                <w:color w:val="000000" w:themeColor="text1"/>
                <w:sz w:val="22"/>
                <w:szCs w:val="22"/>
              </w:rPr>
              <w:t>specialist</w:t>
            </w:r>
            <w:r>
              <w:rPr>
                <w:rFonts w:ascii="Times New Roman" w:hAnsi="Times New Roman" w:cs="Times New Roman"/>
                <w:b/>
                <w:bCs/>
                <w:color w:val="000000" w:themeColor="text1"/>
                <w:sz w:val="22"/>
                <w:szCs w:val="22"/>
              </w:rPr>
              <w:t>as</w:t>
            </w:r>
            <w:r w:rsidR="00752479" w:rsidRPr="00752479">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rPr>
              <w:t>ai</w:t>
            </w:r>
            <w:r w:rsidR="00752479" w:rsidRPr="00752479">
              <w:rPr>
                <w:rFonts w:ascii="Times New Roman" w:hAnsi="Times New Roman" w:cs="Times New Roman"/>
                <w:b/>
                <w:bCs/>
                <w:color w:val="000000" w:themeColor="text1"/>
                <w:sz w:val="22"/>
                <w:szCs w:val="22"/>
              </w:rPr>
              <w:t>), kuris (-</w:t>
            </w:r>
            <w:proofErr w:type="spellStart"/>
            <w:r w:rsidR="00752479" w:rsidRPr="00752479">
              <w:rPr>
                <w:rFonts w:ascii="Times New Roman" w:hAnsi="Times New Roman" w:cs="Times New Roman"/>
                <w:b/>
                <w:bCs/>
                <w:color w:val="000000" w:themeColor="text1"/>
                <w:sz w:val="22"/>
                <w:szCs w:val="22"/>
              </w:rPr>
              <w:t>ie</w:t>
            </w:r>
            <w:proofErr w:type="spellEnd"/>
            <w:r w:rsidR="00752479" w:rsidRPr="00752479">
              <w:rPr>
                <w:rFonts w:ascii="Times New Roman" w:hAnsi="Times New Roman" w:cs="Times New Roman"/>
                <w:b/>
                <w:bCs/>
                <w:color w:val="000000" w:themeColor="text1"/>
                <w:sz w:val="22"/>
                <w:szCs w:val="22"/>
              </w:rPr>
              <w:t>)</w:t>
            </w:r>
            <w:r w:rsidR="00752479" w:rsidRPr="00752479">
              <w:rPr>
                <w:rFonts w:ascii="Times New Roman" w:hAnsi="Times New Roman" w:cs="Times New Roman"/>
                <w:color w:val="000000" w:themeColor="text1"/>
                <w:sz w:val="22"/>
                <w:szCs w:val="22"/>
              </w:rPr>
              <w:t>:</w:t>
            </w:r>
          </w:p>
          <w:p w14:paraId="3133FBFC" w14:textId="77777777" w:rsidR="00752479" w:rsidRPr="00752479" w:rsidRDefault="00752479" w:rsidP="00240288">
            <w:pPr>
              <w:jc w:val="both"/>
              <w:rPr>
                <w:rFonts w:ascii="Times New Roman" w:hAnsi="Times New Roman" w:cs="Times New Roman"/>
                <w:b/>
                <w:bCs/>
                <w:color w:val="000000" w:themeColor="text1"/>
                <w:sz w:val="22"/>
                <w:szCs w:val="22"/>
              </w:rPr>
            </w:pPr>
            <w:r w:rsidRPr="00752479">
              <w:rPr>
                <w:rFonts w:ascii="Times New Roman" w:hAnsi="Times New Roman" w:cs="Times New Roman"/>
                <w:color w:val="000000" w:themeColor="text1"/>
                <w:sz w:val="22"/>
                <w:szCs w:val="22"/>
              </w:rPr>
              <w:t xml:space="preserve">2.1. per paskutinius 7 (septynerius) metus iki pasiūlymo pateikimo termino pabaigos atliko </w:t>
            </w:r>
            <w:r w:rsidRPr="00752479">
              <w:rPr>
                <w:rFonts w:ascii="Times New Roman" w:hAnsi="Times New Roman" w:cs="Times New Roman"/>
                <w:b/>
                <w:bCs/>
                <w:color w:val="000000" w:themeColor="text1"/>
                <w:sz w:val="22"/>
                <w:szCs w:val="22"/>
              </w:rPr>
              <w:t>bent po 1 (vieną)</w:t>
            </w:r>
            <w:r w:rsidRPr="00752479">
              <w:rPr>
                <w:rFonts w:ascii="Times New Roman" w:hAnsi="Times New Roman" w:cs="Times New Roman"/>
                <w:color w:val="000000" w:themeColor="text1"/>
                <w:sz w:val="22"/>
                <w:szCs w:val="22"/>
              </w:rPr>
              <w:t xml:space="preserve"> </w:t>
            </w:r>
            <w:r w:rsidRPr="00752479">
              <w:rPr>
                <w:rFonts w:ascii="Times New Roman" w:hAnsi="Times New Roman" w:cs="Times New Roman"/>
                <w:b/>
                <w:bCs/>
                <w:color w:val="000000" w:themeColor="text1"/>
                <w:sz w:val="22"/>
                <w:szCs w:val="22"/>
              </w:rPr>
              <w:t>valdymo ir kontrolės sistemos auditą;</w:t>
            </w:r>
          </w:p>
          <w:p w14:paraId="3256CF76" w14:textId="77777777" w:rsidR="00752479" w:rsidRPr="00752479" w:rsidRDefault="00752479" w:rsidP="00240288">
            <w:pPr>
              <w:jc w:val="both"/>
              <w:rPr>
                <w:rFonts w:ascii="Times New Roman" w:hAnsi="Times New Roman" w:cs="Times New Roman"/>
                <w:b/>
                <w:bCs/>
                <w:color w:val="000000" w:themeColor="text1"/>
                <w:sz w:val="22"/>
                <w:szCs w:val="22"/>
              </w:rPr>
            </w:pPr>
            <w:r w:rsidRPr="00752479">
              <w:rPr>
                <w:rFonts w:ascii="Times New Roman" w:hAnsi="Times New Roman" w:cs="Times New Roman"/>
                <w:color w:val="000000" w:themeColor="text1"/>
                <w:sz w:val="22"/>
                <w:szCs w:val="22"/>
              </w:rPr>
              <w:t xml:space="preserve">2.2. per paskutinius 7 (septynerius) metus iki pasiūlymo pateikimo termino pabaigos atliko </w:t>
            </w:r>
            <w:r w:rsidRPr="00752479">
              <w:rPr>
                <w:rFonts w:ascii="Times New Roman" w:hAnsi="Times New Roman" w:cs="Times New Roman"/>
                <w:b/>
                <w:bCs/>
                <w:color w:val="000000" w:themeColor="text1"/>
                <w:sz w:val="22"/>
                <w:szCs w:val="22"/>
              </w:rPr>
              <w:t>bent po 1 (vieną)</w:t>
            </w:r>
            <w:r w:rsidRPr="00752479">
              <w:rPr>
                <w:rFonts w:ascii="Times New Roman" w:hAnsi="Times New Roman" w:cs="Times New Roman"/>
                <w:color w:val="000000" w:themeColor="text1"/>
                <w:sz w:val="22"/>
                <w:szCs w:val="22"/>
              </w:rPr>
              <w:t xml:space="preserve"> </w:t>
            </w:r>
            <w:r w:rsidRPr="00586472">
              <w:rPr>
                <w:rFonts w:ascii="Times New Roman" w:hAnsi="Times New Roman" w:cs="Times New Roman"/>
                <w:b/>
                <w:bCs/>
                <w:color w:val="EE0000"/>
                <w:sz w:val="22"/>
                <w:szCs w:val="22"/>
              </w:rPr>
              <w:t xml:space="preserve">Europos Sąjungos fondų </w:t>
            </w:r>
            <w:r w:rsidRPr="00752479">
              <w:rPr>
                <w:rFonts w:ascii="Times New Roman" w:hAnsi="Times New Roman" w:cs="Times New Roman"/>
                <w:b/>
                <w:bCs/>
                <w:color w:val="000000" w:themeColor="text1"/>
                <w:sz w:val="22"/>
                <w:szCs w:val="22"/>
              </w:rPr>
              <w:t>sąskaitų auditą;</w:t>
            </w:r>
          </w:p>
          <w:p w14:paraId="47619E56" w14:textId="77777777" w:rsidR="00752479" w:rsidRPr="00752479" w:rsidRDefault="00752479" w:rsidP="00240288">
            <w:pPr>
              <w:jc w:val="both"/>
              <w:rPr>
                <w:rFonts w:ascii="Times New Roman" w:hAnsi="Times New Roman" w:cs="Times New Roman"/>
                <w:color w:val="000000" w:themeColor="text1"/>
                <w:sz w:val="22"/>
                <w:szCs w:val="22"/>
              </w:rPr>
            </w:pPr>
            <w:r w:rsidRPr="00752479">
              <w:rPr>
                <w:rFonts w:ascii="Times New Roman" w:hAnsi="Times New Roman" w:cs="Times New Roman"/>
                <w:color w:val="000000" w:themeColor="text1"/>
                <w:sz w:val="22"/>
                <w:szCs w:val="22"/>
              </w:rPr>
              <w:t>Tiekėjas gali pasiūlyti ir vieną specialistą, kuris atitiks visus reikalavimus.</w:t>
            </w:r>
          </w:p>
          <w:p w14:paraId="1C1551A0" w14:textId="77777777" w:rsidR="00B74CA0" w:rsidRPr="001E371D" w:rsidRDefault="00B74CA0" w:rsidP="00B74CA0">
            <w:pPr>
              <w:pStyle w:val="Sraopastraipa"/>
              <w:spacing w:after="0" w:line="254" w:lineRule="auto"/>
              <w:ind w:left="0" w:firstLine="174"/>
              <w:jc w:val="both"/>
              <w:rPr>
                <w:rFonts w:asciiTheme="majorBidi" w:eastAsia="Times New Roman" w:hAnsiTheme="majorBidi" w:cstheme="majorBidi"/>
                <w:i/>
                <w:iCs/>
                <w:color w:val="000000" w:themeColor="text1"/>
                <w:sz w:val="22"/>
                <w:szCs w:val="22"/>
              </w:rPr>
            </w:pPr>
            <w:r w:rsidRPr="001E371D">
              <w:rPr>
                <w:rFonts w:asciiTheme="majorBidi" w:eastAsia="Times New Roman" w:hAnsiTheme="majorBidi" w:cstheme="majorBidi"/>
                <w:i/>
                <w:iCs/>
                <w:color w:val="000000" w:themeColor="text1"/>
                <w:sz w:val="22"/>
                <w:szCs w:val="22"/>
              </w:rPr>
              <w:t>Jeigu pasiūlymą teikia ūkio subjektų grupė – reikalavimą turi atitikti ūkio subjektų grupės nario (-</w:t>
            </w:r>
            <w:proofErr w:type="spellStart"/>
            <w:r w:rsidRPr="001E371D">
              <w:rPr>
                <w:rFonts w:asciiTheme="majorBidi" w:eastAsia="Times New Roman" w:hAnsiTheme="majorBidi" w:cstheme="majorBidi"/>
                <w:i/>
                <w:iCs/>
                <w:color w:val="000000" w:themeColor="text1"/>
                <w:sz w:val="22"/>
                <w:szCs w:val="22"/>
              </w:rPr>
              <w:t>ių</w:t>
            </w:r>
            <w:proofErr w:type="spellEnd"/>
            <w:r w:rsidRPr="001E371D">
              <w:rPr>
                <w:rFonts w:asciiTheme="majorBidi" w:eastAsia="Times New Roman" w:hAnsiTheme="majorBidi" w:cstheme="majorBidi"/>
                <w:i/>
                <w:iCs/>
                <w:color w:val="000000" w:themeColor="text1"/>
                <w:sz w:val="22"/>
                <w:szCs w:val="22"/>
              </w:rPr>
              <w:t>) specialistai, atsižvelgiant į jų prisiimamus įsipareigojimus pirkimo sutarčiai vykdyti.</w:t>
            </w:r>
          </w:p>
          <w:p w14:paraId="78E918A6" w14:textId="77777777" w:rsidR="00B74CA0" w:rsidRPr="001E371D" w:rsidRDefault="00B74CA0" w:rsidP="00B74CA0">
            <w:pPr>
              <w:pStyle w:val="Sraopastraipa"/>
              <w:spacing w:after="0" w:line="254" w:lineRule="auto"/>
              <w:ind w:left="0" w:firstLine="174"/>
              <w:jc w:val="both"/>
              <w:rPr>
                <w:rFonts w:asciiTheme="majorBidi" w:eastAsia="Times New Roman" w:hAnsiTheme="majorBidi" w:cstheme="majorBidi"/>
                <w:i/>
                <w:iCs/>
                <w:color w:val="000000" w:themeColor="text1"/>
                <w:sz w:val="22"/>
                <w:szCs w:val="22"/>
              </w:rPr>
            </w:pPr>
            <w:r w:rsidRPr="001E371D">
              <w:rPr>
                <w:rFonts w:asciiTheme="majorBidi" w:eastAsia="Times New Roman" w:hAnsiTheme="majorBidi" w:cstheme="majorBidi"/>
                <w:i/>
                <w:iCs/>
                <w:color w:val="000000" w:themeColor="text1"/>
                <w:sz w:val="22"/>
                <w:szCs w:val="22"/>
              </w:rPr>
              <w:t>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Tas pats asmuo gali būti siūlomas vykdyti kelių specialistų funkcijas, jei atitinka tiems specialistams keliamus kvalifikacijos reikalavimus.</w:t>
            </w:r>
          </w:p>
          <w:p w14:paraId="3B0F7EA7" w14:textId="51E367E3" w:rsidR="00752479" w:rsidRPr="00752479" w:rsidRDefault="00752479" w:rsidP="00240288">
            <w:pPr>
              <w:pStyle w:val="Sraopastraipa"/>
              <w:tabs>
                <w:tab w:val="left" w:pos="177"/>
              </w:tabs>
              <w:ind w:left="35"/>
              <w:jc w:val="both"/>
              <w:rPr>
                <w:rFonts w:ascii="Times New Roman" w:hAnsi="Times New Roman" w:cs="Times New Roman"/>
                <w:color w:val="000000" w:themeColor="text1"/>
                <w:sz w:val="22"/>
                <w:szCs w:val="22"/>
              </w:rPr>
            </w:pPr>
          </w:p>
        </w:tc>
        <w:tc>
          <w:tcPr>
            <w:tcW w:w="4536" w:type="dxa"/>
            <w:hideMark/>
          </w:tcPr>
          <w:p w14:paraId="5C7A97D2" w14:textId="77777777" w:rsidR="00752479" w:rsidRPr="00752479" w:rsidRDefault="00752479" w:rsidP="00240288">
            <w:pPr>
              <w:jc w:val="both"/>
              <w:rPr>
                <w:rFonts w:ascii="Times New Roman" w:hAnsi="Times New Roman" w:cs="Times New Roman"/>
                <w:color w:val="000000" w:themeColor="text1"/>
                <w:sz w:val="22"/>
                <w:szCs w:val="22"/>
              </w:rPr>
            </w:pPr>
            <w:r w:rsidRPr="00752479">
              <w:rPr>
                <w:rFonts w:ascii="Times New Roman" w:hAnsi="Times New Roman" w:cs="Times New Roman"/>
                <w:color w:val="000000" w:themeColor="text1"/>
                <w:sz w:val="22"/>
                <w:szCs w:val="22"/>
              </w:rPr>
              <w:t>Tiekėjas, kuris pagal vertinimo rezultatus galės būti pripažintas laimėjusiu, perkančiajai organizacijai pareikalavus, turės CVP IS priemonėmis pateikti skaitmenines dokumentų kopijas arba elektroninės formos dokumentus:</w:t>
            </w:r>
          </w:p>
          <w:p w14:paraId="661F343F" w14:textId="71C76CF8" w:rsidR="00752479" w:rsidRPr="00752479" w:rsidRDefault="00752479" w:rsidP="00752479">
            <w:pPr>
              <w:tabs>
                <w:tab w:val="num" w:pos="360"/>
              </w:tabs>
              <w:jc w:val="both"/>
              <w:rPr>
                <w:rFonts w:ascii="Times New Roman" w:hAnsi="Times New Roman" w:cs="Times New Roman"/>
                <w:color w:val="000000" w:themeColor="text1"/>
                <w:sz w:val="22"/>
                <w:szCs w:val="22"/>
              </w:rPr>
            </w:pPr>
            <w:r w:rsidRPr="00752479">
              <w:rPr>
                <w:rFonts w:ascii="Times New Roman" w:hAnsi="Times New Roman" w:cs="Times New Roman"/>
                <w:sz w:val="22"/>
                <w:szCs w:val="22"/>
              </w:rPr>
              <w:t xml:space="preserve">1. </w:t>
            </w:r>
            <w:r w:rsidRPr="00752479">
              <w:rPr>
                <w:rFonts w:ascii="Times New Roman" w:hAnsi="Times New Roman" w:cs="Times New Roman"/>
                <w:sz w:val="22"/>
                <w:szCs w:val="22"/>
              </w:rPr>
              <w:t>specialistų</w:t>
            </w:r>
            <w:r w:rsidRPr="00752479" w:rsidDel="00EB4390">
              <w:rPr>
                <w:rFonts w:ascii="Times New Roman" w:hAnsi="Times New Roman" w:cs="Times New Roman"/>
                <w:color w:val="000000" w:themeColor="text1"/>
                <w:sz w:val="22"/>
                <w:szCs w:val="22"/>
              </w:rPr>
              <w:t xml:space="preserve"> </w:t>
            </w:r>
            <w:r w:rsidRPr="00752479">
              <w:rPr>
                <w:rFonts w:ascii="Times New Roman" w:hAnsi="Times New Roman" w:cs="Times New Roman"/>
                <w:color w:val="000000" w:themeColor="text1"/>
                <w:sz w:val="22"/>
                <w:szCs w:val="22"/>
              </w:rPr>
              <w:t xml:space="preserve">pasirašytas </w:t>
            </w:r>
            <w:r w:rsidRPr="00752479">
              <w:rPr>
                <w:rFonts w:ascii="Times New Roman" w:hAnsi="Times New Roman" w:cs="Times New Roman"/>
                <w:sz w:val="22"/>
                <w:szCs w:val="22"/>
              </w:rPr>
              <w:t>specialistų</w:t>
            </w:r>
            <w:r w:rsidRPr="00752479" w:rsidDel="00EB4390">
              <w:rPr>
                <w:rFonts w:ascii="Times New Roman" w:hAnsi="Times New Roman" w:cs="Times New Roman"/>
                <w:color w:val="000000" w:themeColor="text1"/>
                <w:sz w:val="22"/>
                <w:szCs w:val="22"/>
              </w:rPr>
              <w:t xml:space="preserve"> </w:t>
            </w:r>
            <w:r w:rsidRPr="00752479">
              <w:rPr>
                <w:rFonts w:ascii="Times New Roman" w:hAnsi="Times New Roman" w:cs="Times New Roman"/>
                <w:color w:val="000000" w:themeColor="text1"/>
                <w:sz w:val="22"/>
                <w:szCs w:val="22"/>
              </w:rPr>
              <w:t xml:space="preserve">kvalifikacijos atitikties reikalavimams lenteles pagal </w:t>
            </w:r>
            <w:r w:rsidR="00B74CA0">
              <w:rPr>
                <w:rFonts w:ascii="Times New Roman" w:hAnsi="Times New Roman" w:cs="Times New Roman"/>
                <w:color w:val="000000" w:themeColor="text1"/>
                <w:sz w:val="22"/>
                <w:szCs w:val="22"/>
              </w:rPr>
              <w:t>Pirkimo dokumentų S</w:t>
            </w:r>
            <w:r w:rsidRPr="00752479">
              <w:rPr>
                <w:rFonts w:ascii="Times New Roman" w:hAnsi="Times New Roman" w:cs="Times New Roman"/>
                <w:color w:val="000000" w:themeColor="text1"/>
                <w:sz w:val="22"/>
                <w:szCs w:val="22"/>
              </w:rPr>
              <w:t>pecialiųjų  sąlygų 13 priedą;</w:t>
            </w:r>
          </w:p>
          <w:p w14:paraId="56243060" w14:textId="4A0C3C34" w:rsidR="00752479" w:rsidRPr="00752479" w:rsidRDefault="00752479" w:rsidP="00752479">
            <w:pPr>
              <w:tabs>
                <w:tab w:val="num" w:pos="360"/>
              </w:tabs>
              <w:jc w:val="both"/>
              <w:rPr>
                <w:rFonts w:ascii="Times New Roman" w:hAnsi="Times New Roman" w:cs="Times New Roman"/>
                <w:color w:val="000000" w:themeColor="text1"/>
                <w:sz w:val="22"/>
                <w:szCs w:val="22"/>
              </w:rPr>
            </w:pPr>
            <w:r w:rsidRPr="00752479">
              <w:rPr>
                <w:rFonts w:ascii="Times New Roman" w:hAnsi="Times New Roman" w:cs="Times New Roman"/>
                <w:color w:val="000000" w:themeColor="text1"/>
                <w:sz w:val="22"/>
                <w:szCs w:val="22"/>
              </w:rPr>
              <w:t xml:space="preserve">2. </w:t>
            </w:r>
            <w:r w:rsidRPr="00752479">
              <w:rPr>
                <w:rFonts w:ascii="Times New Roman" w:hAnsi="Times New Roman" w:cs="Times New Roman"/>
                <w:color w:val="000000" w:themeColor="text1"/>
                <w:sz w:val="22"/>
                <w:szCs w:val="22"/>
              </w:rPr>
              <w:t xml:space="preserve">ketinimų protokolus dėl darbo sutarties sudarymo su </w:t>
            </w:r>
            <w:r w:rsidRPr="00752479">
              <w:rPr>
                <w:rFonts w:ascii="Times New Roman" w:hAnsi="Times New Roman" w:cs="Times New Roman"/>
                <w:sz w:val="22"/>
                <w:szCs w:val="22"/>
              </w:rPr>
              <w:t>specialistais</w:t>
            </w:r>
            <w:r w:rsidRPr="00752479" w:rsidDel="00EB4390">
              <w:rPr>
                <w:rFonts w:ascii="Times New Roman" w:hAnsi="Times New Roman" w:cs="Times New Roman"/>
                <w:color w:val="000000" w:themeColor="text1"/>
                <w:sz w:val="22"/>
                <w:szCs w:val="22"/>
              </w:rPr>
              <w:t xml:space="preserve"> </w:t>
            </w:r>
            <w:r w:rsidRPr="00752479">
              <w:rPr>
                <w:rFonts w:ascii="Times New Roman" w:hAnsi="Times New Roman" w:cs="Times New Roman"/>
                <w:color w:val="000000" w:themeColor="text1"/>
                <w:sz w:val="22"/>
                <w:szCs w:val="22"/>
              </w:rPr>
              <w:t xml:space="preserve">(tuo atveju, jeigu pasitelkiami </w:t>
            </w:r>
            <w:proofErr w:type="spellStart"/>
            <w:r w:rsidRPr="00752479">
              <w:rPr>
                <w:rFonts w:ascii="Times New Roman" w:hAnsi="Times New Roman" w:cs="Times New Roman"/>
                <w:color w:val="000000" w:themeColor="text1"/>
                <w:sz w:val="22"/>
                <w:szCs w:val="22"/>
              </w:rPr>
              <w:t>kvazisubtiekėjai</w:t>
            </w:r>
            <w:proofErr w:type="spellEnd"/>
            <w:r w:rsidRPr="00752479">
              <w:rPr>
                <w:rFonts w:ascii="Times New Roman" w:hAnsi="Times New Roman" w:cs="Times New Roman"/>
                <w:color w:val="000000" w:themeColor="text1"/>
                <w:sz w:val="22"/>
                <w:szCs w:val="22"/>
              </w:rPr>
              <w:t xml:space="preserve"> (</w:t>
            </w:r>
            <w:r w:rsidRPr="00752479">
              <w:rPr>
                <w:rFonts w:ascii="Times New Roman" w:hAnsi="Times New Roman" w:cs="Times New Roman"/>
                <w:sz w:val="22"/>
                <w:szCs w:val="22"/>
              </w:rPr>
              <w:t>specialistai</w:t>
            </w:r>
            <w:r w:rsidRPr="00752479">
              <w:rPr>
                <w:rFonts w:ascii="Times New Roman" w:hAnsi="Times New Roman" w:cs="Times New Roman"/>
                <w:color w:val="000000" w:themeColor="text1"/>
                <w:sz w:val="22"/>
                <w:szCs w:val="22"/>
              </w:rPr>
              <w:t>, kurie nėra tiekėjo, ūkio subjekto, kurio pajėgumais tiekėjas remiasi, arba subtiekėjo darbuotojai, tačiau juos ketinama įdarbinti, jei pasiūlymas bus pripažintas laimėjusiu) tiekėjo laimėjimo ir sutarties sudarymo su perkančiąja organizacija atveju. Svarbu, kad susitarimai (ketinimų protokolai) būtų sudaryti iki nustatytos pasiūlymų pateikimo dienos.</w:t>
            </w:r>
          </w:p>
          <w:p w14:paraId="4560A466" w14:textId="77777777" w:rsidR="00752479" w:rsidRPr="00752479" w:rsidRDefault="00752479" w:rsidP="00240288">
            <w:pPr>
              <w:jc w:val="both"/>
              <w:rPr>
                <w:rFonts w:ascii="Times New Roman" w:hAnsi="Times New Roman" w:cs="Times New Roman"/>
                <w:color w:val="000000" w:themeColor="text1"/>
                <w:sz w:val="22"/>
                <w:szCs w:val="22"/>
              </w:rPr>
            </w:pPr>
          </w:p>
        </w:tc>
      </w:tr>
    </w:tbl>
    <w:p w14:paraId="4D4059B1" w14:textId="77777777" w:rsidR="00752479" w:rsidRPr="009E29CF" w:rsidRDefault="00752479" w:rsidP="00752479">
      <w:pPr>
        <w:rPr>
          <w:rFonts w:ascii="Times New Roman" w:hAnsi="Times New Roman" w:cs="Times New Roman"/>
          <w:sz w:val="24"/>
          <w:szCs w:val="24"/>
        </w:rPr>
      </w:pPr>
    </w:p>
    <w:p w14:paraId="67892EAD" w14:textId="72110FDA" w:rsidR="00A87913" w:rsidRPr="005D4DE6" w:rsidRDefault="00571322" w:rsidP="00B31A5F">
      <w:pPr>
        <w:suppressAutoHyphens/>
        <w:jc w:val="center"/>
        <w:rPr>
          <w:rFonts w:ascii="Times New Roman" w:eastAsia="Times New Roman" w:hAnsi="Times New Roman" w:cs="Times New Roman"/>
          <w:b/>
          <w:bCs/>
          <w:sz w:val="22"/>
          <w:szCs w:val="22"/>
          <w:lang w:eastAsia="ar-SA"/>
        </w:rPr>
        <w:sectPr w:rsidR="00A87913" w:rsidRPr="005D4DE6" w:rsidSect="00A87913">
          <w:pgSz w:w="11906" w:h="16838"/>
          <w:pgMar w:top="1276" w:right="567" w:bottom="1134" w:left="1701" w:header="567" w:footer="567" w:gutter="0"/>
          <w:cols w:space="1296"/>
          <w:docGrid w:linePitch="360"/>
        </w:sectPr>
      </w:pPr>
      <w:r>
        <w:rPr>
          <w:rFonts w:ascii="Times New Roman" w:eastAsia="Times New Roman" w:hAnsi="Times New Roman" w:cs="Times New Roman"/>
          <w:b/>
          <w:bCs/>
          <w:sz w:val="22"/>
          <w:szCs w:val="22"/>
          <w:lang w:eastAsia="ar-SA"/>
        </w:rPr>
        <w:t>_____________________________________</w:t>
      </w:r>
    </w:p>
    <w:p w14:paraId="449BB6C0" w14:textId="77777777" w:rsidR="003738BA" w:rsidRDefault="003738BA" w:rsidP="00B52BD7">
      <w:pPr>
        <w:pStyle w:val="Antrats"/>
        <w:rPr>
          <w:szCs w:val="24"/>
        </w:rPr>
      </w:pPr>
    </w:p>
    <w:sectPr w:rsidR="003738BA" w:rsidSect="00152230">
      <w:headerReference w:type="default" r:id="rId10"/>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04BF" w14:textId="77777777" w:rsidR="00E156F3" w:rsidRDefault="00E156F3" w:rsidP="00C31CCB">
      <w:pPr>
        <w:spacing w:after="0" w:line="240" w:lineRule="auto"/>
      </w:pPr>
      <w:r>
        <w:separator/>
      </w:r>
    </w:p>
  </w:endnote>
  <w:endnote w:type="continuationSeparator" w:id="0">
    <w:p w14:paraId="7292419E" w14:textId="77777777" w:rsidR="00E156F3" w:rsidRDefault="00E156F3" w:rsidP="00C3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9A62A" w14:textId="77777777" w:rsidR="00E156F3" w:rsidRDefault="00E156F3" w:rsidP="00C31CCB">
      <w:pPr>
        <w:spacing w:after="0" w:line="240" w:lineRule="auto"/>
      </w:pPr>
      <w:r>
        <w:separator/>
      </w:r>
    </w:p>
  </w:footnote>
  <w:footnote w:type="continuationSeparator" w:id="0">
    <w:p w14:paraId="3EA18249" w14:textId="77777777" w:rsidR="00E156F3" w:rsidRDefault="00E156F3" w:rsidP="00C31CCB">
      <w:pPr>
        <w:spacing w:after="0" w:line="240" w:lineRule="auto"/>
      </w:pPr>
      <w:r>
        <w:continuationSeparator/>
      </w:r>
    </w:p>
  </w:footnote>
  <w:footnote w:id="1">
    <w:p w14:paraId="14D0878E" w14:textId="77777777" w:rsidR="00A87913" w:rsidRPr="00446037" w:rsidRDefault="00A87913" w:rsidP="00A87913">
      <w:pPr>
        <w:rPr>
          <w:rFonts w:ascii="Times New Roman" w:hAnsi="Times New Roman" w:cs="Times New Roman"/>
          <w:sz w:val="20"/>
        </w:rPr>
      </w:pPr>
      <w:r w:rsidRPr="00446037">
        <w:rPr>
          <w:rFonts w:ascii="Times New Roman" w:hAnsi="Times New Roman" w:cs="Times New Roman"/>
          <w:sz w:val="20"/>
          <w:vertAlign w:val="superscript"/>
        </w:rPr>
        <w:footnoteRef/>
      </w:r>
      <w:r w:rsidRPr="00446037">
        <w:rPr>
          <w:rFonts w:ascii="Times New Roman" w:hAnsi="Times New Roman" w:cs="Times New Roman"/>
          <w:sz w:val="20"/>
        </w:rPr>
        <w:t xml:space="preserve"> Žr. </w:t>
      </w:r>
      <w:r w:rsidRPr="00446037">
        <w:rPr>
          <w:rFonts w:ascii="Times New Roman" w:hAnsi="Times New Roman" w:cs="Times New Roman"/>
          <w:color w:val="0000FF"/>
          <w:sz w:val="20"/>
          <w:u w:val="single"/>
        </w:rPr>
        <w:t>https://eimin.lrv.lt/lt/veiklos-sritys/verslo-aplinka/reglamentuojamu-profesiniu-kvalifikaciju-pripazinimas</w:t>
      </w:r>
      <w:r w:rsidRPr="00446037">
        <w:rPr>
          <w:rFonts w:ascii="Times New Roman" w:hAnsi="Times New Roman" w:cs="Times New Roman"/>
          <w:sz w:val="20"/>
        </w:rPr>
        <w:t xml:space="preserve"> ir specialiuosius teisės aktus.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Content>
      <w:p w14:paraId="6F73FFDA" w14:textId="77777777" w:rsidR="00152230" w:rsidRDefault="00152230" w:rsidP="00885D8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C3E"/>
    <w:multiLevelType w:val="hybridMultilevel"/>
    <w:tmpl w:val="7F6494E6"/>
    <w:lvl w:ilvl="0" w:tplc="A2CCD3CC">
      <w:start w:val="1"/>
      <w:numFmt w:val="decimal"/>
      <w:lvlText w:val="%1)"/>
      <w:lvlJc w:val="left"/>
      <w:pPr>
        <w:ind w:left="360" w:hanging="360"/>
      </w:pPr>
      <w:rPr>
        <w:rFonts w:ascii="Times New Roman" w:eastAsia="Times New Roman" w:hAnsi="Times New Roman" w:cs="Times New Roman"/>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34EA38BC"/>
    <w:multiLevelType w:val="multilevel"/>
    <w:tmpl w:val="9766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192E23"/>
    <w:multiLevelType w:val="hybridMultilevel"/>
    <w:tmpl w:val="271CC120"/>
    <w:lvl w:ilvl="0" w:tplc="FFFFFFFF">
      <w:start w:val="1"/>
      <w:numFmt w:val="bullet"/>
      <w:lvlText w:val=""/>
      <w:lvlJc w:val="left"/>
      <w:pPr>
        <w:ind w:left="768" w:hanging="360"/>
      </w:pPr>
      <w:rPr>
        <w:rFonts w:ascii="Symbol" w:hAnsi="Symbol" w:hint="default"/>
      </w:rPr>
    </w:lvl>
    <w:lvl w:ilvl="1" w:tplc="04270003">
      <w:start w:val="1"/>
      <w:numFmt w:val="bullet"/>
      <w:lvlText w:val="o"/>
      <w:lvlJc w:val="left"/>
      <w:pPr>
        <w:ind w:left="1488" w:hanging="360"/>
      </w:pPr>
      <w:rPr>
        <w:rFonts w:ascii="Courier New" w:hAnsi="Courier New" w:cs="Courier New" w:hint="default"/>
      </w:rPr>
    </w:lvl>
    <w:lvl w:ilvl="2" w:tplc="FFFFFFFF">
      <w:start w:val="1"/>
      <w:numFmt w:val="bullet"/>
      <w:lvlText w:val=""/>
      <w:lvlJc w:val="left"/>
      <w:pPr>
        <w:ind w:left="2208" w:hanging="360"/>
      </w:pPr>
      <w:rPr>
        <w:rFonts w:ascii="Wingdings" w:hAnsi="Wingdings" w:hint="default"/>
      </w:rPr>
    </w:lvl>
    <w:lvl w:ilvl="3" w:tplc="FFFFFFFF">
      <w:start w:val="1"/>
      <w:numFmt w:val="bullet"/>
      <w:lvlText w:val=""/>
      <w:lvlJc w:val="left"/>
      <w:pPr>
        <w:ind w:left="2928" w:hanging="360"/>
      </w:pPr>
      <w:rPr>
        <w:rFonts w:ascii="Symbol" w:hAnsi="Symbol" w:hint="default"/>
      </w:rPr>
    </w:lvl>
    <w:lvl w:ilvl="4" w:tplc="FFFFFFFF">
      <w:start w:val="1"/>
      <w:numFmt w:val="bullet"/>
      <w:lvlText w:val="o"/>
      <w:lvlJc w:val="left"/>
      <w:pPr>
        <w:ind w:left="3648" w:hanging="360"/>
      </w:pPr>
      <w:rPr>
        <w:rFonts w:ascii="Courier New" w:hAnsi="Courier New" w:hint="default"/>
      </w:rPr>
    </w:lvl>
    <w:lvl w:ilvl="5" w:tplc="FFFFFFFF">
      <w:start w:val="1"/>
      <w:numFmt w:val="bullet"/>
      <w:lvlText w:val=""/>
      <w:lvlJc w:val="left"/>
      <w:pPr>
        <w:ind w:left="4368" w:hanging="360"/>
      </w:pPr>
      <w:rPr>
        <w:rFonts w:ascii="Wingdings" w:hAnsi="Wingdings" w:hint="default"/>
      </w:rPr>
    </w:lvl>
    <w:lvl w:ilvl="6" w:tplc="FFFFFFFF">
      <w:start w:val="1"/>
      <w:numFmt w:val="bullet"/>
      <w:lvlText w:val=""/>
      <w:lvlJc w:val="left"/>
      <w:pPr>
        <w:ind w:left="5088" w:hanging="360"/>
      </w:pPr>
      <w:rPr>
        <w:rFonts w:ascii="Symbol" w:hAnsi="Symbol" w:hint="default"/>
      </w:rPr>
    </w:lvl>
    <w:lvl w:ilvl="7" w:tplc="FFFFFFFF">
      <w:start w:val="1"/>
      <w:numFmt w:val="bullet"/>
      <w:lvlText w:val="o"/>
      <w:lvlJc w:val="left"/>
      <w:pPr>
        <w:ind w:left="5808" w:hanging="360"/>
      </w:pPr>
      <w:rPr>
        <w:rFonts w:ascii="Courier New" w:hAnsi="Courier New" w:hint="default"/>
      </w:rPr>
    </w:lvl>
    <w:lvl w:ilvl="8" w:tplc="FFFFFFFF">
      <w:start w:val="1"/>
      <w:numFmt w:val="bullet"/>
      <w:lvlText w:val=""/>
      <w:lvlJc w:val="left"/>
      <w:pPr>
        <w:ind w:left="6528" w:hanging="360"/>
      </w:pPr>
      <w:rPr>
        <w:rFonts w:ascii="Wingdings" w:hAnsi="Wingdings" w:hint="default"/>
      </w:rPr>
    </w:lvl>
  </w:abstractNum>
  <w:abstractNum w:abstractNumId="3"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3CC3CA8"/>
    <w:multiLevelType w:val="multilevel"/>
    <w:tmpl w:val="8B98B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7388437">
    <w:abstractNumId w:val="4"/>
  </w:num>
  <w:num w:numId="2" w16cid:durableId="650598100">
    <w:abstractNumId w:val="3"/>
  </w:num>
  <w:num w:numId="3" w16cid:durableId="1047534678">
    <w:abstractNumId w:val="0"/>
  </w:num>
  <w:num w:numId="4" w16cid:durableId="1528367431">
    <w:abstractNumId w:val="5"/>
  </w:num>
  <w:num w:numId="5" w16cid:durableId="1015578169">
    <w:abstractNumId w:val="2"/>
  </w:num>
  <w:num w:numId="6" w16cid:durableId="635376212">
    <w:abstractNumId w:val="1"/>
  </w:num>
  <w:num w:numId="7" w16cid:durableId="126926667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D7443"/>
    <w:rsid w:val="000D7ED6"/>
    <w:rsid w:val="000F01A6"/>
    <w:rsid w:val="00140F71"/>
    <w:rsid w:val="00152230"/>
    <w:rsid w:val="0018102F"/>
    <w:rsid w:val="001949A5"/>
    <w:rsid w:val="00195BD2"/>
    <w:rsid w:val="001E371D"/>
    <w:rsid w:val="00245992"/>
    <w:rsid w:val="002572AF"/>
    <w:rsid w:val="002749DE"/>
    <w:rsid w:val="00277623"/>
    <w:rsid w:val="002E74D1"/>
    <w:rsid w:val="00367F6E"/>
    <w:rsid w:val="003738BA"/>
    <w:rsid w:val="00380F71"/>
    <w:rsid w:val="00394B15"/>
    <w:rsid w:val="003A4FC0"/>
    <w:rsid w:val="003B2685"/>
    <w:rsid w:val="003F372A"/>
    <w:rsid w:val="00402A54"/>
    <w:rsid w:val="00497BA9"/>
    <w:rsid w:val="004E7F2D"/>
    <w:rsid w:val="005402D5"/>
    <w:rsid w:val="00571322"/>
    <w:rsid w:val="00586472"/>
    <w:rsid w:val="005C5117"/>
    <w:rsid w:val="005D69F6"/>
    <w:rsid w:val="005F583B"/>
    <w:rsid w:val="00644535"/>
    <w:rsid w:val="00644750"/>
    <w:rsid w:val="00670188"/>
    <w:rsid w:val="00690FB1"/>
    <w:rsid w:val="006E6B53"/>
    <w:rsid w:val="00700A28"/>
    <w:rsid w:val="00752479"/>
    <w:rsid w:val="00766B58"/>
    <w:rsid w:val="00801F7B"/>
    <w:rsid w:val="008021DF"/>
    <w:rsid w:val="00803467"/>
    <w:rsid w:val="008A32A5"/>
    <w:rsid w:val="008B35D3"/>
    <w:rsid w:val="00901655"/>
    <w:rsid w:val="00914E73"/>
    <w:rsid w:val="00951668"/>
    <w:rsid w:val="009832A5"/>
    <w:rsid w:val="009A0954"/>
    <w:rsid w:val="009E001F"/>
    <w:rsid w:val="009E63B4"/>
    <w:rsid w:val="00A0066B"/>
    <w:rsid w:val="00A21A73"/>
    <w:rsid w:val="00A3189A"/>
    <w:rsid w:val="00A6377B"/>
    <w:rsid w:val="00A818DA"/>
    <w:rsid w:val="00A87913"/>
    <w:rsid w:val="00AA53F9"/>
    <w:rsid w:val="00AB42CA"/>
    <w:rsid w:val="00AD2EBD"/>
    <w:rsid w:val="00B106C6"/>
    <w:rsid w:val="00B31A5F"/>
    <w:rsid w:val="00B52BD7"/>
    <w:rsid w:val="00B54AFE"/>
    <w:rsid w:val="00B74CA0"/>
    <w:rsid w:val="00BA63D7"/>
    <w:rsid w:val="00C31CCB"/>
    <w:rsid w:val="00C95C1A"/>
    <w:rsid w:val="00C96DCF"/>
    <w:rsid w:val="00CB0025"/>
    <w:rsid w:val="00D020E3"/>
    <w:rsid w:val="00D64630"/>
    <w:rsid w:val="00D650C8"/>
    <w:rsid w:val="00DD0D32"/>
    <w:rsid w:val="00E156F3"/>
    <w:rsid w:val="00E420A2"/>
    <w:rsid w:val="00F179FD"/>
    <w:rsid w:val="00F43F6E"/>
    <w:rsid w:val="00F467A5"/>
    <w:rsid w:val="0356DCD8"/>
    <w:rsid w:val="0892F4E4"/>
    <w:rsid w:val="103047C2"/>
    <w:rsid w:val="118569C7"/>
    <w:rsid w:val="122A29FB"/>
    <w:rsid w:val="18A2BC01"/>
    <w:rsid w:val="1EEEFE6F"/>
    <w:rsid w:val="1F855DA9"/>
    <w:rsid w:val="21024852"/>
    <w:rsid w:val="269569D7"/>
    <w:rsid w:val="2A41099F"/>
    <w:rsid w:val="2A7655D6"/>
    <w:rsid w:val="2C0FE2BF"/>
    <w:rsid w:val="2F378815"/>
    <w:rsid w:val="34CDC6ED"/>
    <w:rsid w:val="34FA9D25"/>
    <w:rsid w:val="354181EB"/>
    <w:rsid w:val="35A2BD41"/>
    <w:rsid w:val="35EECF67"/>
    <w:rsid w:val="36739113"/>
    <w:rsid w:val="379462AE"/>
    <w:rsid w:val="3C7901E4"/>
    <w:rsid w:val="3DD23753"/>
    <w:rsid w:val="3DD7046F"/>
    <w:rsid w:val="406AD15A"/>
    <w:rsid w:val="408D3B81"/>
    <w:rsid w:val="437AF145"/>
    <w:rsid w:val="44067D92"/>
    <w:rsid w:val="4418D1C1"/>
    <w:rsid w:val="45CC91EB"/>
    <w:rsid w:val="463DDD28"/>
    <w:rsid w:val="47DB788E"/>
    <w:rsid w:val="4913CFA9"/>
    <w:rsid w:val="4C5BB387"/>
    <w:rsid w:val="522978DB"/>
    <w:rsid w:val="54A2B843"/>
    <w:rsid w:val="56EE6B52"/>
    <w:rsid w:val="58AEA5E3"/>
    <w:rsid w:val="5E749433"/>
    <w:rsid w:val="60191AEF"/>
    <w:rsid w:val="63301914"/>
    <w:rsid w:val="6361AAFB"/>
    <w:rsid w:val="654A4526"/>
    <w:rsid w:val="697FD139"/>
    <w:rsid w:val="6B588B9D"/>
    <w:rsid w:val="70B6A1AF"/>
    <w:rsid w:val="73B15A34"/>
    <w:rsid w:val="750C590E"/>
    <w:rsid w:val="771D835D"/>
    <w:rsid w:val="77B33AED"/>
    <w:rsid w:val="783D905C"/>
    <w:rsid w:val="7DF6C0E0"/>
    <w:rsid w:val="7F732C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F74EE4DB-501E-4B34-9E8B-33F911D9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1"/>
      </w:numPr>
    </w:pPr>
  </w:style>
  <w:style w:type="numbering" w:customStyle="1" w:styleId="Stilius2">
    <w:name w:val="Stilius2"/>
    <w:uiPriority w:val="99"/>
    <w:rsid w:val="00C31CCB"/>
    <w:pPr>
      <w:numPr>
        <w:numId w:val="2"/>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 w:type="paragraph" w:customStyle="1" w:styleId="tin">
    <w:name w:val="tin"/>
    <w:basedOn w:val="prastasis"/>
    <w:rsid w:val="008A32A5"/>
    <w:pPr>
      <w:spacing w:after="150"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59D3D7-BAC1-46D5-9F48-03A83330305E}">
  <ds:schemaRefs>
    <ds:schemaRef ds:uri="http://schemas.microsoft.com/sharepoint/v3/contenttype/forms"/>
  </ds:schemaRefs>
</ds:datastoreItem>
</file>

<file path=customXml/itemProps2.xml><?xml version="1.0" encoding="utf-8"?>
<ds:datastoreItem xmlns:ds="http://schemas.openxmlformats.org/officeDocument/2006/customXml" ds:itemID="{521A8D19-6131-4B21-AF1E-F3E05F4EC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17EAC-66CE-4E7D-81E5-9F377270DE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5241</Words>
  <Characters>2988</Characters>
  <Application>Microsoft Office Word</Application>
  <DocSecurity>0</DocSecurity>
  <Lines>24</Lines>
  <Paragraphs>16</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LIETUVOS KAIMO PLĖTROS 2014–2020 METŲ PROGRAMOS GALUTINIO (EX POST) VERTINIMO ATLIKIMO PASLAUGŲ PIRKIMO ATVIRO KONKURSO BŪDU SPECIALIOSIOS SĄLYGOS</vt:lpstr>
      <vt:lpstr>    Pirkimo sąlygų 4 priedas „Tiekėjų kvalifikacijos reikalavimai“</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Dalia Sereikaitė</cp:lastModifiedBy>
  <cp:revision>4</cp:revision>
  <dcterms:created xsi:type="dcterms:W3CDTF">2026-04-29T08:02:00Z</dcterms:created>
  <dcterms:modified xsi:type="dcterms:W3CDTF">2026-04-29T08:09:00Z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