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1C0C" w14:textId="14A58618" w:rsidR="004C0587" w:rsidRPr="004C0587" w:rsidRDefault="004C0587" w:rsidP="004C0587">
      <w:pPr>
        <w:jc w:val="right"/>
        <w:rPr>
          <w:rFonts w:eastAsia="Calibri"/>
          <w:sz w:val="20"/>
          <w:szCs w:val="20"/>
          <w:lang w:eastAsia="en-US"/>
        </w:rPr>
      </w:pPr>
      <w:r w:rsidRPr="004C0587">
        <w:rPr>
          <w:rFonts w:eastAsia="Calibri"/>
          <w:sz w:val="20"/>
          <w:szCs w:val="20"/>
          <w:lang w:eastAsia="en-US"/>
        </w:rPr>
        <w:t>Pirkimo sąlygų 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27F22923" w:rsidR="00424629"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Lietuvos kariuomenės</w:t>
      </w:r>
    </w:p>
    <w:p w14:paraId="2752A0DE" w14:textId="58C23F54" w:rsidR="004C0587"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Kibernetinės gynybos valdybos</w:t>
      </w:r>
    </w:p>
    <w:p w14:paraId="1020E372" w14:textId="71C7BABF" w:rsidR="004C0587" w:rsidRPr="00827A45" w:rsidRDefault="004C0587" w:rsidP="0DA07B1E">
      <w:pPr>
        <w:widowControl w:val="0"/>
        <w:tabs>
          <w:tab w:val="center" w:pos="2520"/>
        </w:tabs>
        <w:autoSpaceDE w:val="0"/>
        <w:autoSpaceDN w:val="0"/>
        <w:adjustRightInd w:val="0"/>
        <w:jc w:val="both"/>
        <w:rPr>
          <w:rFonts w:eastAsia="Times New Roman"/>
          <w:color w:val="000000"/>
          <w:lang w:eastAsia="lt-LT"/>
        </w:rPr>
      </w:pPr>
      <w:r>
        <w:rPr>
          <w:rFonts w:eastAsia="Times New Roman"/>
          <w:color w:val="000000" w:themeColor="text1"/>
          <w:lang w:eastAsia="lt-LT"/>
        </w:rPr>
        <w:t>Informacinių technologijų tarnyb</w:t>
      </w:r>
      <w:r w:rsidR="008A682D">
        <w:rPr>
          <w:rFonts w:eastAsia="Times New Roman"/>
          <w:color w:val="000000" w:themeColor="text1"/>
          <w:lang w:eastAsia="lt-LT"/>
        </w:rPr>
        <w:t>a</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401301A3" w:rsidR="00955359" w:rsidRPr="00827A45" w:rsidRDefault="00955359" w:rsidP="0DA07B1E">
      <w:pPr>
        <w:spacing w:line="20" w:lineRule="atLeast"/>
        <w:ind w:left="34"/>
        <w:jc w:val="center"/>
        <w:rPr>
          <w:rFonts w:eastAsia="Calibri"/>
          <w:b/>
          <w:bCs/>
          <w:lang w:eastAsia="en-US"/>
        </w:rPr>
      </w:pPr>
      <w:r w:rsidRPr="00827A45">
        <w:rPr>
          <w:b/>
          <w:bCs/>
          <w:caps/>
          <w:lang w:eastAsia="lt-LT"/>
        </w:rPr>
        <w:t xml:space="preserve">DĖL </w:t>
      </w:r>
      <w:r w:rsidR="00E158CA">
        <w:rPr>
          <w:rFonts w:eastAsia="Calibri"/>
          <w:b/>
          <w:lang w:eastAsia="en-US"/>
        </w:rPr>
        <w:t>ORO KONDICIONIERIŲ</w:t>
      </w:r>
      <w:r w:rsidR="00A91FED">
        <w:rPr>
          <w:b/>
          <w:bCs/>
          <w:caps/>
          <w:lang w:eastAsia="lt-LT"/>
        </w:rPr>
        <w:t xml:space="preserve"> </w:t>
      </w:r>
      <w:r w:rsidR="00827A45">
        <w:rPr>
          <w:rFonts w:eastAsia="Calibri"/>
          <w:b/>
          <w:bCs/>
          <w:lang w:eastAsia="en-US"/>
        </w:rPr>
        <w:t>PIRKIMO</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6694"/>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4B4544DC" w14:textId="77777777" w:rsidTr="0DA07B1E">
        <w:tc>
          <w:tcPr>
            <w:tcW w:w="2528" w:type="pct"/>
            <w:tcBorders>
              <w:top w:val="single" w:sz="4" w:space="0" w:color="auto"/>
              <w:left w:val="single" w:sz="4" w:space="0" w:color="auto"/>
              <w:bottom w:val="single" w:sz="4" w:space="0" w:color="auto"/>
              <w:right w:val="single" w:sz="4" w:space="0" w:color="auto"/>
            </w:tcBorders>
          </w:tcPr>
          <w:p w14:paraId="5796ADC2" w14:textId="77C621C9"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4A94D892"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756F6715" w14:textId="77777777" w:rsidTr="0DA07B1E">
        <w:tc>
          <w:tcPr>
            <w:tcW w:w="2528" w:type="pct"/>
            <w:tcBorders>
              <w:top w:val="single" w:sz="4" w:space="0" w:color="auto"/>
              <w:left w:val="single" w:sz="4" w:space="0" w:color="auto"/>
              <w:bottom w:val="single" w:sz="4" w:space="0" w:color="auto"/>
              <w:right w:val="single" w:sz="4" w:space="0" w:color="auto"/>
            </w:tcBorders>
          </w:tcPr>
          <w:p w14:paraId="1FAB9EE7" w14:textId="3B09B793"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PVM mokėtojo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15FBBC31"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4EDC185A" w:rsidR="00424629" w:rsidRPr="00827A45" w:rsidRDefault="00A91FED" w:rsidP="00A33116">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subjekto grupės atsakingo partnerio sąskaitos numeris, banko pavadinimas ir banko k</w:t>
            </w:r>
            <w:r w:rsidR="00A33116">
              <w:rPr>
                <w:rFonts w:eastAsia="Times New Roman"/>
                <w:lang w:eastAsia="en-US"/>
              </w:rPr>
              <w:t>o</w:t>
            </w:r>
            <w:r w:rsidRPr="00A91FED">
              <w:rPr>
                <w:rFonts w:eastAsia="Times New Roman"/>
                <w:lang w:eastAsia="en-US"/>
              </w:rPr>
              <w:t>das (-ai):</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3D1B95DC" w14:textId="77777777" w:rsidTr="0DA07B1E">
        <w:tc>
          <w:tcPr>
            <w:tcW w:w="2528" w:type="pct"/>
            <w:tcBorders>
              <w:top w:val="single" w:sz="4" w:space="0" w:color="auto"/>
              <w:left w:val="single" w:sz="4" w:space="0" w:color="auto"/>
              <w:bottom w:val="single" w:sz="4" w:space="0" w:color="auto"/>
              <w:right w:val="single" w:sz="4" w:space="0" w:color="auto"/>
            </w:tcBorders>
          </w:tcPr>
          <w:p w14:paraId="13E58253" w14:textId="040A242A" w:rsidR="00A91FED" w:rsidRPr="00A91FED"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įgaliotas asmuo pasirašyti pasiūlymą</w:t>
            </w:r>
            <w:r w:rsidR="00273F9C">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66C560B3"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619149D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Asmens atsakingo už pasiūlymą telefono numeris, el.</w:t>
            </w:r>
            <w:r w:rsidR="00650480">
              <w:rPr>
                <w:rFonts w:eastAsia="Times New Roman"/>
                <w:lang w:eastAsia="en-US"/>
              </w:rPr>
              <w:t xml:space="preserve"> </w:t>
            </w:r>
            <w:r w:rsidRPr="00A91FED">
              <w:rPr>
                <w:rFonts w:eastAsia="Times New Roman"/>
                <w:lang w:eastAsia="en-US"/>
              </w:rPr>
              <w:t>pašto adresas:</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3D38E85"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Tiekėjo/ Ūkio subjektų grupės, laimėjimo atveju, pasirašančio sutartį </w:t>
            </w:r>
            <w:r w:rsidRPr="00A91FED">
              <w:rPr>
                <w:rFonts w:eastAsia="Times New Roman"/>
                <w:lang w:eastAsia="en-US"/>
              </w:rPr>
              <w:lastRenderedPageBreak/>
              <w:t>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AEDADC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subjektų grupės, laimėjimo atveju, už sutarties vykdymą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864"/>
        <w:gridCol w:w="5103"/>
        <w:gridCol w:w="4536"/>
      </w:tblGrid>
      <w:tr w:rsidR="00424629" w:rsidRPr="00827A45" w14:paraId="1325C5DB" w14:textId="77777777" w:rsidTr="00A91FED">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5103"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0A91FED">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0A91FED">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6CD8AF13" w14:textId="77777777" w:rsidR="00273F9C" w:rsidRPr="00273F9C" w:rsidRDefault="00273F9C" w:rsidP="00273F9C">
      <w:pPr>
        <w:spacing w:line="276" w:lineRule="auto"/>
        <w:ind w:left="720"/>
        <w:jc w:val="center"/>
        <w:rPr>
          <w:rFonts w:eastAsia="Times New Roman"/>
          <w:b/>
          <w:bCs/>
          <w:color w:val="000000"/>
          <w:lang w:eastAsia="lt-LT"/>
        </w:rPr>
      </w:pPr>
    </w:p>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292A7B28" w14:textId="1C803DCC" w:rsidR="00A83F98" w:rsidRPr="00ED5B0B" w:rsidRDefault="00424629" w:rsidP="00A83F98">
      <w:pPr>
        <w:spacing w:line="20" w:lineRule="atLeast"/>
        <w:ind w:left="34"/>
        <w:jc w:val="both"/>
        <w:rPr>
          <w:rFonts w:eastAsia="Times New Roman"/>
          <w:i/>
          <w:lang w:eastAsia="en-US"/>
        </w:rPr>
      </w:pPr>
      <w:r w:rsidRPr="00ED5B0B">
        <w:rPr>
          <w:rFonts w:eastAsia="Calibri"/>
          <w:i/>
          <w:lang w:eastAsia="en-US"/>
        </w:rPr>
        <w:t>Mes siūlome</w:t>
      </w:r>
      <w:r w:rsidRPr="00ED5B0B">
        <w:rPr>
          <w:rFonts w:eastAsia="Times New Roman"/>
          <w:i/>
          <w:lang w:eastAsia="en-US"/>
        </w:rPr>
        <w:t>:</w:t>
      </w:r>
    </w:p>
    <w:tbl>
      <w:tblPr>
        <w:tblStyle w:val="TableGrid"/>
        <w:tblpPr w:leftFromText="180" w:rightFromText="180" w:vertAnchor="text" w:tblpY="1"/>
        <w:tblOverlap w:val="never"/>
        <w:tblW w:w="13539" w:type="dxa"/>
        <w:tblLook w:val="04A0" w:firstRow="1" w:lastRow="0" w:firstColumn="1" w:lastColumn="0" w:noHBand="0" w:noVBand="1"/>
      </w:tblPr>
      <w:tblGrid>
        <w:gridCol w:w="632"/>
        <w:gridCol w:w="5742"/>
        <w:gridCol w:w="1985"/>
        <w:gridCol w:w="2609"/>
        <w:gridCol w:w="2571"/>
      </w:tblGrid>
      <w:tr w:rsidR="008524FC" w:rsidRPr="00ED5B0B" w14:paraId="1EFAC089" w14:textId="77777777" w:rsidTr="008524FC">
        <w:tc>
          <w:tcPr>
            <w:tcW w:w="632" w:type="dxa"/>
            <w:shd w:val="clear" w:color="auto" w:fill="D9D9D9" w:themeFill="background1" w:themeFillShade="D9"/>
          </w:tcPr>
          <w:p w14:paraId="5DC38233" w14:textId="77777777" w:rsidR="008524FC" w:rsidRPr="00ED5B0B" w:rsidRDefault="008524FC" w:rsidP="00F9731B">
            <w:pPr>
              <w:rPr>
                <w:b/>
                <w:i/>
              </w:rPr>
            </w:pPr>
            <w:r w:rsidRPr="00ED5B0B">
              <w:rPr>
                <w:b/>
                <w:i/>
              </w:rPr>
              <w:t>Eil. Nr.</w:t>
            </w:r>
          </w:p>
        </w:tc>
        <w:tc>
          <w:tcPr>
            <w:tcW w:w="5742" w:type="dxa"/>
            <w:shd w:val="clear" w:color="auto" w:fill="D9D9D9" w:themeFill="background1" w:themeFillShade="D9"/>
          </w:tcPr>
          <w:p w14:paraId="3066C21C" w14:textId="48BDB9D1" w:rsidR="008524FC" w:rsidRPr="00ED5B0B" w:rsidRDefault="008524FC" w:rsidP="00A83F98">
            <w:pPr>
              <w:jc w:val="center"/>
              <w:rPr>
                <w:b/>
                <w:i/>
              </w:rPr>
            </w:pPr>
            <w:r>
              <w:rPr>
                <w:b/>
                <w:i/>
              </w:rPr>
              <w:t>Prekės</w:t>
            </w:r>
            <w:r w:rsidRPr="00ED5B0B">
              <w:rPr>
                <w:b/>
                <w:i/>
              </w:rPr>
              <w:t xml:space="preserve"> pavadinimas</w:t>
            </w:r>
          </w:p>
        </w:tc>
        <w:tc>
          <w:tcPr>
            <w:tcW w:w="1985" w:type="dxa"/>
            <w:shd w:val="clear" w:color="auto" w:fill="D9D9D9" w:themeFill="background1" w:themeFillShade="D9"/>
          </w:tcPr>
          <w:p w14:paraId="71316F01" w14:textId="3F7C39AA" w:rsidR="008524FC" w:rsidRPr="00ED5B0B" w:rsidRDefault="008524FC" w:rsidP="00A83F98">
            <w:pPr>
              <w:jc w:val="center"/>
              <w:rPr>
                <w:b/>
                <w:i/>
              </w:rPr>
            </w:pPr>
            <w:r>
              <w:rPr>
                <w:b/>
                <w:i/>
              </w:rPr>
              <w:t>K</w:t>
            </w:r>
            <w:r w:rsidRPr="00ED5B0B">
              <w:rPr>
                <w:b/>
                <w:i/>
              </w:rPr>
              <w:t xml:space="preserve">iekis </w:t>
            </w:r>
          </w:p>
        </w:tc>
        <w:tc>
          <w:tcPr>
            <w:tcW w:w="2609" w:type="dxa"/>
            <w:shd w:val="clear" w:color="auto" w:fill="D9D9D9" w:themeFill="background1" w:themeFillShade="D9"/>
          </w:tcPr>
          <w:p w14:paraId="43F28751" w14:textId="31F15F72" w:rsidR="008524FC" w:rsidRPr="00ED5B0B" w:rsidRDefault="008524FC" w:rsidP="00A83F98">
            <w:pPr>
              <w:jc w:val="center"/>
              <w:rPr>
                <w:b/>
                <w:i/>
              </w:rPr>
            </w:pPr>
            <w:r>
              <w:rPr>
                <w:b/>
                <w:i/>
              </w:rPr>
              <w:t>Vnt. kaina</w:t>
            </w:r>
            <w:r w:rsidRPr="00ED5B0B">
              <w:rPr>
                <w:b/>
                <w:i/>
              </w:rPr>
              <w:t>,</w:t>
            </w:r>
          </w:p>
          <w:p w14:paraId="7BF20FC1" w14:textId="4A3E106F" w:rsidR="008524FC" w:rsidRPr="00ED5B0B" w:rsidRDefault="008524FC" w:rsidP="00A83F98">
            <w:pPr>
              <w:jc w:val="center"/>
              <w:rPr>
                <w:b/>
                <w:i/>
              </w:rPr>
            </w:pPr>
            <w:r w:rsidRPr="00ED5B0B">
              <w:rPr>
                <w:b/>
                <w:i/>
              </w:rPr>
              <w:t>Eur (be PVM)</w:t>
            </w:r>
          </w:p>
        </w:tc>
        <w:tc>
          <w:tcPr>
            <w:tcW w:w="2571" w:type="dxa"/>
            <w:shd w:val="clear" w:color="auto" w:fill="D9D9D9" w:themeFill="background1" w:themeFillShade="D9"/>
          </w:tcPr>
          <w:p w14:paraId="10534DB6" w14:textId="60392C0E" w:rsidR="008524FC" w:rsidRPr="00ED5B0B" w:rsidRDefault="008524FC" w:rsidP="00A83F98">
            <w:pPr>
              <w:jc w:val="center"/>
              <w:rPr>
                <w:b/>
                <w:i/>
              </w:rPr>
            </w:pPr>
            <w:r>
              <w:rPr>
                <w:b/>
                <w:i/>
              </w:rPr>
              <w:t>Viso kaina</w:t>
            </w:r>
          </w:p>
          <w:p w14:paraId="66D8F67D" w14:textId="18EC1A4A" w:rsidR="008524FC" w:rsidRPr="00ED5B0B" w:rsidRDefault="008524FC" w:rsidP="00A83F98">
            <w:pPr>
              <w:jc w:val="center"/>
              <w:rPr>
                <w:b/>
                <w:i/>
              </w:rPr>
            </w:pPr>
            <w:r w:rsidRPr="00ED5B0B">
              <w:rPr>
                <w:b/>
                <w:i/>
              </w:rPr>
              <w:t>Eur (be PVM)</w:t>
            </w:r>
          </w:p>
          <w:p w14:paraId="2C74FC2B" w14:textId="5BE91D73" w:rsidR="008524FC" w:rsidRPr="00ED5B0B" w:rsidRDefault="008524FC" w:rsidP="004323E6">
            <w:pPr>
              <w:jc w:val="center"/>
              <w:rPr>
                <w:b/>
                <w:i/>
              </w:rPr>
            </w:pPr>
            <w:r w:rsidRPr="00ED5B0B">
              <w:rPr>
                <w:b/>
                <w:i/>
              </w:rPr>
              <w:t>3*</w:t>
            </w:r>
            <w:r>
              <w:rPr>
                <w:b/>
                <w:i/>
              </w:rPr>
              <w:t>4</w:t>
            </w:r>
            <w:r w:rsidRPr="00ED5B0B">
              <w:rPr>
                <w:b/>
                <w:i/>
              </w:rPr>
              <w:t xml:space="preserve"> </w:t>
            </w:r>
            <w:proofErr w:type="spellStart"/>
            <w:r w:rsidRPr="00ED5B0B">
              <w:rPr>
                <w:b/>
                <w:i/>
              </w:rPr>
              <w:t>stulp</w:t>
            </w:r>
            <w:proofErr w:type="spellEnd"/>
            <w:r w:rsidRPr="00ED5B0B">
              <w:rPr>
                <w:b/>
                <w:i/>
              </w:rPr>
              <w:t>.</w:t>
            </w:r>
          </w:p>
        </w:tc>
      </w:tr>
      <w:tr w:rsidR="008524FC" w:rsidRPr="00ED5B0B" w14:paraId="3544919E" w14:textId="77777777" w:rsidTr="008524FC">
        <w:trPr>
          <w:trHeight w:val="308"/>
        </w:trPr>
        <w:tc>
          <w:tcPr>
            <w:tcW w:w="632" w:type="dxa"/>
            <w:shd w:val="clear" w:color="auto" w:fill="F2F2F2" w:themeFill="background1" w:themeFillShade="F2"/>
          </w:tcPr>
          <w:p w14:paraId="14B9031E" w14:textId="77777777" w:rsidR="008524FC" w:rsidRPr="00ED5B0B" w:rsidRDefault="008524FC" w:rsidP="00F9731B">
            <w:pPr>
              <w:jc w:val="center"/>
              <w:rPr>
                <w:b/>
                <w:i/>
              </w:rPr>
            </w:pPr>
            <w:r w:rsidRPr="00ED5B0B">
              <w:rPr>
                <w:b/>
                <w:i/>
              </w:rPr>
              <w:t>1</w:t>
            </w:r>
          </w:p>
        </w:tc>
        <w:tc>
          <w:tcPr>
            <w:tcW w:w="5742" w:type="dxa"/>
            <w:shd w:val="clear" w:color="auto" w:fill="F2F2F2" w:themeFill="background1" w:themeFillShade="F2"/>
          </w:tcPr>
          <w:p w14:paraId="18B943FB" w14:textId="77777777" w:rsidR="008524FC" w:rsidRPr="00ED5B0B" w:rsidRDefault="008524FC" w:rsidP="00F9731B">
            <w:pPr>
              <w:jc w:val="center"/>
              <w:rPr>
                <w:b/>
                <w:i/>
              </w:rPr>
            </w:pPr>
            <w:r w:rsidRPr="00ED5B0B">
              <w:rPr>
                <w:b/>
                <w:i/>
              </w:rPr>
              <w:t>2</w:t>
            </w:r>
          </w:p>
        </w:tc>
        <w:tc>
          <w:tcPr>
            <w:tcW w:w="1985" w:type="dxa"/>
            <w:shd w:val="clear" w:color="auto" w:fill="F2F2F2" w:themeFill="background1" w:themeFillShade="F2"/>
          </w:tcPr>
          <w:p w14:paraId="1671C2DC" w14:textId="77777777" w:rsidR="008524FC" w:rsidRPr="00ED5B0B" w:rsidRDefault="008524FC" w:rsidP="00F9731B">
            <w:pPr>
              <w:jc w:val="center"/>
              <w:rPr>
                <w:b/>
                <w:i/>
              </w:rPr>
            </w:pPr>
            <w:r w:rsidRPr="00ED5B0B">
              <w:rPr>
                <w:b/>
                <w:i/>
              </w:rPr>
              <w:t>3</w:t>
            </w:r>
          </w:p>
        </w:tc>
        <w:tc>
          <w:tcPr>
            <w:tcW w:w="2609" w:type="dxa"/>
            <w:shd w:val="clear" w:color="auto" w:fill="F2F2F2" w:themeFill="background1" w:themeFillShade="F2"/>
          </w:tcPr>
          <w:p w14:paraId="1FC81BE1" w14:textId="2BC785CC" w:rsidR="008524FC" w:rsidRPr="00ED5B0B" w:rsidRDefault="008524FC" w:rsidP="00F9731B">
            <w:pPr>
              <w:jc w:val="center"/>
              <w:rPr>
                <w:b/>
                <w:i/>
              </w:rPr>
            </w:pPr>
            <w:r>
              <w:rPr>
                <w:b/>
                <w:i/>
              </w:rPr>
              <w:t>4</w:t>
            </w:r>
          </w:p>
        </w:tc>
        <w:tc>
          <w:tcPr>
            <w:tcW w:w="2571" w:type="dxa"/>
            <w:shd w:val="clear" w:color="auto" w:fill="F2F2F2" w:themeFill="background1" w:themeFillShade="F2"/>
          </w:tcPr>
          <w:p w14:paraId="5AE24381" w14:textId="534FCC58" w:rsidR="008524FC" w:rsidRPr="00ED5B0B" w:rsidRDefault="008524FC" w:rsidP="00F9731B">
            <w:pPr>
              <w:jc w:val="center"/>
              <w:rPr>
                <w:b/>
                <w:i/>
              </w:rPr>
            </w:pPr>
            <w:r>
              <w:rPr>
                <w:b/>
                <w:i/>
              </w:rPr>
              <w:t>5</w:t>
            </w:r>
          </w:p>
        </w:tc>
      </w:tr>
      <w:tr w:rsidR="008524FC" w:rsidRPr="00ED5B0B" w14:paraId="68FF1460" w14:textId="77777777" w:rsidTr="008524FC">
        <w:tc>
          <w:tcPr>
            <w:tcW w:w="632" w:type="dxa"/>
          </w:tcPr>
          <w:p w14:paraId="22932780" w14:textId="77777777" w:rsidR="008524FC" w:rsidRPr="00ED5B0B" w:rsidRDefault="008524FC" w:rsidP="00F9731B">
            <w:pPr>
              <w:rPr>
                <w:i/>
              </w:rPr>
            </w:pPr>
            <w:r w:rsidRPr="00ED5B0B">
              <w:rPr>
                <w:i/>
              </w:rPr>
              <w:t>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25F2FD2" w14:textId="068D356E" w:rsidR="008524FC" w:rsidRPr="00ED5B0B" w:rsidRDefault="008524FC" w:rsidP="00F9731B">
            <w:pPr>
              <w:rPr>
                <w:rFonts w:eastAsia="Times New Roman"/>
                <w:b/>
                <w:bCs/>
                <w:i/>
                <w:color w:val="000000"/>
                <w:lang w:eastAsia="lt-LT"/>
              </w:rPr>
            </w:pPr>
            <w:r>
              <w:rPr>
                <w:i/>
              </w:rPr>
              <w:t>Oro kondicionieriai</w:t>
            </w:r>
          </w:p>
        </w:tc>
        <w:tc>
          <w:tcPr>
            <w:tcW w:w="1985" w:type="dxa"/>
            <w:tcBorders>
              <w:top w:val="single" w:sz="4" w:space="0" w:color="auto"/>
              <w:left w:val="single" w:sz="4" w:space="0" w:color="auto"/>
              <w:bottom w:val="single" w:sz="4" w:space="0" w:color="auto"/>
              <w:right w:val="single" w:sz="4" w:space="0" w:color="auto"/>
            </w:tcBorders>
          </w:tcPr>
          <w:p w14:paraId="18BA485C" w14:textId="4ECE8450" w:rsidR="008524FC" w:rsidRPr="00ED5B0B" w:rsidRDefault="008524FC" w:rsidP="00F9731B">
            <w:pPr>
              <w:jc w:val="center"/>
              <w:rPr>
                <w:i/>
              </w:rPr>
            </w:pPr>
            <w:r>
              <w:rPr>
                <w:i/>
              </w:rPr>
              <w:t>2</w:t>
            </w:r>
          </w:p>
        </w:tc>
        <w:tc>
          <w:tcPr>
            <w:tcW w:w="2609" w:type="dxa"/>
          </w:tcPr>
          <w:p w14:paraId="0BD791C7" w14:textId="192E5313" w:rsidR="008524FC" w:rsidRPr="00ED5B0B" w:rsidRDefault="008524FC" w:rsidP="00F9731B">
            <w:pPr>
              <w:rPr>
                <w:i/>
              </w:rPr>
            </w:pPr>
          </w:p>
        </w:tc>
        <w:tc>
          <w:tcPr>
            <w:tcW w:w="2571" w:type="dxa"/>
          </w:tcPr>
          <w:p w14:paraId="680027AD" w14:textId="77777777" w:rsidR="008524FC" w:rsidRPr="00ED5B0B" w:rsidRDefault="008524FC" w:rsidP="00F9731B">
            <w:pPr>
              <w:rPr>
                <w:i/>
              </w:rPr>
            </w:pPr>
          </w:p>
        </w:tc>
      </w:tr>
      <w:tr w:rsidR="00E158CA" w:rsidRPr="00975B4F" w14:paraId="16F6A6FC" w14:textId="77777777" w:rsidTr="00EF5F67">
        <w:tc>
          <w:tcPr>
            <w:tcW w:w="10968" w:type="dxa"/>
            <w:gridSpan w:val="4"/>
            <w:tcBorders>
              <w:top w:val="nil"/>
            </w:tcBorders>
          </w:tcPr>
          <w:p w14:paraId="6D5FEAF3" w14:textId="242C820B" w:rsidR="00E158CA" w:rsidRPr="005E2830" w:rsidRDefault="00E158CA" w:rsidP="00F9731B">
            <w:pPr>
              <w:jc w:val="right"/>
              <w:rPr>
                <w:b/>
              </w:rPr>
            </w:pPr>
            <w:r w:rsidRPr="005E2830">
              <w:rPr>
                <w:b/>
              </w:rPr>
              <w:t>PVM</w:t>
            </w:r>
          </w:p>
        </w:tc>
        <w:tc>
          <w:tcPr>
            <w:tcW w:w="2571" w:type="dxa"/>
          </w:tcPr>
          <w:p w14:paraId="13C5666A" w14:textId="77777777" w:rsidR="00E158CA" w:rsidRPr="00975B4F" w:rsidRDefault="00E158CA" w:rsidP="00F9731B"/>
        </w:tc>
      </w:tr>
      <w:tr w:rsidR="00E158CA" w:rsidRPr="00975B4F" w14:paraId="75BBD7A1" w14:textId="77777777" w:rsidTr="005B35DF">
        <w:tc>
          <w:tcPr>
            <w:tcW w:w="10968" w:type="dxa"/>
            <w:gridSpan w:val="4"/>
          </w:tcPr>
          <w:p w14:paraId="0F70C70D" w14:textId="5204344B" w:rsidR="00E158CA" w:rsidRPr="005E2830" w:rsidRDefault="00E158CA" w:rsidP="00F9731B">
            <w:pPr>
              <w:jc w:val="right"/>
              <w:rPr>
                <w:b/>
              </w:rPr>
            </w:pPr>
            <w:r w:rsidRPr="005E2830">
              <w:rPr>
                <w:b/>
              </w:rPr>
              <w:t>Iš viso, Eur su PVM</w:t>
            </w:r>
          </w:p>
        </w:tc>
        <w:tc>
          <w:tcPr>
            <w:tcW w:w="2571" w:type="dxa"/>
          </w:tcPr>
          <w:p w14:paraId="7490E55B" w14:textId="77777777" w:rsidR="00E158CA" w:rsidRPr="00975B4F" w:rsidRDefault="00E158CA" w:rsidP="00F9731B"/>
        </w:tc>
      </w:tr>
    </w:tbl>
    <w:p w14:paraId="424C3A31" w14:textId="77777777" w:rsidR="00A83F98" w:rsidRDefault="00A83F98" w:rsidP="00A83F98">
      <w:pPr>
        <w:rPr>
          <w:sz w:val="20"/>
          <w:szCs w:val="20"/>
        </w:rPr>
      </w:pPr>
    </w:p>
    <w:p w14:paraId="016149A3" w14:textId="77777777" w:rsidR="00A83F98" w:rsidRDefault="00A83F98" w:rsidP="00A83F98">
      <w:pPr>
        <w:rPr>
          <w:sz w:val="20"/>
          <w:szCs w:val="20"/>
        </w:rPr>
      </w:pPr>
    </w:p>
    <w:p w14:paraId="0C52B1E8" w14:textId="0ED0A2AF" w:rsidR="00A83F98" w:rsidRPr="005C44A3" w:rsidRDefault="00A83F98" w:rsidP="00A83F98">
      <w:pPr>
        <w:rPr>
          <w:b/>
        </w:rPr>
      </w:pPr>
      <w:r>
        <w:rPr>
          <w:b/>
        </w:rPr>
        <w:t>B</w:t>
      </w:r>
      <w:r w:rsidRPr="005C44A3">
        <w:rPr>
          <w:b/>
        </w:rPr>
        <w:t xml:space="preserve">endra pasiūlymo kaina EUR su PVM ................................. ( ____________________ eurų ______ ct )  (Suma skaičiais ir žodžiais) </w:t>
      </w:r>
    </w:p>
    <w:p w14:paraId="5B7FD3E4" w14:textId="77777777" w:rsidR="00A83F98" w:rsidRPr="005C44A3" w:rsidRDefault="00A83F98" w:rsidP="00A83F98">
      <w:pPr>
        <w:rPr>
          <w:b/>
        </w:rPr>
      </w:pPr>
      <w:r w:rsidRPr="005C44A3">
        <w:rPr>
          <w:b/>
          <w:i/>
        </w:rPr>
        <w:t>Jeigu pasiūlyme sumos skaičiais neatitinka sumų žodžiais, teisinga laikoma suma žodžiais.</w:t>
      </w:r>
    </w:p>
    <w:p w14:paraId="1BF54B6A" w14:textId="77777777" w:rsidR="00A83F98" w:rsidRPr="00827A45" w:rsidRDefault="00A83F98" w:rsidP="0DA07B1E">
      <w:pPr>
        <w:spacing w:line="20" w:lineRule="atLeast"/>
        <w:ind w:left="34"/>
        <w:jc w:val="both"/>
        <w:rPr>
          <w:rFonts w:eastAsia="Times New Roman"/>
          <w:lang w:eastAsia="en-US"/>
        </w:rPr>
      </w:pPr>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t>PASTABA:</w:t>
      </w:r>
    </w:p>
    <w:p w14:paraId="725B1DA2" w14:textId="5FCFB4F3" w:rsidR="00424629" w:rsidRDefault="00257051" w:rsidP="0DA07B1E">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Į aukščiau nurodytą kainą įeina visos išlaidos ir visi mokesčiai ir visos tiekėjo patiriamos su pirkimo sutarties vykdymu susijusios išlaidos.</w:t>
      </w:r>
    </w:p>
    <w:p w14:paraId="12ACDD5A" w14:textId="77777777" w:rsidR="00257051" w:rsidRPr="00257051" w:rsidRDefault="00257051" w:rsidP="0DA07B1E">
      <w:pPr>
        <w:spacing w:line="20" w:lineRule="atLeast"/>
        <w:ind w:left="34"/>
        <w:jc w:val="both"/>
        <w:rPr>
          <w:rFonts w:eastAsia="Calibri"/>
          <w:lang w:eastAsia="en-US"/>
        </w:rPr>
      </w:pP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lastRenderedPageBreak/>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t xml:space="preserve">4.1. </w:t>
      </w:r>
      <w:r w:rsidRPr="001C79B2">
        <w:rPr>
          <w:rFonts w:eastAsia="Times New Roman"/>
          <w:lang w:eastAsia="lt-LT"/>
        </w:rPr>
        <w:t>Patvirtinimas dėl Lietuvos Respublikos viešųjų pirkimų įstatymo 46 straipsnio 2¹ dalyje numatyto pašalinimo pagrindo nebuvimo:</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662"/>
        <w:gridCol w:w="6096"/>
      </w:tblGrid>
      <w:tr w:rsidR="00257051" w:rsidRPr="001C79B2" w14:paraId="21973E24"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60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tc>
        <w:tc>
          <w:tcPr>
            <w:tcW w:w="6096"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8"/>
        <w:gridCol w:w="8312"/>
      </w:tblGrid>
      <w:tr w:rsidR="00424629" w:rsidRPr="004E31CF" w14:paraId="2F6875A3" w14:textId="77777777" w:rsidTr="000D2253">
        <w:tc>
          <w:tcPr>
            <w:tcW w:w="672" w:type="dxa"/>
            <w:shd w:val="clear" w:color="auto" w:fill="auto"/>
            <w:vAlign w:val="center"/>
          </w:tcPr>
          <w:p w14:paraId="64D98247" w14:textId="77777777" w:rsidR="00424629" w:rsidRPr="0042189B" w:rsidRDefault="00424629" w:rsidP="0DA07B1E">
            <w:pPr>
              <w:pStyle w:val="BodyText"/>
              <w:jc w:val="center"/>
              <w:rPr>
                <w:b/>
                <w:bCs/>
                <w:color w:val="000000"/>
              </w:rPr>
            </w:pPr>
            <w:r w:rsidRPr="0042189B">
              <w:rPr>
                <w:b/>
                <w:bCs/>
                <w:color w:val="000000" w:themeColor="text1"/>
              </w:rPr>
              <w:t>Eil. Nr.</w:t>
            </w:r>
          </w:p>
        </w:tc>
        <w:tc>
          <w:tcPr>
            <w:tcW w:w="4478" w:type="dxa"/>
            <w:shd w:val="clear" w:color="auto" w:fill="auto"/>
            <w:vAlign w:val="center"/>
          </w:tcPr>
          <w:p w14:paraId="0767BCBB" w14:textId="77777777" w:rsidR="00424629" w:rsidRPr="0042189B" w:rsidRDefault="00424629" w:rsidP="0DA07B1E">
            <w:pPr>
              <w:pStyle w:val="BodyText"/>
              <w:jc w:val="center"/>
              <w:rPr>
                <w:b/>
                <w:bCs/>
                <w:color w:val="000000"/>
              </w:rPr>
            </w:pPr>
            <w:r w:rsidRPr="0042189B">
              <w:rPr>
                <w:b/>
                <w:bCs/>
                <w:color w:val="000000" w:themeColor="text1"/>
              </w:rPr>
              <w:t>Dokumentų (ar jų dalių) pavadinimai</w:t>
            </w:r>
          </w:p>
        </w:tc>
        <w:tc>
          <w:tcPr>
            <w:tcW w:w="8312" w:type="dxa"/>
            <w:shd w:val="clear" w:color="auto" w:fill="auto"/>
            <w:vAlign w:val="center"/>
          </w:tcPr>
          <w:p w14:paraId="31C00ABB" w14:textId="77777777" w:rsidR="00424629" w:rsidRPr="0042189B" w:rsidRDefault="00424629" w:rsidP="0DA07B1E">
            <w:pPr>
              <w:pStyle w:val="BodyText"/>
              <w:jc w:val="center"/>
              <w:rPr>
                <w:b/>
                <w:bCs/>
                <w:color w:val="000000"/>
              </w:rPr>
            </w:pPr>
            <w:r w:rsidRPr="0042189B">
              <w:rPr>
                <w:b/>
                <w:bCs/>
                <w:color w:val="000000" w:themeColor="text1"/>
              </w:rPr>
              <w:t>Nurodytos konfidencialios informacijos pagrindimas (paaiškinimas, kuo remiantis nurodytas dokumentas ar jo dalis yra konfidencialūs)**</w:t>
            </w:r>
          </w:p>
        </w:tc>
      </w:tr>
      <w:tr w:rsidR="00424629" w:rsidRPr="004E31CF" w14:paraId="5AD4A191" w14:textId="77777777" w:rsidTr="000D2253">
        <w:tc>
          <w:tcPr>
            <w:tcW w:w="672" w:type="dxa"/>
            <w:shd w:val="clear" w:color="auto" w:fill="auto"/>
          </w:tcPr>
          <w:p w14:paraId="5575AF8D" w14:textId="77777777" w:rsidR="00424629" w:rsidRPr="004E31CF" w:rsidRDefault="00424629" w:rsidP="0DA07B1E">
            <w:pPr>
              <w:pStyle w:val="BodyText"/>
              <w:rPr>
                <w:color w:val="000000"/>
                <w:sz w:val="20"/>
                <w:szCs w:val="20"/>
              </w:rPr>
            </w:pPr>
          </w:p>
        </w:tc>
        <w:tc>
          <w:tcPr>
            <w:tcW w:w="4478" w:type="dxa"/>
            <w:shd w:val="clear" w:color="auto" w:fill="auto"/>
          </w:tcPr>
          <w:p w14:paraId="1EDC9D0D" w14:textId="77777777" w:rsidR="00424629" w:rsidRPr="004E31CF" w:rsidRDefault="00424629" w:rsidP="0DA07B1E">
            <w:pPr>
              <w:pStyle w:val="BodyText"/>
              <w:rPr>
                <w:color w:val="000000"/>
                <w:sz w:val="20"/>
                <w:szCs w:val="20"/>
              </w:rPr>
            </w:pPr>
          </w:p>
        </w:tc>
        <w:tc>
          <w:tcPr>
            <w:tcW w:w="8312" w:type="dxa"/>
            <w:shd w:val="clear" w:color="auto" w:fill="auto"/>
          </w:tcPr>
          <w:p w14:paraId="1081B39F" w14:textId="77777777" w:rsidR="00424629" w:rsidRPr="004E31CF" w:rsidRDefault="00424629" w:rsidP="0DA07B1E">
            <w:pPr>
              <w:pStyle w:val="BodyText"/>
              <w:rPr>
                <w:color w:val="000000"/>
                <w:sz w:val="20"/>
                <w:szCs w:val="20"/>
              </w:rPr>
            </w:pPr>
          </w:p>
        </w:tc>
      </w:tr>
      <w:tr w:rsidR="00424629" w:rsidRPr="004E31CF" w14:paraId="195006B4" w14:textId="77777777" w:rsidTr="000D2253">
        <w:tc>
          <w:tcPr>
            <w:tcW w:w="672" w:type="dxa"/>
            <w:shd w:val="clear" w:color="auto" w:fill="auto"/>
          </w:tcPr>
          <w:p w14:paraId="2A472A78" w14:textId="77777777" w:rsidR="00424629" w:rsidRPr="004E31CF" w:rsidRDefault="00424629" w:rsidP="0DA07B1E">
            <w:pPr>
              <w:pStyle w:val="BodyText"/>
              <w:rPr>
                <w:color w:val="000000"/>
                <w:sz w:val="20"/>
                <w:szCs w:val="20"/>
              </w:rPr>
            </w:pPr>
          </w:p>
        </w:tc>
        <w:tc>
          <w:tcPr>
            <w:tcW w:w="4478" w:type="dxa"/>
            <w:shd w:val="clear" w:color="auto" w:fill="auto"/>
          </w:tcPr>
          <w:p w14:paraId="0734FB90" w14:textId="77777777" w:rsidR="00424629" w:rsidRPr="004E31CF" w:rsidRDefault="00424629" w:rsidP="0DA07B1E">
            <w:pPr>
              <w:pStyle w:val="BodyText"/>
              <w:rPr>
                <w:color w:val="000000"/>
                <w:sz w:val="20"/>
                <w:szCs w:val="20"/>
              </w:rPr>
            </w:pPr>
          </w:p>
        </w:tc>
        <w:tc>
          <w:tcPr>
            <w:tcW w:w="8312" w:type="dxa"/>
            <w:shd w:val="clear" w:color="auto" w:fill="auto"/>
          </w:tcPr>
          <w:p w14:paraId="16A37F1C" w14:textId="77777777" w:rsidR="00424629" w:rsidRPr="004E31CF" w:rsidRDefault="00424629" w:rsidP="0DA07B1E">
            <w:pPr>
              <w:pStyle w:val="BodyText"/>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063F3E5C" w14:textId="60212DEE" w:rsidR="00424629" w:rsidRPr="00257051" w:rsidRDefault="00E158CA" w:rsidP="0DA07B1E">
      <w:pPr>
        <w:ind w:left="34" w:firstLine="567"/>
        <w:jc w:val="both"/>
        <w:rPr>
          <w:rFonts w:eastAsia="Times New Roman"/>
          <w:lang w:eastAsia="en-US"/>
        </w:rPr>
      </w:pPr>
      <w:r>
        <w:rPr>
          <w:rFonts w:eastAsia="Calibri"/>
          <w:lang w:eastAsia="en-US"/>
        </w:rPr>
        <w:t>3</w:t>
      </w:r>
      <w:r w:rsidR="00424629" w:rsidRPr="00257051">
        <w:rPr>
          <w:rFonts w:eastAsia="Calibri"/>
          <w:lang w:eastAsia="en-US"/>
        </w:rPr>
        <w:t xml:space="preserve">. </w:t>
      </w:r>
      <w:r w:rsidR="00424629" w:rsidRPr="000D2253">
        <w:rPr>
          <w:rFonts w:eastAsia="Calibri"/>
          <w:b/>
          <w:lang w:eastAsia="en-US"/>
        </w:rPr>
        <w:t>Jeigu kvalifikacija dėl teisės verstis atitinkama veikla nebuvo tikrinama arba tikrinama ne visa apimtimi, įsipareigojame perkančiajai organizacijai, kad pirkimo sutartį vykdys tik tokią teisę turintys asmenys</w:t>
      </w:r>
      <w:r w:rsidR="00424629" w:rsidRPr="00257051">
        <w:rPr>
          <w:rFonts w:eastAsia="Calibri"/>
          <w:lang w:eastAsia="en-US"/>
        </w:rPr>
        <w:t>.</w:t>
      </w:r>
    </w:p>
    <w:p w14:paraId="4348109C" w14:textId="3D9DC1BA" w:rsidR="00424629" w:rsidRPr="00257051" w:rsidRDefault="00E158CA" w:rsidP="0DA07B1E">
      <w:pPr>
        <w:ind w:left="34" w:firstLine="567"/>
        <w:jc w:val="both"/>
        <w:rPr>
          <w:rFonts w:eastAsia="Times New Roman"/>
          <w:lang w:eastAsia="en-US"/>
        </w:rPr>
      </w:pPr>
      <w:r>
        <w:rPr>
          <w:rFonts w:eastAsia="Times New Roman"/>
          <w:lang w:eastAsia="en-US"/>
        </w:rPr>
        <w:t>4</w:t>
      </w:r>
      <w:r w:rsidR="00424629" w:rsidRPr="00257051">
        <w:rPr>
          <w:rFonts w:eastAsia="Times New Roman"/>
          <w:lang w:eastAsia="en-US"/>
        </w:rPr>
        <w:t xml:space="preserve">. pasiūlymas galioja </w:t>
      </w:r>
      <w:r w:rsidR="00331012" w:rsidRPr="00331012">
        <w:rPr>
          <w:rFonts w:eastAsia="Times New Roman"/>
          <w:lang w:eastAsia="en-US"/>
        </w:rPr>
        <w:t xml:space="preserve">90 (devyniasdešimt) dienų nuo pasiūlymų pateikimo galutinio termino pabaigos. </w:t>
      </w:r>
    </w:p>
    <w:p w14:paraId="4C3DCC9A" w14:textId="5BA04CDA" w:rsidR="00FB67A3" w:rsidRDefault="00E158CA" w:rsidP="0DA07B1E">
      <w:pPr>
        <w:ind w:left="34" w:firstLine="567"/>
        <w:jc w:val="both"/>
      </w:pPr>
      <w:r>
        <w:rPr>
          <w:rFonts w:eastAsia="Times New Roman"/>
          <w:lang w:eastAsia="en-US"/>
        </w:rPr>
        <w:t>5</w:t>
      </w:r>
      <w:r w:rsidR="00FB67A3" w:rsidRPr="00257051">
        <w:rPr>
          <w:rFonts w:eastAsia="Times New Roman"/>
          <w:lang w:eastAsia="en-US"/>
        </w:rPr>
        <w:t>.</w:t>
      </w:r>
      <w:r w:rsidR="00D73C2F">
        <w:rPr>
          <w:rFonts w:eastAsia="Times New Roman"/>
          <w:lang w:eastAsia="en-US"/>
        </w:rPr>
        <w:t xml:space="preserve"> </w:t>
      </w:r>
      <w:r w:rsidR="00FB67A3" w:rsidRPr="00257051">
        <w:t xml:space="preserve">pasiūlymo galiojimo laikotarpiu atsisakius sudaryti viešojo pirkimo sutartį ar jos nepasirašius per perkančiosios organizacijos nustatytą terminą, sutinkame sumokėti perkančiajai organizacijai </w:t>
      </w:r>
      <w:r w:rsidR="006C33B7">
        <w:rPr>
          <w:b/>
          <w:bCs/>
        </w:rPr>
        <w:t>2</w:t>
      </w:r>
      <w:r w:rsidR="00FB67A3" w:rsidRPr="00257051">
        <w:rPr>
          <w:b/>
          <w:bCs/>
        </w:rPr>
        <w:t xml:space="preserve"> (</w:t>
      </w:r>
      <w:r w:rsidR="006C33B7">
        <w:rPr>
          <w:b/>
          <w:bCs/>
        </w:rPr>
        <w:t>dvejų</w:t>
      </w:r>
      <w:r w:rsidR="00FB67A3" w:rsidRPr="00257051">
        <w:rPr>
          <w:b/>
          <w:bCs/>
        </w:rPr>
        <w:t>) proc.</w:t>
      </w:r>
      <w:r w:rsidR="00FB67A3" w:rsidRPr="00257051">
        <w:t xml:space="preserve"> pasiūlymo kainos Eur be PVM dydžio baudą bei padengti perkančiosios organizacijos patirtus nuostolius, kiek jų nepadengia aukščiau nurodyta bauda</w:t>
      </w:r>
      <w:r w:rsidR="00D73C2F">
        <w:t>.</w:t>
      </w:r>
    </w:p>
    <w:p w14:paraId="6FF81481" w14:textId="77777777" w:rsidR="00D127B4" w:rsidRDefault="00D127B4" w:rsidP="0DA07B1E">
      <w:pPr>
        <w:ind w:left="34" w:firstLine="567"/>
        <w:jc w:val="both"/>
      </w:pPr>
    </w:p>
    <w:p w14:paraId="1B379B77" w14:textId="77777777" w:rsidR="00D127B4" w:rsidRDefault="00D127B4" w:rsidP="0DA07B1E">
      <w:pPr>
        <w:ind w:left="34" w:firstLine="567"/>
        <w:jc w:val="both"/>
      </w:pPr>
    </w:p>
    <w:tbl>
      <w:tblPr>
        <w:tblW w:w="13920" w:type="dxa"/>
        <w:tblLook w:val="04A0" w:firstRow="1" w:lastRow="0" w:firstColumn="1" w:lastColumn="0" w:noHBand="0" w:noVBand="1"/>
      </w:tblPr>
      <w:tblGrid>
        <w:gridCol w:w="10700"/>
        <w:gridCol w:w="1120"/>
        <w:gridCol w:w="2100"/>
      </w:tblGrid>
      <w:tr w:rsidR="00D127B4" w:rsidRPr="00D127B4" w14:paraId="6CBA271C" w14:textId="77777777" w:rsidTr="00D127B4">
        <w:trPr>
          <w:trHeight w:val="312"/>
        </w:trPr>
        <w:tc>
          <w:tcPr>
            <w:tcW w:w="10700" w:type="dxa"/>
            <w:tcBorders>
              <w:top w:val="nil"/>
              <w:left w:val="nil"/>
              <w:right w:val="nil"/>
            </w:tcBorders>
            <w:shd w:val="clear" w:color="000000" w:fill="FFFFFF"/>
            <w:vAlign w:val="bottom"/>
            <w:hideMark/>
          </w:tcPr>
          <w:p w14:paraId="04C4C583" w14:textId="77777777" w:rsidR="00D127B4" w:rsidRPr="00D127B4" w:rsidRDefault="00D127B4" w:rsidP="00D127B4">
            <w:pPr>
              <w:rPr>
                <w:rFonts w:eastAsia="Times New Roman"/>
                <w:b/>
                <w:bCs/>
                <w:u w:val="single"/>
                <w:lang w:val="en-US" w:eastAsia="en-US"/>
              </w:rPr>
            </w:pPr>
            <w:proofErr w:type="spellStart"/>
            <w:r w:rsidRPr="00D127B4">
              <w:rPr>
                <w:rFonts w:eastAsia="Times New Roman"/>
                <w:b/>
                <w:bCs/>
                <w:u w:val="single"/>
                <w:lang w:val="en-US" w:eastAsia="en-US"/>
              </w:rPr>
              <w:t>Tiekėjas</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kartu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su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pasiūlymu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pateikia</w:t>
            </w:r>
            <w:proofErr w:type="spellEnd"/>
            <w:r w:rsidRPr="00D127B4">
              <w:rPr>
                <w:rFonts w:eastAsia="Times New Roman"/>
                <w:b/>
                <w:bCs/>
                <w:u w:val="single"/>
                <w:lang w:val="en-US" w:eastAsia="en-US"/>
              </w:rPr>
              <w:t>:</w:t>
            </w:r>
          </w:p>
        </w:tc>
        <w:tc>
          <w:tcPr>
            <w:tcW w:w="1120" w:type="dxa"/>
            <w:tcBorders>
              <w:top w:val="nil"/>
              <w:left w:val="nil"/>
              <w:right w:val="nil"/>
            </w:tcBorders>
            <w:shd w:val="clear" w:color="auto" w:fill="auto"/>
            <w:noWrap/>
            <w:vAlign w:val="bottom"/>
            <w:hideMark/>
          </w:tcPr>
          <w:p w14:paraId="0BD9E625" w14:textId="77777777" w:rsidR="00D127B4" w:rsidRPr="00D127B4" w:rsidRDefault="00D127B4" w:rsidP="00D127B4">
            <w:pPr>
              <w:rPr>
                <w:rFonts w:eastAsia="Times New Roman"/>
                <w:b/>
                <w:bCs/>
                <w:u w:val="single"/>
                <w:lang w:val="en-US" w:eastAsia="en-US"/>
              </w:rPr>
            </w:pPr>
          </w:p>
        </w:tc>
        <w:tc>
          <w:tcPr>
            <w:tcW w:w="2100" w:type="dxa"/>
            <w:tcBorders>
              <w:top w:val="nil"/>
              <w:left w:val="nil"/>
              <w:right w:val="nil"/>
            </w:tcBorders>
            <w:shd w:val="clear" w:color="auto" w:fill="auto"/>
            <w:noWrap/>
            <w:vAlign w:val="bottom"/>
            <w:hideMark/>
          </w:tcPr>
          <w:p w14:paraId="415ECBB8" w14:textId="77777777" w:rsidR="00D127B4" w:rsidRPr="00D127B4" w:rsidRDefault="00D127B4" w:rsidP="00D127B4">
            <w:pPr>
              <w:rPr>
                <w:rFonts w:eastAsia="Times New Roman"/>
                <w:sz w:val="20"/>
                <w:szCs w:val="20"/>
                <w:lang w:val="en-US" w:eastAsia="en-US"/>
              </w:rPr>
            </w:pPr>
          </w:p>
        </w:tc>
      </w:tr>
      <w:tr w:rsidR="00D127B4" w:rsidRPr="00D127B4" w14:paraId="620AD105" w14:textId="77777777" w:rsidTr="00D127B4">
        <w:trPr>
          <w:trHeight w:val="312"/>
        </w:trPr>
        <w:tc>
          <w:tcPr>
            <w:tcW w:w="13920" w:type="dxa"/>
            <w:gridSpan w:val="3"/>
            <w:shd w:val="clear" w:color="000000" w:fill="FFFFFF"/>
            <w:hideMark/>
          </w:tcPr>
          <w:p w14:paraId="3C7B5223"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1) </w:t>
            </w:r>
            <w:proofErr w:type="spellStart"/>
            <w:r w:rsidRPr="00D127B4">
              <w:rPr>
                <w:rFonts w:eastAsia="Times New Roman"/>
                <w:lang w:val="en-US" w:eastAsia="en-US"/>
              </w:rPr>
              <w:t>jungtinės</w:t>
            </w:r>
            <w:proofErr w:type="spellEnd"/>
            <w:r w:rsidRPr="00D127B4">
              <w:rPr>
                <w:rFonts w:eastAsia="Times New Roman"/>
                <w:lang w:val="en-US" w:eastAsia="en-US"/>
              </w:rPr>
              <w:t xml:space="preserve"> </w:t>
            </w:r>
            <w:proofErr w:type="spellStart"/>
            <w:r w:rsidRPr="00D127B4">
              <w:rPr>
                <w:rFonts w:eastAsia="Times New Roman"/>
                <w:lang w:val="en-US" w:eastAsia="en-US"/>
              </w:rPr>
              <w:t>veiklos</w:t>
            </w:r>
            <w:proofErr w:type="spellEnd"/>
            <w:r w:rsidRPr="00D127B4">
              <w:rPr>
                <w:rFonts w:eastAsia="Times New Roman"/>
                <w:lang w:val="en-US" w:eastAsia="en-US"/>
              </w:rPr>
              <w:t xml:space="preserve"> </w:t>
            </w:r>
            <w:proofErr w:type="spellStart"/>
            <w:r w:rsidRPr="00D127B4">
              <w:rPr>
                <w:rFonts w:eastAsia="Times New Roman"/>
                <w:lang w:val="en-US" w:eastAsia="en-US"/>
              </w:rPr>
              <w:t>sutarties</w:t>
            </w:r>
            <w:proofErr w:type="spellEnd"/>
            <w:r w:rsidRPr="00D127B4">
              <w:rPr>
                <w:rFonts w:eastAsia="Times New Roman"/>
                <w:lang w:val="en-US" w:eastAsia="en-US"/>
              </w:rPr>
              <w:t xml:space="preserve"> </w:t>
            </w:r>
            <w:proofErr w:type="spellStart"/>
            <w:r w:rsidRPr="00D127B4">
              <w:rPr>
                <w:rFonts w:eastAsia="Times New Roman"/>
                <w:lang w:val="en-US" w:eastAsia="en-US"/>
              </w:rPr>
              <w:t>kopiją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teikia</w:t>
            </w:r>
            <w:proofErr w:type="spellEnd"/>
            <w:r w:rsidRPr="00D127B4">
              <w:rPr>
                <w:rFonts w:eastAsia="Times New Roman"/>
                <w:lang w:val="en-US" w:eastAsia="en-US"/>
              </w:rPr>
              <w:t xml:space="preserve"> </w:t>
            </w:r>
            <w:proofErr w:type="spellStart"/>
            <w:r w:rsidRPr="00D127B4">
              <w:rPr>
                <w:rFonts w:eastAsia="Times New Roman"/>
                <w:lang w:val="en-US" w:eastAsia="en-US"/>
              </w:rPr>
              <w:t>tiekėjų</w:t>
            </w:r>
            <w:proofErr w:type="spellEnd"/>
            <w:r w:rsidRPr="00D127B4">
              <w:rPr>
                <w:rFonts w:eastAsia="Times New Roman"/>
                <w:lang w:val="en-US" w:eastAsia="en-US"/>
              </w:rPr>
              <w:t xml:space="preserve"> </w:t>
            </w:r>
            <w:proofErr w:type="spellStart"/>
            <w:r w:rsidRPr="00D127B4">
              <w:rPr>
                <w:rFonts w:eastAsia="Times New Roman"/>
                <w:lang w:val="en-US" w:eastAsia="en-US"/>
              </w:rPr>
              <w:t>grupė</w:t>
            </w:r>
            <w:proofErr w:type="spellEnd"/>
            <w:r w:rsidRPr="00D127B4">
              <w:rPr>
                <w:rFonts w:eastAsia="Times New Roman"/>
                <w:lang w:val="en-US" w:eastAsia="en-US"/>
              </w:rPr>
              <w:t>);</w:t>
            </w:r>
          </w:p>
        </w:tc>
      </w:tr>
      <w:tr w:rsidR="00D127B4" w:rsidRPr="00D127B4" w14:paraId="5B3879F3" w14:textId="77777777" w:rsidTr="00D127B4">
        <w:trPr>
          <w:trHeight w:val="312"/>
        </w:trPr>
        <w:tc>
          <w:tcPr>
            <w:tcW w:w="13920" w:type="dxa"/>
            <w:gridSpan w:val="3"/>
            <w:shd w:val="clear" w:color="000000" w:fill="FFFFFF"/>
            <w:hideMark/>
          </w:tcPr>
          <w:p w14:paraId="54019185"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2) </w:t>
            </w:r>
            <w:proofErr w:type="spellStart"/>
            <w:r w:rsidRPr="00D127B4">
              <w:rPr>
                <w:rFonts w:eastAsia="Times New Roman"/>
                <w:lang w:val="en-US" w:eastAsia="en-US"/>
              </w:rPr>
              <w:t>įgaliojimą</w:t>
            </w:r>
            <w:proofErr w:type="spellEnd"/>
            <w:r w:rsidRPr="00D127B4">
              <w:rPr>
                <w:rFonts w:eastAsia="Times New Roman"/>
                <w:lang w:val="en-US" w:eastAsia="en-US"/>
              </w:rPr>
              <w:t xml:space="preserve"> </w:t>
            </w:r>
            <w:proofErr w:type="spellStart"/>
            <w:r w:rsidRPr="00D127B4">
              <w:rPr>
                <w:rFonts w:eastAsia="Times New Roman"/>
                <w:lang w:val="en-US" w:eastAsia="en-US"/>
              </w:rPr>
              <w:t>pateikti</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pateikia</w:t>
            </w:r>
            <w:proofErr w:type="spellEnd"/>
            <w:r w:rsidRPr="00D127B4">
              <w:rPr>
                <w:rFonts w:eastAsia="Times New Roman"/>
                <w:lang w:val="en-US" w:eastAsia="en-US"/>
              </w:rPr>
              <w:t xml:space="preserve"> ne </w:t>
            </w:r>
            <w:proofErr w:type="spellStart"/>
            <w:r w:rsidRPr="00D127B4">
              <w:rPr>
                <w:rFonts w:eastAsia="Times New Roman"/>
                <w:lang w:val="en-US" w:eastAsia="en-US"/>
              </w:rPr>
              <w:t>tiekėjo</w:t>
            </w:r>
            <w:proofErr w:type="spellEnd"/>
            <w:r w:rsidRPr="00D127B4">
              <w:rPr>
                <w:rFonts w:eastAsia="Times New Roman"/>
                <w:lang w:val="en-US" w:eastAsia="en-US"/>
              </w:rPr>
              <w:t xml:space="preserve"> </w:t>
            </w:r>
            <w:proofErr w:type="spellStart"/>
            <w:r w:rsidRPr="00D127B4">
              <w:rPr>
                <w:rFonts w:eastAsia="Times New Roman"/>
                <w:lang w:val="en-US" w:eastAsia="en-US"/>
              </w:rPr>
              <w:t>vadovas</w:t>
            </w:r>
            <w:proofErr w:type="spellEnd"/>
            <w:r w:rsidRPr="00D127B4">
              <w:rPr>
                <w:rFonts w:eastAsia="Times New Roman"/>
                <w:lang w:val="en-US" w:eastAsia="en-US"/>
              </w:rPr>
              <w:t>);</w:t>
            </w:r>
          </w:p>
        </w:tc>
      </w:tr>
      <w:tr w:rsidR="00D127B4" w:rsidRPr="00D127B4" w14:paraId="66198A48" w14:textId="77777777" w:rsidTr="00D127B4">
        <w:trPr>
          <w:trHeight w:val="312"/>
        </w:trPr>
        <w:tc>
          <w:tcPr>
            <w:tcW w:w="13920" w:type="dxa"/>
            <w:gridSpan w:val="3"/>
            <w:shd w:val="clear" w:color="000000" w:fill="FFFFFF"/>
            <w:hideMark/>
          </w:tcPr>
          <w:p w14:paraId="24D857F7" w14:textId="056E77E7" w:rsidR="006C33B7" w:rsidRDefault="00D127B4" w:rsidP="007838C6">
            <w:pPr>
              <w:rPr>
                <w:rFonts w:eastAsia="Times New Roman"/>
                <w:lang w:val="en-US" w:eastAsia="en-US"/>
              </w:rPr>
            </w:pPr>
            <w:r w:rsidRPr="00D127B4">
              <w:rPr>
                <w:rFonts w:eastAsia="Times New Roman"/>
                <w:lang w:val="en-US" w:eastAsia="en-US"/>
              </w:rPr>
              <w:lastRenderedPageBreak/>
              <w:t xml:space="preserve">3) </w:t>
            </w:r>
            <w:r w:rsidR="00E158CA">
              <w:rPr>
                <w:rFonts w:eastAsia="Times New Roman"/>
                <w:lang w:val="en-US" w:eastAsia="en-US"/>
              </w:rPr>
              <w:t xml:space="preserve">1 </w:t>
            </w:r>
            <w:proofErr w:type="spellStart"/>
            <w:r w:rsidR="00E158CA">
              <w:rPr>
                <w:rFonts w:eastAsia="Times New Roman"/>
                <w:lang w:val="en-US" w:eastAsia="en-US"/>
              </w:rPr>
              <w:t>priedas</w:t>
            </w:r>
            <w:proofErr w:type="spellEnd"/>
            <w:r w:rsidR="00E158CA">
              <w:rPr>
                <w:rFonts w:eastAsia="Times New Roman"/>
                <w:lang w:val="en-US" w:eastAsia="en-US"/>
              </w:rPr>
              <w:t xml:space="preserve">. </w:t>
            </w:r>
            <w:proofErr w:type="spellStart"/>
            <w:r w:rsidR="00E158CA">
              <w:rPr>
                <w:rFonts w:eastAsia="Times New Roman"/>
                <w:lang w:val="en-US" w:eastAsia="en-US"/>
              </w:rPr>
              <w:t>Techninė</w:t>
            </w:r>
            <w:proofErr w:type="spellEnd"/>
            <w:r w:rsidR="00E158CA">
              <w:rPr>
                <w:rFonts w:eastAsia="Times New Roman"/>
                <w:lang w:val="en-US" w:eastAsia="en-US"/>
              </w:rPr>
              <w:t xml:space="preserve"> </w:t>
            </w:r>
            <w:proofErr w:type="spellStart"/>
            <w:r w:rsidR="00E158CA">
              <w:rPr>
                <w:rFonts w:eastAsia="Times New Roman"/>
                <w:lang w:val="en-US" w:eastAsia="en-US"/>
              </w:rPr>
              <w:t>specifikacija</w:t>
            </w:r>
            <w:proofErr w:type="spellEnd"/>
            <w:r w:rsidR="00B81EA1">
              <w:rPr>
                <w:rFonts w:eastAsia="Times New Roman"/>
                <w:lang w:val="en-US" w:eastAsia="en-US"/>
              </w:rPr>
              <w:t>;</w:t>
            </w:r>
          </w:p>
          <w:p w14:paraId="20AB48EE" w14:textId="676243B5" w:rsidR="00B81EA1" w:rsidRPr="00D127B4" w:rsidRDefault="00B81EA1" w:rsidP="007838C6">
            <w:pPr>
              <w:rPr>
                <w:rFonts w:eastAsia="Times New Roman"/>
                <w:lang w:val="en-US" w:eastAsia="en-US"/>
              </w:rPr>
            </w:pPr>
            <w:r>
              <w:rPr>
                <w:rFonts w:eastAsia="Times New Roman"/>
                <w:lang w:val="en-US" w:eastAsia="en-US"/>
              </w:rPr>
              <w:t xml:space="preserve">4) </w:t>
            </w:r>
            <w:r w:rsidR="005460DA">
              <w:rPr>
                <w:rFonts w:eastAsia="Arial"/>
              </w:rPr>
              <w:t>dokumentas</w:t>
            </w:r>
            <w:r w:rsidR="005460DA">
              <w:rPr>
                <w:rFonts w:eastAsia="Arial"/>
              </w:rPr>
              <w:t>,</w:t>
            </w:r>
            <w:r w:rsidR="005460DA">
              <w:rPr>
                <w:rFonts w:eastAsia="Arial"/>
              </w:rPr>
              <w:t xml:space="preserve"> patvirtinantis Tiekėjo atitikimą šių pirkimo sąlygų 1.4. punkto reikalavimą - </w:t>
            </w:r>
            <w:r w:rsidR="005460DA" w:rsidRPr="00C57D09">
              <w:rPr>
                <w:rFonts w:eastAsia="Arial"/>
              </w:rPr>
              <w:t>įsipareigojimas suteikti 36 mėnesių garantiją siūlomai įrangai</w:t>
            </w:r>
            <w:r w:rsidR="005460DA">
              <w:rPr>
                <w:rFonts w:eastAsia="Arial"/>
              </w:rPr>
              <w:t>.</w:t>
            </w:r>
          </w:p>
        </w:tc>
      </w:tr>
      <w:tr w:rsidR="00D127B4" w:rsidRPr="00D127B4" w14:paraId="7681E2FB" w14:textId="77777777" w:rsidTr="00D127B4">
        <w:trPr>
          <w:trHeight w:val="600"/>
        </w:trPr>
        <w:tc>
          <w:tcPr>
            <w:tcW w:w="13920" w:type="dxa"/>
            <w:gridSpan w:val="3"/>
            <w:shd w:val="clear" w:color="000000" w:fill="FFFFFF"/>
            <w:hideMark/>
          </w:tcPr>
          <w:p w14:paraId="296A8520" w14:textId="33A1BBDA" w:rsidR="00D127B4" w:rsidRPr="00D127B4" w:rsidRDefault="00D127B4" w:rsidP="00273F9C">
            <w:pPr>
              <w:rPr>
                <w:rFonts w:eastAsia="Times New Roman"/>
                <w:lang w:val="en-US" w:eastAsia="en-US"/>
              </w:rPr>
            </w:pPr>
          </w:p>
        </w:tc>
      </w:tr>
    </w:tbl>
    <w:p w14:paraId="1F2BE7EB" w14:textId="77777777" w:rsidR="00D73C2F" w:rsidRDefault="00D73C2F" w:rsidP="0DA07B1E">
      <w:pPr>
        <w:ind w:left="34" w:firstLine="567"/>
        <w:jc w:val="both"/>
        <w:rPr>
          <w:rFonts w:eastAsia="Times New Roman"/>
          <w:lang w:eastAsia="en-US"/>
        </w:rPr>
      </w:pPr>
    </w:p>
    <w:p w14:paraId="57CFCB8A" w14:textId="77777777" w:rsidR="00D127B4" w:rsidRDefault="00D127B4" w:rsidP="0DA07B1E">
      <w:pPr>
        <w:ind w:left="34" w:firstLine="567"/>
        <w:jc w:val="both"/>
        <w:rPr>
          <w:rFonts w:eastAsia="Times New Roman"/>
          <w:lang w:eastAsia="en-US"/>
        </w:rPr>
      </w:pPr>
    </w:p>
    <w:p w14:paraId="59C05C2D" w14:textId="7AD02A6F" w:rsidR="00D127B4" w:rsidRDefault="00D127B4" w:rsidP="0DA07B1E">
      <w:pPr>
        <w:ind w:left="34" w:firstLine="567"/>
        <w:jc w:val="both"/>
        <w:rPr>
          <w:rFonts w:eastAsia="Times New Roman"/>
          <w:lang w:eastAsia="en-US"/>
        </w:rPr>
      </w:pPr>
      <w:r>
        <w:rPr>
          <w:rFonts w:eastAsia="Times New Roman"/>
          <w:lang w:eastAsia="en-US"/>
        </w:rPr>
        <w:t>_________________________</w:t>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t>__________________</w:t>
      </w:r>
      <w:r>
        <w:rPr>
          <w:rFonts w:eastAsia="Times New Roman"/>
          <w:lang w:eastAsia="en-US"/>
        </w:rPr>
        <w:tab/>
      </w:r>
      <w:r>
        <w:rPr>
          <w:rFonts w:eastAsia="Times New Roman"/>
          <w:lang w:eastAsia="en-US"/>
        </w:rPr>
        <w:tab/>
      </w:r>
      <w:r>
        <w:rPr>
          <w:rFonts w:eastAsia="Times New Roman"/>
          <w:lang w:eastAsia="en-US"/>
        </w:rPr>
        <w:tab/>
        <w:t>_____________________</w:t>
      </w:r>
    </w:p>
    <w:p w14:paraId="439D0B88" w14:textId="40BB9D74" w:rsidR="00D127B4" w:rsidRPr="00D127B4" w:rsidRDefault="00D127B4" w:rsidP="0DA07B1E">
      <w:pPr>
        <w:ind w:left="34" w:firstLine="567"/>
        <w:jc w:val="both"/>
        <w:rPr>
          <w:rFonts w:eastAsia="Times New Roman"/>
          <w:sz w:val="20"/>
          <w:szCs w:val="20"/>
          <w:lang w:eastAsia="en-US"/>
        </w:rPr>
      </w:pPr>
      <w:r>
        <w:rPr>
          <w:rFonts w:eastAsia="Times New Roman"/>
          <w:sz w:val="20"/>
          <w:szCs w:val="20"/>
          <w:lang w:eastAsia="en-US"/>
        </w:rPr>
        <w:t>(</w:t>
      </w:r>
      <w:r w:rsidRPr="00D127B4">
        <w:rPr>
          <w:rFonts w:eastAsia="Times New Roman"/>
          <w:sz w:val="20"/>
          <w:szCs w:val="20"/>
          <w:lang w:eastAsia="en-US"/>
        </w:rPr>
        <w:t>Tiekėjo arba jo įgalioto asmens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(Parašas)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 xml:space="preserve">        (Vardas ir pavardė)</w:t>
      </w:r>
    </w:p>
    <w:p w14:paraId="4A4A847C" w14:textId="3C3B520D" w:rsidR="00D127B4" w:rsidRPr="00D127B4" w:rsidRDefault="00D127B4" w:rsidP="0DA07B1E">
      <w:pPr>
        <w:ind w:left="34" w:firstLine="567"/>
        <w:jc w:val="both"/>
        <w:rPr>
          <w:rFonts w:eastAsia="Times New Roman"/>
          <w:sz w:val="20"/>
          <w:szCs w:val="20"/>
          <w:lang w:eastAsia="en-US"/>
        </w:rPr>
      </w:pPr>
      <w:r w:rsidRPr="00D127B4">
        <w:rPr>
          <w:rFonts w:eastAsia="Times New Roman"/>
          <w:sz w:val="20"/>
          <w:szCs w:val="20"/>
          <w:lang w:eastAsia="en-US"/>
        </w:rPr>
        <w:t>pareigų pavadinimas)</w:t>
      </w:r>
    </w:p>
    <w:sectPr w:rsidR="00D127B4" w:rsidRPr="00D127B4" w:rsidSect="00A91FED">
      <w:pgSz w:w="15840" w:h="12240" w:orient="landscape"/>
      <w:pgMar w:top="1440" w:right="851" w:bottom="7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61D1" w14:textId="77777777" w:rsidR="00DF008D" w:rsidRDefault="00DF008D" w:rsidP="00424629">
      <w:r>
        <w:separator/>
      </w:r>
    </w:p>
  </w:endnote>
  <w:endnote w:type="continuationSeparator" w:id="0">
    <w:p w14:paraId="375D1500" w14:textId="77777777" w:rsidR="00DF008D" w:rsidRDefault="00DF008D" w:rsidP="00424629">
      <w:r>
        <w:continuationSeparator/>
      </w:r>
    </w:p>
  </w:endnote>
  <w:endnote w:type="continuationNotice" w:id="1">
    <w:p w14:paraId="2EA7E9B0" w14:textId="77777777" w:rsidR="00DF008D" w:rsidRDefault="00DF0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B96F" w14:textId="77777777" w:rsidR="00DF008D" w:rsidRDefault="00DF008D" w:rsidP="00424629">
      <w:r>
        <w:separator/>
      </w:r>
    </w:p>
  </w:footnote>
  <w:footnote w:type="continuationSeparator" w:id="0">
    <w:p w14:paraId="5BA21933" w14:textId="77777777" w:rsidR="00DF008D" w:rsidRDefault="00DF008D" w:rsidP="00424629">
      <w:r>
        <w:continuationSeparator/>
      </w:r>
    </w:p>
  </w:footnote>
  <w:footnote w:type="continuationNotice" w:id="1">
    <w:p w14:paraId="440F16E5" w14:textId="77777777" w:rsidR="00DF008D" w:rsidRDefault="00DF008D"/>
  </w:footnote>
  <w:footnote w:id="2">
    <w:p w14:paraId="1D32B626" w14:textId="46D4CD66" w:rsidR="00424629" w:rsidRDefault="00424629" w:rsidP="00424629">
      <w:pPr>
        <w:pStyle w:val="FootnoteText"/>
        <w:rPr>
          <w:lang w:val="lt-LT"/>
        </w:rPr>
      </w:pPr>
      <w:r>
        <w:rPr>
          <w:rStyle w:val="FootnoteReference"/>
          <w:rFonts w:eastAsia="SimSun"/>
          <w:lang w:val="lt-LT"/>
        </w:rPr>
        <w:footnoteRef/>
      </w:r>
      <w:r>
        <w:rPr>
          <w:lang w:val="lt-LT"/>
        </w:rPr>
        <w:t xml:space="preserve"> Tiekėjas privalo nurodyti, </w:t>
      </w:r>
      <w:r w:rsidR="00273F9C">
        <w:rPr>
          <w:lang w:val="lt-LT"/>
        </w:rPr>
        <w:t>kokius</w:t>
      </w:r>
      <w:r>
        <w:rPr>
          <w:lang w:val="lt-LT"/>
        </w:rPr>
        <w:t xml:space="preserve">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775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151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8604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118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66"/>
    <w:rsid w:val="000008E4"/>
    <w:rsid w:val="0001433E"/>
    <w:rsid w:val="00055F2E"/>
    <w:rsid w:val="00096F12"/>
    <w:rsid w:val="000B31B0"/>
    <w:rsid w:val="000B5966"/>
    <w:rsid w:val="000D2253"/>
    <w:rsid w:val="000E41EB"/>
    <w:rsid w:val="000E78C4"/>
    <w:rsid w:val="00192CEF"/>
    <w:rsid w:val="001B02F9"/>
    <w:rsid w:val="001B4B02"/>
    <w:rsid w:val="001D644D"/>
    <w:rsid w:val="001E1E88"/>
    <w:rsid w:val="0022167A"/>
    <w:rsid w:val="00222CA8"/>
    <w:rsid w:val="00222CE4"/>
    <w:rsid w:val="002422C6"/>
    <w:rsid w:val="00257051"/>
    <w:rsid w:val="00265DAC"/>
    <w:rsid w:val="00273F9C"/>
    <w:rsid w:val="00292740"/>
    <w:rsid w:val="002A0FF8"/>
    <w:rsid w:val="002A2157"/>
    <w:rsid w:val="002B379D"/>
    <w:rsid w:val="002D292E"/>
    <w:rsid w:val="002E5A87"/>
    <w:rsid w:val="00306075"/>
    <w:rsid w:val="00331012"/>
    <w:rsid w:val="003749A6"/>
    <w:rsid w:val="00381B48"/>
    <w:rsid w:val="00390BA8"/>
    <w:rsid w:val="003A4A30"/>
    <w:rsid w:val="003B6D20"/>
    <w:rsid w:val="003E0808"/>
    <w:rsid w:val="003F6381"/>
    <w:rsid w:val="00401756"/>
    <w:rsid w:val="00417587"/>
    <w:rsid w:val="0042189B"/>
    <w:rsid w:val="00424629"/>
    <w:rsid w:val="004254FD"/>
    <w:rsid w:val="004311BA"/>
    <w:rsid w:val="004323E6"/>
    <w:rsid w:val="00442B19"/>
    <w:rsid w:val="00452EAD"/>
    <w:rsid w:val="00481010"/>
    <w:rsid w:val="00487557"/>
    <w:rsid w:val="004B6740"/>
    <w:rsid w:val="004C0587"/>
    <w:rsid w:val="004E6794"/>
    <w:rsid w:val="005115B4"/>
    <w:rsid w:val="00544F50"/>
    <w:rsid w:val="005460DA"/>
    <w:rsid w:val="0055157F"/>
    <w:rsid w:val="005745F7"/>
    <w:rsid w:val="005D6F71"/>
    <w:rsid w:val="005E516D"/>
    <w:rsid w:val="005F72FB"/>
    <w:rsid w:val="00610AF1"/>
    <w:rsid w:val="00650480"/>
    <w:rsid w:val="00651602"/>
    <w:rsid w:val="00655A7B"/>
    <w:rsid w:val="00666F24"/>
    <w:rsid w:val="00683940"/>
    <w:rsid w:val="006C33B7"/>
    <w:rsid w:val="006D57C7"/>
    <w:rsid w:val="007121A0"/>
    <w:rsid w:val="007161F1"/>
    <w:rsid w:val="0074484A"/>
    <w:rsid w:val="00746831"/>
    <w:rsid w:val="00762523"/>
    <w:rsid w:val="00766551"/>
    <w:rsid w:val="007838C6"/>
    <w:rsid w:val="007B36FC"/>
    <w:rsid w:val="007F1A68"/>
    <w:rsid w:val="00827A45"/>
    <w:rsid w:val="008524FC"/>
    <w:rsid w:val="0086691B"/>
    <w:rsid w:val="008969A1"/>
    <w:rsid w:val="008A682D"/>
    <w:rsid w:val="008C3779"/>
    <w:rsid w:val="00914E18"/>
    <w:rsid w:val="00931DCD"/>
    <w:rsid w:val="009505B2"/>
    <w:rsid w:val="00955359"/>
    <w:rsid w:val="0098208D"/>
    <w:rsid w:val="0098737B"/>
    <w:rsid w:val="009F5257"/>
    <w:rsid w:val="00A001FE"/>
    <w:rsid w:val="00A329B6"/>
    <w:rsid w:val="00A33116"/>
    <w:rsid w:val="00A4029E"/>
    <w:rsid w:val="00A4286C"/>
    <w:rsid w:val="00A71542"/>
    <w:rsid w:val="00A8018A"/>
    <w:rsid w:val="00A83F98"/>
    <w:rsid w:val="00A91FED"/>
    <w:rsid w:val="00AB4016"/>
    <w:rsid w:val="00AB7E61"/>
    <w:rsid w:val="00AC6EB0"/>
    <w:rsid w:val="00B04656"/>
    <w:rsid w:val="00B12053"/>
    <w:rsid w:val="00B16B06"/>
    <w:rsid w:val="00B26A34"/>
    <w:rsid w:val="00B74558"/>
    <w:rsid w:val="00B76F25"/>
    <w:rsid w:val="00B81EA1"/>
    <w:rsid w:val="00B85730"/>
    <w:rsid w:val="00BC40F4"/>
    <w:rsid w:val="00BE1304"/>
    <w:rsid w:val="00BF1FCE"/>
    <w:rsid w:val="00C74600"/>
    <w:rsid w:val="00C82EDB"/>
    <w:rsid w:val="00C85157"/>
    <w:rsid w:val="00C955B7"/>
    <w:rsid w:val="00CA2BF5"/>
    <w:rsid w:val="00D127B4"/>
    <w:rsid w:val="00D175EB"/>
    <w:rsid w:val="00D45103"/>
    <w:rsid w:val="00D73C2F"/>
    <w:rsid w:val="00DF008D"/>
    <w:rsid w:val="00DF657E"/>
    <w:rsid w:val="00E158CA"/>
    <w:rsid w:val="00E54EA9"/>
    <w:rsid w:val="00E613AB"/>
    <w:rsid w:val="00EA2F85"/>
    <w:rsid w:val="00EB0B48"/>
    <w:rsid w:val="00ED5B0B"/>
    <w:rsid w:val="00EF6B2A"/>
    <w:rsid w:val="00EF71B0"/>
    <w:rsid w:val="00F15062"/>
    <w:rsid w:val="00F714EF"/>
    <w:rsid w:val="00F8115B"/>
    <w:rsid w:val="00F96CCA"/>
    <w:rsid w:val="00FB67A3"/>
    <w:rsid w:val="00FC3AD0"/>
    <w:rsid w:val="00FC56DD"/>
    <w:rsid w:val="00FD2C37"/>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4629"/>
    <w:rPr>
      <w:rFonts w:eastAsia="Times New Roman"/>
      <w:sz w:val="20"/>
      <w:szCs w:val="20"/>
      <w:lang w:val="en-US" w:eastAsia="en-US"/>
    </w:rPr>
  </w:style>
  <w:style w:type="character" w:customStyle="1" w:styleId="FootnoteTextChar">
    <w:name w:val="Footnote Text Char"/>
    <w:basedOn w:val="DefaultParagraphFont"/>
    <w:link w:val="FootnoteText"/>
    <w:rsid w:val="00424629"/>
    <w:rPr>
      <w:rFonts w:ascii="Times New Roman" w:eastAsia="Times New Roman" w:hAnsi="Times New Roman" w:cs="Times New Roman"/>
      <w:sz w:val="20"/>
      <w:szCs w:val="20"/>
    </w:rPr>
  </w:style>
  <w:style w:type="character" w:styleId="FootnoteReference">
    <w:name w:val="footnote reference"/>
    <w:rsid w:val="00424629"/>
    <w:rPr>
      <w:vertAlign w:val="superscript"/>
    </w:rPr>
  </w:style>
  <w:style w:type="table" w:customStyle="1" w:styleId="Lentelstinklelis1">
    <w:name w:val="Lentelės tinklelis1"/>
    <w:basedOn w:val="TableNormal"/>
    <w:next w:val="TableGrid"/>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24629"/>
    <w:pPr>
      <w:spacing w:after="120"/>
    </w:pPr>
  </w:style>
  <w:style w:type="character" w:customStyle="1" w:styleId="BodyTextChar">
    <w:name w:val="Body Text Char"/>
    <w:basedOn w:val="DefaultParagraphFont"/>
    <w:link w:val="BodyText"/>
    <w:uiPriority w:val="99"/>
    <w:semiHidden/>
    <w:rsid w:val="00424629"/>
    <w:rPr>
      <w:rFonts w:ascii="Times New Roman" w:eastAsia="SimSun" w:hAnsi="Times New Roman" w:cs="Times New Roman"/>
      <w:sz w:val="24"/>
      <w:szCs w:val="24"/>
      <w:lang w:val="lt-LT" w:eastAsia="zh-CN"/>
    </w:rPr>
  </w:style>
  <w:style w:type="table" w:styleId="TableGrid">
    <w:name w:val="Table Grid"/>
    <w:basedOn w:val="TableNorma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A1"/>
    <w:pPr>
      <w:tabs>
        <w:tab w:val="center" w:pos="4986"/>
        <w:tab w:val="right" w:pos="9972"/>
      </w:tabs>
    </w:pPr>
  </w:style>
  <w:style w:type="character" w:customStyle="1" w:styleId="HeaderChar">
    <w:name w:val="Header Char"/>
    <w:basedOn w:val="DefaultParagraphFont"/>
    <w:link w:val="Header"/>
    <w:uiPriority w:val="99"/>
    <w:rsid w:val="008969A1"/>
    <w:rPr>
      <w:rFonts w:ascii="Times New Roman" w:eastAsia="SimSun" w:hAnsi="Times New Roman" w:cs="Times New Roman"/>
      <w:sz w:val="24"/>
      <w:szCs w:val="24"/>
      <w:lang w:val="lt-LT" w:eastAsia="zh-CN"/>
    </w:rPr>
  </w:style>
  <w:style w:type="paragraph" w:styleId="Footer">
    <w:name w:val="footer"/>
    <w:basedOn w:val="Normal"/>
    <w:link w:val="FooterChar"/>
    <w:uiPriority w:val="99"/>
    <w:unhideWhenUsed/>
    <w:rsid w:val="008969A1"/>
    <w:pPr>
      <w:tabs>
        <w:tab w:val="center" w:pos="4986"/>
        <w:tab w:val="right" w:pos="9972"/>
      </w:tabs>
    </w:pPr>
  </w:style>
  <w:style w:type="character" w:customStyle="1" w:styleId="FooterChar">
    <w:name w:val="Footer Char"/>
    <w:basedOn w:val="DefaultParagraphFont"/>
    <w:link w:val="Footer"/>
    <w:uiPriority w:val="99"/>
    <w:rsid w:val="008969A1"/>
    <w:rPr>
      <w:rFonts w:ascii="Times New Roman" w:eastAsia="SimSun" w:hAnsi="Times New Roman" w:cs="Times New Roman"/>
      <w:sz w:val="24"/>
      <w:szCs w:val="24"/>
      <w:lang w:val="lt-LT" w:eastAsia="zh-CN"/>
    </w:rPr>
  </w:style>
  <w:style w:type="character" w:styleId="CommentReference">
    <w:name w:val="annotation reference"/>
    <w:basedOn w:val="DefaultParagraphFont"/>
    <w:uiPriority w:val="99"/>
    <w:semiHidden/>
    <w:unhideWhenUsed/>
    <w:rsid w:val="00D45103"/>
    <w:rPr>
      <w:sz w:val="16"/>
      <w:szCs w:val="16"/>
    </w:rPr>
  </w:style>
  <w:style w:type="paragraph" w:styleId="CommentText">
    <w:name w:val="annotation text"/>
    <w:basedOn w:val="Normal"/>
    <w:link w:val="CommentTextChar"/>
    <w:uiPriority w:val="99"/>
    <w:semiHidden/>
    <w:unhideWhenUsed/>
    <w:rsid w:val="00D45103"/>
    <w:rPr>
      <w:sz w:val="20"/>
      <w:szCs w:val="20"/>
    </w:rPr>
  </w:style>
  <w:style w:type="character" w:customStyle="1" w:styleId="CommentTextChar">
    <w:name w:val="Comment Text Char"/>
    <w:basedOn w:val="DefaultParagraphFont"/>
    <w:link w:val="CommentText"/>
    <w:uiPriority w:val="99"/>
    <w:semiHidden/>
    <w:rsid w:val="00D45103"/>
    <w:rPr>
      <w:rFonts w:ascii="Times New Roman" w:eastAsia="SimSu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5103"/>
    <w:rPr>
      <w:b/>
      <w:bCs/>
    </w:rPr>
  </w:style>
  <w:style w:type="character" w:customStyle="1" w:styleId="CommentSubjectChar">
    <w:name w:val="Comment Subject Char"/>
    <w:basedOn w:val="CommentTextChar"/>
    <w:link w:val="CommentSubject"/>
    <w:uiPriority w:val="99"/>
    <w:semiHidden/>
    <w:rsid w:val="00D45103"/>
    <w:rPr>
      <w:rFonts w:ascii="Times New Roman" w:eastAsia="SimSun" w:hAnsi="Times New Roman" w:cs="Times New Roman"/>
      <w:b/>
      <w:bCs/>
      <w:sz w:val="20"/>
      <w:szCs w:val="20"/>
      <w:lang w:val="lt-LT" w:eastAsia="zh-CN"/>
    </w:rPr>
  </w:style>
  <w:style w:type="paragraph" w:styleId="ListParagraph">
    <w:name w:val="List Paragraph"/>
    <w:basedOn w:val="Normal"/>
    <w:uiPriority w:val="34"/>
    <w:qFormat/>
    <w:rsid w:val="00257051"/>
    <w:pPr>
      <w:ind w:left="720"/>
      <w:contextualSpacing/>
    </w:pPr>
  </w:style>
  <w:style w:type="paragraph" w:styleId="NoSpacing">
    <w:name w:val="No Spacing"/>
    <w:uiPriority w:val="1"/>
    <w:qFormat/>
    <w:rsid w:val="00A83F9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2.xml><?xml version="1.0" encoding="utf-8"?>
<ds:datastoreItem xmlns:ds="http://schemas.openxmlformats.org/officeDocument/2006/customXml" ds:itemID="{C2E7F942-83F5-4518-9480-E733BE3415D8}">
  <ds:schemaRefs>
    <ds:schemaRef ds:uri="http://schemas.openxmlformats.org/officeDocument/2006/bibliography"/>
  </ds:schemaRefs>
</ds:datastoreItem>
</file>

<file path=customXml/itemProps3.xml><?xml version="1.0" encoding="utf-8"?>
<ds:datastoreItem xmlns:ds="http://schemas.openxmlformats.org/officeDocument/2006/customXml" ds:itemID="{CDE2446C-771D-400E-89A8-2259EAA50669}">
  <ds:schemaRefs>
    <ds:schemaRef ds:uri="http://schemas.microsoft.com/sharepoint/v3/contenttype/forms"/>
  </ds:schemaRefs>
</ds:datastoreItem>
</file>

<file path=customXml/itemProps4.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3208</Words>
  <Characters>1830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Agnė Gelminauskaitė-Viskontienė</cp:lastModifiedBy>
  <cp:revision>24</cp:revision>
  <dcterms:created xsi:type="dcterms:W3CDTF">2025-03-26T09:07:00Z</dcterms:created>
  <dcterms:modified xsi:type="dcterms:W3CDTF">2026-04-30T07:41:00Z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