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33131A" w:rsidRDefault="000F17D6" w:rsidP="0033131A">
      <w:pPr>
        <w:jc w:val="right"/>
        <w:rPr>
          <w:rFonts w:ascii="Joost" w:hAnsi="Joost" w:hint="eastAsia"/>
          <w:sz w:val="23"/>
          <w:szCs w:val="23"/>
        </w:rPr>
      </w:pPr>
    </w:p>
    <w:p w14:paraId="058888F4" w14:textId="77777777" w:rsidR="000F17D6" w:rsidRPr="0033131A" w:rsidRDefault="000F17D6" w:rsidP="0033131A">
      <w:pPr>
        <w:rPr>
          <w:rFonts w:ascii="Joost" w:hAnsi="Joost" w:hint="eastAsia"/>
          <w:sz w:val="23"/>
          <w:szCs w:val="23"/>
        </w:rPr>
      </w:pPr>
    </w:p>
    <w:p w14:paraId="61FAB302" w14:textId="053C7834" w:rsidR="000F17D6" w:rsidRPr="0033131A" w:rsidRDefault="007D2CA0" w:rsidP="0033131A">
      <w:pPr>
        <w:rPr>
          <w:rFonts w:ascii="Joost" w:hAnsi="Joost" w:hint="eastAsia"/>
          <w:i/>
          <w:iCs/>
          <w:sz w:val="23"/>
          <w:szCs w:val="23"/>
        </w:rPr>
      </w:pPr>
      <w:r w:rsidRPr="0033131A">
        <w:rPr>
          <w:rFonts w:ascii="Joost" w:hAnsi="Joost"/>
          <w:i/>
          <w:iCs/>
          <w:sz w:val="23"/>
          <w:szCs w:val="23"/>
        </w:rPr>
        <w:t>Suinteresuotiems t</w:t>
      </w:r>
      <w:r w:rsidR="000F17D6" w:rsidRPr="0033131A">
        <w:rPr>
          <w:rFonts w:ascii="Joost" w:hAnsi="Joost"/>
          <w:i/>
          <w:iCs/>
          <w:sz w:val="23"/>
          <w:szCs w:val="23"/>
        </w:rPr>
        <w:t>iekėjams</w:t>
      </w:r>
    </w:p>
    <w:p w14:paraId="3457680A" w14:textId="77777777" w:rsidR="00D811A2" w:rsidRPr="0033131A" w:rsidRDefault="00D811A2" w:rsidP="0033131A">
      <w:pPr>
        <w:rPr>
          <w:rFonts w:ascii="Joost" w:hAnsi="Joost" w:hint="eastAsia"/>
          <w:i/>
          <w:iCs/>
          <w:sz w:val="23"/>
          <w:szCs w:val="23"/>
        </w:rPr>
      </w:pPr>
    </w:p>
    <w:p w14:paraId="69B240AC" w14:textId="77777777" w:rsidR="000F17D6" w:rsidRPr="0033131A" w:rsidRDefault="000F17D6" w:rsidP="0033131A">
      <w:pPr>
        <w:rPr>
          <w:rFonts w:ascii="Joost" w:hAnsi="Joost" w:hint="eastAsia"/>
          <w:i/>
          <w:iCs/>
          <w:sz w:val="23"/>
          <w:szCs w:val="23"/>
        </w:rPr>
      </w:pPr>
      <w:r w:rsidRPr="0033131A">
        <w:rPr>
          <w:rFonts w:ascii="Joost" w:hAnsi="Joost"/>
          <w:i/>
          <w:iCs/>
          <w:sz w:val="23"/>
          <w:szCs w:val="23"/>
        </w:rPr>
        <w:t>Siunčiama CVP IS priemonėmis</w:t>
      </w:r>
    </w:p>
    <w:p w14:paraId="7667E45E" w14:textId="77777777" w:rsidR="000F17D6" w:rsidRPr="0033131A" w:rsidRDefault="000F17D6" w:rsidP="0033131A">
      <w:pPr>
        <w:rPr>
          <w:rFonts w:ascii="Joost" w:hAnsi="Joost" w:hint="eastAsia"/>
          <w:b/>
          <w:bCs/>
          <w:sz w:val="23"/>
          <w:szCs w:val="23"/>
        </w:rPr>
      </w:pPr>
    </w:p>
    <w:p w14:paraId="0AB0DAD8" w14:textId="77777777" w:rsidR="000F17D6" w:rsidRPr="0033131A" w:rsidRDefault="000F17D6" w:rsidP="0033131A">
      <w:pPr>
        <w:rPr>
          <w:rFonts w:ascii="Joost" w:hAnsi="Joost" w:hint="eastAsia"/>
          <w:b/>
          <w:bCs/>
          <w:sz w:val="23"/>
          <w:szCs w:val="23"/>
        </w:rPr>
      </w:pPr>
    </w:p>
    <w:p w14:paraId="3DC84B23" w14:textId="0E649DCD" w:rsidR="000F17D6" w:rsidRPr="0033131A" w:rsidRDefault="000F17D6" w:rsidP="0033131A">
      <w:pPr>
        <w:rPr>
          <w:rFonts w:ascii="Joost" w:hAnsi="Joost" w:hint="eastAsia"/>
          <w:b/>
          <w:bCs/>
          <w:sz w:val="23"/>
          <w:szCs w:val="23"/>
        </w:rPr>
      </w:pPr>
      <w:r w:rsidRPr="0033131A">
        <w:rPr>
          <w:rFonts w:ascii="Joost" w:hAnsi="Joost"/>
          <w:b/>
          <w:bCs/>
          <w:sz w:val="23"/>
          <w:szCs w:val="23"/>
        </w:rPr>
        <w:t xml:space="preserve">DĖL </w:t>
      </w:r>
      <w:r w:rsidR="00355364" w:rsidRPr="00355364">
        <w:rPr>
          <w:rFonts w:ascii="Joost" w:hAnsi="Joost"/>
          <w:b/>
          <w:bCs/>
          <w:caps/>
          <w:sz w:val="23"/>
          <w:szCs w:val="23"/>
        </w:rPr>
        <w:t>gauto paklausimo</w:t>
      </w:r>
    </w:p>
    <w:p w14:paraId="47F7602C" w14:textId="77777777" w:rsidR="000F17D6" w:rsidRPr="0033131A" w:rsidRDefault="000F17D6" w:rsidP="0033131A">
      <w:pPr>
        <w:rPr>
          <w:rFonts w:ascii="Joost" w:hAnsi="Joost" w:hint="eastAsia"/>
          <w:b/>
          <w:bCs/>
          <w:sz w:val="23"/>
          <w:szCs w:val="23"/>
        </w:rPr>
      </w:pPr>
    </w:p>
    <w:p w14:paraId="4FE42B50" w14:textId="77777777" w:rsidR="00DF21AE" w:rsidRPr="0033131A" w:rsidRDefault="00DF21AE" w:rsidP="0033131A">
      <w:pPr>
        <w:ind w:firstLine="851"/>
        <w:jc w:val="both"/>
        <w:rPr>
          <w:rFonts w:ascii="Joost" w:hAnsi="Joost" w:hint="eastAsia"/>
          <w:sz w:val="23"/>
          <w:szCs w:val="23"/>
        </w:rPr>
      </w:pPr>
    </w:p>
    <w:p w14:paraId="6584E010" w14:textId="77777777" w:rsidR="00DF21AE" w:rsidRPr="0033131A" w:rsidRDefault="00DF21AE" w:rsidP="0033131A">
      <w:pPr>
        <w:ind w:firstLine="851"/>
        <w:jc w:val="both"/>
        <w:rPr>
          <w:rFonts w:ascii="Joost" w:hAnsi="Joost" w:hint="eastAsia"/>
          <w:sz w:val="23"/>
          <w:szCs w:val="23"/>
        </w:rPr>
      </w:pPr>
    </w:p>
    <w:p w14:paraId="7745C7C5" w14:textId="44A275E1" w:rsidR="00DF21AE" w:rsidRPr="00DF21AE" w:rsidRDefault="00DF21AE" w:rsidP="0082564B">
      <w:pPr>
        <w:ind w:firstLine="567"/>
        <w:jc w:val="both"/>
        <w:rPr>
          <w:rFonts w:ascii="Joost" w:hAnsi="Joost" w:hint="eastAsia"/>
          <w:sz w:val="23"/>
          <w:szCs w:val="23"/>
        </w:rPr>
      </w:pPr>
      <w:r w:rsidRPr="00DF21AE">
        <w:rPr>
          <w:rFonts w:ascii="Joost" w:hAnsi="Joost"/>
          <w:sz w:val="23"/>
          <w:szCs w:val="23"/>
        </w:rPr>
        <w:t xml:space="preserve">Viešoji įstaiga CPO LT (toliau – CPO LT), </w:t>
      </w:r>
      <w:bookmarkStart w:id="0" w:name="_Hlk120190959"/>
      <w:r w:rsidRPr="0033131A">
        <w:rPr>
          <w:rFonts w:ascii="Joost" w:hAnsi="Joost"/>
          <w:sz w:val="23"/>
          <w:szCs w:val="23"/>
        </w:rPr>
        <w:t xml:space="preserve">vykdydama viešąjį pirkimą </w:t>
      </w:r>
      <w:r w:rsidRPr="0033131A">
        <w:rPr>
          <w:rFonts w:ascii="Joost" w:hAnsi="Joost" w:cs="Calibri"/>
          <w:sz w:val="23"/>
          <w:szCs w:val="23"/>
        </w:rPr>
        <w:t>„</w:t>
      </w:r>
      <w:r w:rsidRPr="0033131A">
        <w:rPr>
          <w:rFonts w:ascii="Joost" w:hAnsi="Joost"/>
          <w:b/>
          <w:bCs/>
          <w:i/>
          <w:iCs/>
          <w:sz w:val="23"/>
          <w:szCs w:val="23"/>
        </w:rPr>
        <w:t>Aušinimo sistemos įsigijimas ir sumontavimas</w:t>
      </w:r>
      <w:r w:rsidRPr="0033131A">
        <w:rPr>
          <w:rFonts w:ascii="Joost" w:hAnsi="Joost" w:cs="Calibri"/>
          <w:sz w:val="23"/>
          <w:szCs w:val="23"/>
        </w:rPr>
        <w:t xml:space="preserve">“ (CVP IS pirkimo Nr. 7086899), vykdomo atviro (supaprastinto) konkurso </w:t>
      </w:r>
      <w:r w:rsidRPr="0033131A">
        <w:rPr>
          <w:rFonts w:ascii="Joost" w:hAnsi="Joost"/>
          <w:sz w:val="23"/>
          <w:szCs w:val="23"/>
        </w:rPr>
        <w:t>būdu (toliau – Pirkimas)</w:t>
      </w:r>
      <w:r w:rsidRPr="00DF21AE">
        <w:rPr>
          <w:rFonts w:ascii="Joost" w:hAnsi="Joost"/>
          <w:sz w:val="23"/>
          <w:szCs w:val="23"/>
        </w:rPr>
        <w:t xml:space="preserve">, </w:t>
      </w:r>
      <w:bookmarkEnd w:id="0"/>
      <w:r w:rsidRPr="00DF21AE">
        <w:rPr>
          <w:rFonts w:ascii="Joost" w:hAnsi="Joost"/>
          <w:sz w:val="23"/>
          <w:szCs w:val="23"/>
        </w:rPr>
        <w:t>2026-04-</w:t>
      </w:r>
      <w:r w:rsidR="00684369">
        <w:rPr>
          <w:rFonts w:ascii="Joost" w:hAnsi="Joost"/>
          <w:sz w:val="23"/>
          <w:szCs w:val="23"/>
        </w:rPr>
        <w:t>29</w:t>
      </w:r>
      <w:r w:rsidRPr="00DF21AE">
        <w:rPr>
          <w:rFonts w:ascii="Joost" w:hAnsi="Joost"/>
          <w:sz w:val="23"/>
          <w:szCs w:val="23"/>
        </w:rPr>
        <w:t xml:space="preserve"> CVP IS priemonėmis gavo potencialaus tiekėjo paklausim</w:t>
      </w:r>
      <w:r w:rsidRPr="0033131A">
        <w:rPr>
          <w:rFonts w:ascii="Joost" w:hAnsi="Joost"/>
          <w:sz w:val="23"/>
          <w:szCs w:val="23"/>
        </w:rPr>
        <w:t>ą</w:t>
      </w:r>
      <w:r w:rsidRPr="00DF21AE">
        <w:rPr>
          <w:rFonts w:ascii="Joost" w:hAnsi="Joost"/>
          <w:sz w:val="23"/>
          <w:szCs w:val="23"/>
        </w:rPr>
        <w:t>.</w:t>
      </w:r>
    </w:p>
    <w:p w14:paraId="4B0DBA84" w14:textId="5A57F5B3" w:rsidR="00DF21AE" w:rsidRPr="00DF21AE" w:rsidRDefault="00DF21AE" w:rsidP="0082564B">
      <w:pPr>
        <w:ind w:firstLine="567"/>
        <w:jc w:val="both"/>
        <w:rPr>
          <w:rFonts w:ascii="Joost" w:hAnsi="Joost" w:hint="eastAsia"/>
          <w:sz w:val="23"/>
          <w:szCs w:val="23"/>
        </w:rPr>
      </w:pPr>
      <w:r w:rsidRPr="00DF21AE">
        <w:rPr>
          <w:rFonts w:ascii="Joost" w:hAnsi="Joost"/>
          <w:sz w:val="23"/>
          <w:szCs w:val="23"/>
        </w:rPr>
        <w:t>P</w:t>
      </w:r>
      <w:r w:rsidRPr="0033131A">
        <w:rPr>
          <w:rFonts w:ascii="Joost" w:hAnsi="Joost" w:cs="Calibri"/>
          <w:noProof/>
          <w:sz w:val="23"/>
          <w:szCs w:val="23"/>
        </w:rPr>
        <w:t xml:space="preserve">aklausimas pateiktas laikantis Pirkimo dokumentų Specialiųjų sąlygų 1 priedo „Terminai“ lentelės 3 eil. nustatyto termino </w:t>
      </w:r>
      <w:r w:rsidRPr="0033131A">
        <w:rPr>
          <w:rFonts w:ascii="Joost" w:hAnsi="Joost" w:cs="Calibri"/>
          <w:i/>
          <w:iCs/>
          <w:noProof/>
          <w:sz w:val="23"/>
          <w:szCs w:val="23"/>
        </w:rPr>
        <w:t>„Prašymą paaiškinti, patikslinti pirkimo sąlygas tiekėjas turi pateikti ne vėliau kaip: 6 (šešios) dienos iki pasiūlymų pateikimo dienos.“</w:t>
      </w:r>
      <w:r w:rsidRPr="0033131A">
        <w:rPr>
          <w:rFonts w:ascii="Joost" w:hAnsi="Joost" w:cs="Calibri"/>
          <w:noProof/>
          <w:sz w:val="23"/>
          <w:szCs w:val="23"/>
        </w:rPr>
        <w:t>, t. y. pateiktas laiku, todėl nagrinėtinas</w:t>
      </w:r>
      <w:r w:rsidRPr="00DF21AE">
        <w:rPr>
          <w:rFonts w:ascii="Joost" w:hAnsi="Joost"/>
          <w:sz w:val="23"/>
          <w:szCs w:val="23"/>
        </w:rPr>
        <w:t>.</w:t>
      </w:r>
    </w:p>
    <w:p w14:paraId="68B92DCC" w14:textId="1F21E18A" w:rsidR="00DF21AE" w:rsidRPr="00DF21AE" w:rsidRDefault="00DF21AE" w:rsidP="0082564B">
      <w:pPr>
        <w:ind w:firstLine="567"/>
        <w:jc w:val="both"/>
        <w:rPr>
          <w:rFonts w:ascii="Joost" w:hAnsi="Joost" w:hint="eastAsia"/>
          <w:sz w:val="23"/>
          <w:szCs w:val="23"/>
        </w:rPr>
      </w:pPr>
      <w:r w:rsidRPr="00DF21AE">
        <w:rPr>
          <w:rFonts w:ascii="Joost" w:hAnsi="Joost"/>
          <w:sz w:val="23"/>
          <w:szCs w:val="23"/>
        </w:rPr>
        <w:t>CPO LT viešojo pirkimo komisija (toliau – Komisija), vadovaudamasi Lietuvos Respublikos viešųjų pirkimų įstatymo (toliau – VPĮ) 36 str. 5 d. ir Pirkimo dokumentų Bendrųjų sąlygų 5.2 p., teikia atsakym</w:t>
      </w:r>
      <w:r w:rsidRPr="0033131A">
        <w:rPr>
          <w:rFonts w:ascii="Joost" w:hAnsi="Joost"/>
          <w:sz w:val="23"/>
          <w:szCs w:val="23"/>
        </w:rPr>
        <w:t>ą</w:t>
      </w:r>
      <w:r w:rsidRPr="00DF21AE">
        <w:rPr>
          <w:rFonts w:ascii="Joost" w:hAnsi="Joost"/>
          <w:sz w:val="23"/>
          <w:szCs w:val="23"/>
        </w:rPr>
        <w:t xml:space="preserve"> į paklausi</w:t>
      </w:r>
      <w:r w:rsidRPr="0033131A">
        <w:rPr>
          <w:rFonts w:ascii="Joost" w:hAnsi="Joost"/>
          <w:sz w:val="23"/>
          <w:szCs w:val="23"/>
        </w:rPr>
        <w:t>m</w:t>
      </w:r>
      <w:r w:rsidRPr="00DF21AE">
        <w:rPr>
          <w:rFonts w:ascii="Joost" w:hAnsi="Joost"/>
          <w:sz w:val="23"/>
          <w:szCs w:val="23"/>
        </w:rPr>
        <w:t>e pateikt</w:t>
      </w:r>
      <w:r w:rsidRPr="0033131A">
        <w:rPr>
          <w:rFonts w:ascii="Joost" w:hAnsi="Joost"/>
          <w:sz w:val="23"/>
          <w:szCs w:val="23"/>
        </w:rPr>
        <w:t>ą</w:t>
      </w:r>
      <w:r w:rsidRPr="00DF21AE">
        <w:rPr>
          <w:rFonts w:ascii="Joost" w:hAnsi="Joost"/>
          <w:sz w:val="23"/>
          <w:szCs w:val="23"/>
        </w:rPr>
        <w:t xml:space="preserve"> klausim</w:t>
      </w:r>
      <w:r w:rsidRPr="0033131A">
        <w:rPr>
          <w:rFonts w:ascii="Joost" w:hAnsi="Joost"/>
          <w:sz w:val="23"/>
          <w:szCs w:val="23"/>
        </w:rPr>
        <w:t>ą</w:t>
      </w:r>
      <w:r w:rsidRPr="00DF21AE">
        <w:rPr>
          <w:rFonts w:ascii="Joost" w:hAnsi="Joost"/>
          <w:sz w:val="23"/>
          <w:szCs w:val="23"/>
        </w:rPr>
        <w:t>:</w:t>
      </w:r>
    </w:p>
    <w:p w14:paraId="225E941A" w14:textId="77777777" w:rsidR="00DF21AE" w:rsidRPr="0033131A" w:rsidRDefault="00DF21AE" w:rsidP="0033131A">
      <w:pPr>
        <w:ind w:firstLine="851"/>
        <w:jc w:val="both"/>
        <w:rPr>
          <w:rFonts w:ascii="Joost" w:hAnsi="Joost" w:hint="eastAsia"/>
          <w:sz w:val="23"/>
          <w:szCs w:val="23"/>
        </w:rPr>
      </w:pPr>
    </w:p>
    <w:tbl>
      <w:tblPr>
        <w:tblStyle w:val="TableGrid"/>
        <w:tblW w:w="9781" w:type="dxa"/>
        <w:tblInd w:w="-5" w:type="dxa"/>
        <w:tblLook w:val="04A0" w:firstRow="1" w:lastRow="0" w:firstColumn="1" w:lastColumn="0" w:noHBand="0" w:noVBand="1"/>
      </w:tblPr>
      <w:tblGrid>
        <w:gridCol w:w="9781"/>
      </w:tblGrid>
      <w:tr w:rsidR="00C64A61" w:rsidRPr="00C64A61" w14:paraId="4F61607E" w14:textId="77777777" w:rsidTr="0082564B">
        <w:trPr>
          <w:trHeight w:val="368"/>
        </w:trPr>
        <w:tc>
          <w:tcPr>
            <w:tcW w:w="978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36907E9" w14:textId="77777777" w:rsidR="00C64A61" w:rsidRPr="00C64A61" w:rsidRDefault="00C64A61" w:rsidP="0033131A">
            <w:pPr>
              <w:jc w:val="both"/>
              <w:rPr>
                <w:rFonts w:ascii="Joost" w:hAnsi="Joost" w:hint="eastAsia"/>
                <w:b/>
                <w:bCs/>
                <w:sz w:val="23"/>
                <w:szCs w:val="23"/>
                <w:lang w:val="lt-LT"/>
              </w:rPr>
            </w:pPr>
            <w:r w:rsidRPr="00C64A61">
              <w:rPr>
                <w:rFonts w:ascii="Joost" w:hAnsi="Joost"/>
                <w:b/>
                <w:bCs/>
                <w:sz w:val="23"/>
                <w:szCs w:val="23"/>
                <w:lang w:val="lt-LT"/>
              </w:rPr>
              <w:t xml:space="preserve">Klausimas 1 </w:t>
            </w:r>
            <w:r w:rsidRPr="00C64A61">
              <w:rPr>
                <w:rFonts w:ascii="Joost" w:hAnsi="Joost"/>
                <w:sz w:val="23"/>
                <w:szCs w:val="23"/>
                <w:lang w:val="lt-LT"/>
              </w:rPr>
              <w:t>(klausimo tekstas netaisytas)</w:t>
            </w:r>
          </w:p>
        </w:tc>
      </w:tr>
      <w:tr w:rsidR="00C64A61" w:rsidRPr="00C64A61" w14:paraId="02DE666B" w14:textId="77777777" w:rsidTr="0082564B">
        <w:trPr>
          <w:trHeight w:val="329"/>
        </w:trPr>
        <w:tc>
          <w:tcPr>
            <w:tcW w:w="9781" w:type="dxa"/>
            <w:tcBorders>
              <w:top w:val="single" w:sz="4" w:space="0" w:color="auto"/>
              <w:left w:val="single" w:sz="4" w:space="0" w:color="auto"/>
              <w:bottom w:val="single" w:sz="4" w:space="0" w:color="auto"/>
              <w:right w:val="single" w:sz="4" w:space="0" w:color="auto"/>
            </w:tcBorders>
            <w:hideMark/>
          </w:tcPr>
          <w:p w14:paraId="65BF9C5C" w14:textId="2A991EC1" w:rsidR="00C64A61" w:rsidRPr="00C64A61" w:rsidRDefault="00684369" w:rsidP="00684369">
            <w:pPr>
              <w:jc w:val="both"/>
              <w:rPr>
                <w:rFonts w:ascii="Joost" w:hAnsi="Joost" w:hint="eastAsia"/>
                <w:i/>
                <w:iCs/>
                <w:sz w:val="23"/>
                <w:szCs w:val="23"/>
                <w:lang w:val="lt-LT"/>
              </w:rPr>
            </w:pPr>
            <w:r w:rsidRPr="00684369">
              <w:rPr>
                <w:rFonts w:ascii="Joost" w:hAnsi="Joost" w:cs="Calibri"/>
                <w:i/>
                <w:iCs/>
                <w:noProof/>
                <w:sz w:val="23"/>
                <w:szCs w:val="23"/>
                <w:lang w:val="lt-LT"/>
              </w:rPr>
              <w:t>Laba diena,</w:t>
            </w:r>
            <w:r>
              <w:rPr>
                <w:rFonts w:ascii="Joost" w:hAnsi="Joost" w:cs="Calibri"/>
                <w:i/>
                <w:iCs/>
                <w:noProof/>
                <w:sz w:val="23"/>
                <w:szCs w:val="23"/>
                <w:lang w:val="lt-LT"/>
              </w:rPr>
              <w:t xml:space="preserve"> </w:t>
            </w:r>
            <w:r w:rsidRPr="00684369">
              <w:rPr>
                <w:rFonts w:ascii="Joost" w:hAnsi="Joost" w:cs="Calibri"/>
                <w:i/>
                <w:iCs/>
                <w:noProof/>
                <w:sz w:val="23"/>
                <w:szCs w:val="23"/>
                <w:lang w:val="lt-LT"/>
              </w:rPr>
              <w:t>pakartotinai prašome nurodyti kontaktinį asmenį dėl objekto apžiūros, ačiū.</w:t>
            </w:r>
          </w:p>
        </w:tc>
      </w:tr>
      <w:tr w:rsidR="00C64A61" w:rsidRPr="00C64A61" w14:paraId="43E00FB2" w14:textId="77777777" w:rsidTr="0082564B">
        <w:trPr>
          <w:trHeight w:val="366"/>
        </w:trPr>
        <w:tc>
          <w:tcPr>
            <w:tcW w:w="9781" w:type="dxa"/>
            <w:tcBorders>
              <w:top w:val="single" w:sz="4" w:space="0" w:color="auto"/>
              <w:left w:val="single" w:sz="4" w:space="0" w:color="auto"/>
              <w:bottom w:val="single" w:sz="4" w:space="0" w:color="auto"/>
              <w:right w:val="single" w:sz="4" w:space="0" w:color="auto"/>
            </w:tcBorders>
            <w:hideMark/>
          </w:tcPr>
          <w:p w14:paraId="290BC70D" w14:textId="77777777" w:rsidR="00C64A61" w:rsidRPr="00C64A61" w:rsidRDefault="00C64A61" w:rsidP="0033131A">
            <w:pPr>
              <w:jc w:val="both"/>
              <w:rPr>
                <w:rFonts w:ascii="Joost" w:hAnsi="Joost" w:hint="eastAsia"/>
                <w:sz w:val="23"/>
                <w:szCs w:val="23"/>
                <w:lang w:val="lt-LT"/>
              </w:rPr>
            </w:pPr>
            <w:r w:rsidRPr="00C64A61">
              <w:rPr>
                <w:rFonts w:ascii="Joost" w:hAnsi="Joost"/>
                <w:b/>
                <w:bCs/>
                <w:sz w:val="23"/>
                <w:szCs w:val="23"/>
                <w:lang w:val="lt-LT"/>
              </w:rPr>
              <w:t>Atsakymas</w:t>
            </w:r>
          </w:p>
        </w:tc>
      </w:tr>
      <w:tr w:rsidR="00C64A61" w:rsidRPr="00C64A61" w14:paraId="3F2D66B7" w14:textId="77777777" w:rsidTr="0082564B">
        <w:trPr>
          <w:trHeight w:val="400"/>
        </w:trPr>
        <w:tc>
          <w:tcPr>
            <w:tcW w:w="9781" w:type="dxa"/>
            <w:tcBorders>
              <w:top w:val="single" w:sz="4" w:space="0" w:color="auto"/>
              <w:left w:val="single" w:sz="4" w:space="0" w:color="auto"/>
              <w:bottom w:val="single" w:sz="4" w:space="0" w:color="auto"/>
              <w:right w:val="single" w:sz="4" w:space="0" w:color="auto"/>
            </w:tcBorders>
            <w:hideMark/>
          </w:tcPr>
          <w:p w14:paraId="0EE567AC" w14:textId="29E48C9D" w:rsidR="00684369" w:rsidRDefault="00C64A61" w:rsidP="00684369">
            <w:pPr>
              <w:jc w:val="both"/>
              <w:rPr>
                <w:rFonts w:ascii="Joost" w:hAnsi="Joost" w:cs="Calibri" w:hint="eastAsia"/>
                <w:sz w:val="23"/>
                <w:szCs w:val="23"/>
                <w:lang w:val="lt-LT"/>
              </w:rPr>
            </w:pPr>
            <w:r w:rsidRPr="0033131A">
              <w:rPr>
                <w:rFonts w:ascii="Joost" w:hAnsi="Joost" w:cs="Calibri"/>
                <w:noProof/>
                <w:sz w:val="23"/>
                <w:szCs w:val="23"/>
                <w:lang w:val="lt-LT"/>
              </w:rPr>
              <w:t xml:space="preserve">Informuojame, </w:t>
            </w:r>
            <w:r w:rsidR="00684369">
              <w:rPr>
                <w:rFonts w:ascii="Joost" w:hAnsi="Joost" w:cs="Calibri"/>
                <w:noProof/>
                <w:sz w:val="23"/>
                <w:szCs w:val="23"/>
                <w:lang w:val="lt-LT"/>
              </w:rPr>
              <w:t xml:space="preserve">kad </w:t>
            </w:r>
            <w:r w:rsidR="00684369" w:rsidRPr="00F8783B">
              <w:rPr>
                <w:rFonts w:ascii="Joost" w:hAnsi="Joost" w:cs="Calibri"/>
                <w:noProof/>
                <w:sz w:val="23"/>
                <w:szCs w:val="23"/>
                <w:lang w:val="lt-LT"/>
              </w:rPr>
              <w:t>Komisija 2026-04-15 savo iniciatyva patikslino Pirkimo dokumentus ir suteikė</w:t>
            </w:r>
            <w:r w:rsidR="00684369">
              <w:rPr>
                <w:rFonts w:ascii="Joost" w:hAnsi="Joost" w:cs="Calibri"/>
                <w:i/>
                <w:iCs/>
                <w:noProof/>
                <w:sz w:val="23"/>
                <w:szCs w:val="23"/>
                <w:lang w:val="lt-LT"/>
              </w:rPr>
              <w:t xml:space="preserve"> </w:t>
            </w:r>
            <w:r w:rsidR="00684369" w:rsidRPr="00CE6FD5">
              <w:rPr>
                <w:rFonts w:ascii="Joost" w:hAnsi="Joost" w:cs="Calibri"/>
                <w:noProof/>
                <w:sz w:val="23"/>
                <w:szCs w:val="23"/>
                <w:lang w:val="lt-LT"/>
              </w:rPr>
              <w:t>galimyb</w:t>
            </w:r>
            <w:r w:rsidR="00684369">
              <w:rPr>
                <w:rFonts w:ascii="Joost" w:hAnsi="Joost" w:cs="Calibri"/>
                <w:noProof/>
                <w:sz w:val="23"/>
                <w:szCs w:val="23"/>
                <w:lang w:val="lt-LT"/>
              </w:rPr>
              <w:t>ę tiekėjams</w:t>
            </w:r>
            <w:r w:rsidR="00684369" w:rsidRPr="00CE6FD5">
              <w:rPr>
                <w:rFonts w:ascii="Joost" w:hAnsi="Joost" w:cs="Calibri"/>
                <w:noProof/>
                <w:sz w:val="23"/>
                <w:szCs w:val="23"/>
                <w:lang w:val="lt-LT"/>
              </w:rPr>
              <w:t xml:space="preserve"> apžiūrėti objektą ir jo prieigas, nesuteikiant prieigos prie riboto naudojimo zonų.</w:t>
            </w:r>
            <w:r w:rsidR="00684369">
              <w:rPr>
                <w:rFonts w:ascii="Joost" w:hAnsi="Joost" w:cs="Calibri"/>
                <w:noProof/>
                <w:sz w:val="23"/>
                <w:szCs w:val="23"/>
                <w:lang w:val="lt-LT"/>
              </w:rPr>
              <w:t xml:space="preserve"> </w:t>
            </w:r>
            <w:r w:rsidR="00684369" w:rsidRPr="00684369">
              <w:rPr>
                <w:rFonts w:ascii="Joost" w:hAnsi="Joost" w:cs="Calibri"/>
                <w:noProof/>
                <w:sz w:val="23"/>
                <w:szCs w:val="23"/>
                <w:lang w:val="lt-LT"/>
              </w:rPr>
              <w:t xml:space="preserve">Patikslintos </w:t>
            </w:r>
            <w:r w:rsidR="00684369" w:rsidRPr="00684369">
              <w:rPr>
                <w:rFonts w:ascii="Joost" w:hAnsi="Joost" w:cs="Calibri"/>
                <w:sz w:val="23"/>
                <w:szCs w:val="23"/>
                <w:lang w:val="lt-LT"/>
              </w:rPr>
              <w:t>Pirkimo dokumentų redakcijos buvo paskelbtos CVP IS prie Pirkimo dokumentų ir apie Pirkimo dokumentų tikslinimą perkančiosios organizacijos iniciatyva informuoti visi prie Pirkimo prisijungę tiekėjai (CVP IS pranešimo Nr. 610623)</w:t>
            </w:r>
            <w:r w:rsidR="00684369">
              <w:rPr>
                <w:rFonts w:ascii="Joost" w:hAnsi="Joost" w:cs="Calibri"/>
                <w:sz w:val="23"/>
                <w:szCs w:val="23"/>
                <w:lang w:val="lt-LT"/>
              </w:rPr>
              <w:t>.</w:t>
            </w:r>
          </w:p>
          <w:p w14:paraId="502122BF" w14:textId="4F632681" w:rsidR="00684369" w:rsidRDefault="00684369" w:rsidP="00684369">
            <w:pPr>
              <w:jc w:val="both"/>
              <w:rPr>
                <w:rFonts w:ascii="Joost" w:hAnsi="Joost" w:cs="Calibri" w:hint="eastAsia"/>
                <w:noProof/>
                <w:sz w:val="23"/>
                <w:szCs w:val="23"/>
                <w:lang w:val="lt-LT"/>
              </w:rPr>
            </w:pPr>
            <w:r>
              <w:rPr>
                <w:rFonts w:ascii="Joost" w:hAnsi="Joost" w:cs="Calibri"/>
                <w:noProof/>
                <w:sz w:val="23"/>
                <w:szCs w:val="23"/>
                <w:lang w:val="lt-LT"/>
              </w:rPr>
              <w:t xml:space="preserve">Pirkimo objekto apžiūra vykdoma Pirkimo </w:t>
            </w:r>
            <w:r w:rsidRPr="0033131A">
              <w:rPr>
                <w:rFonts w:ascii="Joost" w:hAnsi="Joost" w:cs="Calibri"/>
                <w:sz w:val="23"/>
                <w:szCs w:val="23"/>
                <w:lang w:val="lt-LT"/>
              </w:rPr>
              <w:t xml:space="preserve">dokumentų Specialiųjų pirkimo sąlygų 2.6 p. </w:t>
            </w:r>
            <w:r>
              <w:rPr>
                <w:rFonts w:ascii="Joost" w:hAnsi="Joost" w:cs="Calibri"/>
                <w:noProof/>
                <w:sz w:val="23"/>
                <w:szCs w:val="23"/>
                <w:lang w:val="lt-LT"/>
              </w:rPr>
              <w:t xml:space="preserve">nustatyta tvarka, t. y. </w:t>
            </w:r>
          </w:p>
          <w:p w14:paraId="37F58D81" w14:textId="4D4B9CF7" w:rsidR="0082564B" w:rsidRDefault="00C64A61" w:rsidP="0082564B">
            <w:pPr>
              <w:tabs>
                <w:tab w:val="left" w:pos="993"/>
              </w:tabs>
              <w:jc w:val="both"/>
              <w:rPr>
                <w:rFonts w:ascii="Joost" w:hAnsi="Joost" w:cs="Calibri" w:hint="eastAsia"/>
                <w:i/>
                <w:iCs/>
                <w:sz w:val="23"/>
                <w:szCs w:val="23"/>
                <w:lang w:val="lt-LT"/>
              </w:rPr>
            </w:pPr>
            <w:r w:rsidRPr="0082564B">
              <w:rPr>
                <w:rFonts w:ascii="Joost" w:hAnsi="Joost" w:cs="Calibri"/>
                <w:sz w:val="23"/>
                <w:szCs w:val="23"/>
                <w:lang w:val="lt-LT"/>
              </w:rPr>
              <w:t>„</w:t>
            </w:r>
            <w:r w:rsidRPr="0082564B">
              <w:rPr>
                <w:rFonts w:ascii="Joost" w:hAnsi="Joost" w:cstheme="minorHAnsi"/>
                <w:sz w:val="23"/>
                <w:szCs w:val="23"/>
                <w:lang w:val="lt-LT"/>
              </w:rPr>
              <w:t xml:space="preserve">2.6. </w:t>
            </w:r>
            <w:r w:rsidRPr="0082564B">
              <w:rPr>
                <w:rFonts w:ascii="Joost" w:hAnsi="Joost" w:cstheme="minorHAnsi"/>
                <w:i/>
                <w:iCs/>
                <w:sz w:val="23"/>
                <w:szCs w:val="23"/>
                <w:lang w:val="lt-LT"/>
              </w:rPr>
              <w:t xml:space="preserve">Perkančioji organizacija suteiks galimybę apžiūrėti objektą (darbų atlikimo vietą, paslaugų teikimo vietą, prekių pristatymo vietą). Perkančioji  organizacija rengs susitikimus su tiekėjais, jiems pageidaujant apžiūrėti pirkimo objektą. Perkančioji organizacija sudarys galimybę apžiūrėti pirkimo objektą kiekvienam tiekėjui atskirai. </w:t>
            </w:r>
            <w:r w:rsidRPr="00355364">
              <w:rPr>
                <w:rFonts w:ascii="Joost" w:hAnsi="Joost" w:cstheme="minorHAnsi"/>
                <w:i/>
                <w:iCs/>
                <w:color w:val="ED0000"/>
                <w:sz w:val="23"/>
                <w:szCs w:val="23"/>
                <w:lang w:val="lt-LT"/>
              </w:rPr>
              <w:t xml:space="preserve">Dėl pirkimo objekto apžiūros tiekėjas turi CVP IS priemonėmis pateikti prašymą ne vėliau kaip per specialiųjų pirkimo sąlygų priede „Terminai“ nustatytą terminą iki pasiūlymų pateikimo termino pabaigos. </w:t>
            </w:r>
            <w:r w:rsidRPr="0082564B">
              <w:rPr>
                <w:rFonts w:ascii="Joost" w:hAnsi="Joost" w:cstheme="minorHAnsi"/>
                <w:b/>
                <w:bCs/>
                <w:i/>
                <w:iCs/>
                <w:sz w:val="23"/>
                <w:szCs w:val="23"/>
                <w:u w:val="single"/>
                <w:lang w:val="lt-LT"/>
              </w:rPr>
              <w:t>Tiekėjui suteikiama galimybė apžiūrėti objektą ir jo prieigas, nesuteikiant prieigos prie riboto naudojimo zonų.</w:t>
            </w:r>
            <w:r w:rsidRPr="0082564B">
              <w:rPr>
                <w:rFonts w:ascii="Joost" w:hAnsi="Joost" w:cstheme="minorHAnsi"/>
                <w:i/>
                <w:iCs/>
                <w:sz w:val="23"/>
                <w:szCs w:val="23"/>
                <w:lang w:val="lt-LT"/>
              </w:rPr>
              <w:t xml:space="preserve"> Po pirkimo objekto apžiūros tiekėjas galės pateikti klausimus raštu. Perkančioji organizacija tiekėjo pateiktus klausimus ir atsakymus į juos paskelbs CVP IS priemonėmis ir išsiųs visiems prie pirkimo prisijungusiems tiekėjams, neatskleidžiant klausimus pateikusio tiekėjo tapatybės.</w:t>
            </w:r>
            <w:r w:rsidRPr="0082564B">
              <w:rPr>
                <w:rFonts w:ascii="Joost" w:hAnsi="Joost" w:cs="Calibri"/>
                <w:b/>
                <w:bCs/>
                <w:i/>
                <w:iCs/>
                <w:sz w:val="23"/>
                <w:szCs w:val="23"/>
                <w:lang w:val="lt-LT"/>
              </w:rPr>
              <w:t>“</w:t>
            </w:r>
          </w:p>
          <w:p w14:paraId="05C70592" w14:textId="36CAFCE4" w:rsidR="00C64A61" w:rsidRPr="00C64A61" w:rsidRDefault="00C64A61" w:rsidP="0033131A">
            <w:pPr>
              <w:jc w:val="both"/>
              <w:rPr>
                <w:rFonts w:ascii="Joost" w:hAnsi="Joost" w:hint="eastAsia"/>
                <w:sz w:val="23"/>
                <w:szCs w:val="23"/>
                <w:lang w:val="lt-LT"/>
              </w:rPr>
            </w:pPr>
          </w:p>
        </w:tc>
      </w:tr>
    </w:tbl>
    <w:p w14:paraId="534B6834" w14:textId="77777777" w:rsidR="0082564B" w:rsidRDefault="0082564B" w:rsidP="0082564B">
      <w:pPr>
        <w:ind w:firstLine="567"/>
        <w:jc w:val="both"/>
        <w:rPr>
          <w:rFonts w:ascii="Joost" w:hAnsi="Joost" w:hint="eastAsia"/>
          <w:sz w:val="23"/>
          <w:szCs w:val="23"/>
        </w:rPr>
      </w:pPr>
    </w:p>
    <w:p w14:paraId="4DED9DB4" w14:textId="77777777" w:rsidR="004724B7" w:rsidRPr="0033131A" w:rsidRDefault="004724B7" w:rsidP="0033131A">
      <w:pPr>
        <w:tabs>
          <w:tab w:val="left" w:pos="1605"/>
        </w:tabs>
        <w:jc w:val="both"/>
        <w:rPr>
          <w:rFonts w:ascii="Joost" w:eastAsia="Times New Roman" w:hAnsi="Joost"/>
          <w:color w:val="000000"/>
          <w:sz w:val="23"/>
          <w:szCs w:val="23"/>
        </w:rPr>
      </w:pPr>
    </w:p>
    <w:p w14:paraId="2FC7F03D" w14:textId="20D198AA" w:rsidR="004724B7" w:rsidRPr="0033131A" w:rsidRDefault="004724B7" w:rsidP="0033131A">
      <w:pPr>
        <w:tabs>
          <w:tab w:val="left" w:pos="1605"/>
        </w:tabs>
        <w:jc w:val="both"/>
        <w:rPr>
          <w:rFonts w:ascii="Joost" w:eastAsia="Times New Roman" w:hAnsi="Joost"/>
          <w:color w:val="000000"/>
          <w:sz w:val="23"/>
          <w:szCs w:val="23"/>
        </w:rPr>
      </w:pPr>
      <w:r w:rsidRPr="0033131A">
        <w:rPr>
          <w:rFonts w:ascii="Joost" w:eastAsia="Times New Roman" w:hAnsi="Joost"/>
          <w:color w:val="000000"/>
          <w:sz w:val="23"/>
          <w:szCs w:val="23"/>
        </w:rPr>
        <w:t>Pagarbiai</w:t>
      </w:r>
    </w:p>
    <w:p w14:paraId="24581294" w14:textId="77777777" w:rsidR="004724B7" w:rsidRPr="0033131A" w:rsidRDefault="004724B7" w:rsidP="0033131A">
      <w:pPr>
        <w:tabs>
          <w:tab w:val="left" w:pos="1605"/>
        </w:tabs>
        <w:jc w:val="both"/>
        <w:rPr>
          <w:rFonts w:ascii="Joost" w:eastAsia="Times New Roman" w:hAnsi="Joost"/>
          <w:color w:val="000000"/>
          <w:sz w:val="23"/>
          <w:szCs w:val="23"/>
        </w:rPr>
      </w:pPr>
    </w:p>
    <w:p w14:paraId="7478A476" w14:textId="081681EA" w:rsidR="00E4040A" w:rsidRPr="0033131A" w:rsidRDefault="004724B7" w:rsidP="0033131A">
      <w:pPr>
        <w:tabs>
          <w:tab w:val="left" w:pos="1605"/>
        </w:tabs>
        <w:jc w:val="both"/>
        <w:rPr>
          <w:rFonts w:ascii="Joost" w:hAnsi="Joost" w:hint="eastAsia"/>
          <w:sz w:val="23"/>
          <w:szCs w:val="23"/>
        </w:rPr>
      </w:pPr>
      <w:r w:rsidRPr="0033131A">
        <w:rPr>
          <w:rFonts w:ascii="Joost" w:eastAsia="Times New Roman" w:hAnsi="Joost"/>
          <w:color w:val="000000"/>
          <w:sz w:val="23"/>
          <w:szCs w:val="23"/>
        </w:rPr>
        <w:t>Komisija</w:t>
      </w:r>
    </w:p>
    <w:sectPr w:rsidR="00E4040A" w:rsidRPr="0033131A" w:rsidSect="0082564B">
      <w:headerReference w:type="default" r:id="rId8"/>
      <w:footerReference w:type="default" r:id="rId9"/>
      <w:headerReference w:type="first" r:id="rId10"/>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BDEF" w14:textId="77777777" w:rsidR="005B4FA3" w:rsidRDefault="005B4FA3" w:rsidP="000F17D6">
      <w:r>
        <w:separator/>
      </w:r>
    </w:p>
  </w:endnote>
  <w:endnote w:type="continuationSeparator" w:id="0">
    <w:p w14:paraId="3E7E1A6F" w14:textId="77777777" w:rsidR="005B4FA3" w:rsidRDefault="005B4FA3"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ost">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568C" w14:textId="77777777" w:rsidR="005B4FA3" w:rsidRDefault="005B4FA3" w:rsidP="000F17D6">
      <w:r>
        <w:separator/>
      </w:r>
    </w:p>
  </w:footnote>
  <w:footnote w:type="continuationSeparator" w:id="0">
    <w:p w14:paraId="047FEFAB" w14:textId="77777777" w:rsidR="005B4FA3" w:rsidRDefault="005B4FA3"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269046477"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D4682"/>
    <w:multiLevelType w:val="multilevel"/>
    <w:tmpl w:val="57387110"/>
    <w:lvl w:ilvl="0">
      <w:start w:val="1"/>
      <w:numFmt w:val="decimal"/>
      <w:lvlText w:val="%1."/>
      <w:lvlJc w:val="left"/>
      <w:pPr>
        <w:ind w:left="927" w:hanging="360"/>
      </w:pPr>
      <w:rPr>
        <w:rFonts w:ascii="Joost" w:eastAsia="Arial Unicode MS" w:hAnsi="Joost" w:cs="Calibri"/>
      </w:rPr>
    </w:lvl>
    <w:lvl w:ilvl="1">
      <w:start w:val="1"/>
      <w:numFmt w:val="decimal"/>
      <w:isLgl/>
      <w:lvlText w:val="%1.%2."/>
      <w:lvlJc w:val="left"/>
      <w:pPr>
        <w:ind w:left="1647" w:hanging="720"/>
      </w:pPr>
      <w:rPr>
        <w:rFonts w:hint="default"/>
        <w:i w:val="0"/>
        <w:iCs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num w:numId="1" w16cid:durableId="947930672">
    <w:abstractNumId w:val="0"/>
  </w:num>
  <w:num w:numId="2" w16cid:durableId="934439856">
    <w:abstractNumId w:val="2"/>
  </w:num>
  <w:num w:numId="3" w16cid:durableId="2111776423">
    <w:abstractNumId w:val="1"/>
  </w:num>
  <w:num w:numId="4" w16cid:durableId="1502771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06C2"/>
    <w:rsid w:val="00021AAF"/>
    <w:rsid w:val="0003099E"/>
    <w:rsid w:val="00051BE0"/>
    <w:rsid w:val="00052BEA"/>
    <w:rsid w:val="000673B7"/>
    <w:rsid w:val="00077CE9"/>
    <w:rsid w:val="000841CC"/>
    <w:rsid w:val="00095D5F"/>
    <w:rsid w:val="000A535B"/>
    <w:rsid w:val="000B64AE"/>
    <w:rsid w:val="000B7B5D"/>
    <w:rsid w:val="000D236B"/>
    <w:rsid w:val="000E3188"/>
    <w:rsid w:val="000F17D6"/>
    <w:rsid w:val="000F3B8C"/>
    <w:rsid w:val="00106B1F"/>
    <w:rsid w:val="0012598C"/>
    <w:rsid w:val="00126391"/>
    <w:rsid w:val="001276CB"/>
    <w:rsid w:val="001330B6"/>
    <w:rsid w:val="00135FD6"/>
    <w:rsid w:val="001424B9"/>
    <w:rsid w:val="001558F6"/>
    <w:rsid w:val="00180221"/>
    <w:rsid w:val="0018467C"/>
    <w:rsid w:val="001954C2"/>
    <w:rsid w:val="001C257D"/>
    <w:rsid w:val="001D09AB"/>
    <w:rsid w:val="001E1058"/>
    <w:rsid w:val="001E5687"/>
    <w:rsid w:val="001F2CC0"/>
    <w:rsid w:val="0021571A"/>
    <w:rsid w:val="00223999"/>
    <w:rsid w:val="0023122B"/>
    <w:rsid w:val="00240BAB"/>
    <w:rsid w:val="00254690"/>
    <w:rsid w:val="00271041"/>
    <w:rsid w:val="0027706E"/>
    <w:rsid w:val="00283410"/>
    <w:rsid w:val="00284547"/>
    <w:rsid w:val="002938C1"/>
    <w:rsid w:val="002C037D"/>
    <w:rsid w:val="002D0BC5"/>
    <w:rsid w:val="002E0DBC"/>
    <w:rsid w:val="002E456B"/>
    <w:rsid w:val="00300312"/>
    <w:rsid w:val="003023A9"/>
    <w:rsid w:val="0030579F"/>
    <w:rsid w:val="003137F2"/>
    <w:rsid w:val="00322AFC"/>
    <w:rsid w:val="00323C05"/>
    <w:rsid w:val="0032721B"/>
    <w:rsid w:val="0033131A"/>
    <w:rsid w:val="00334834"/>
    <w:rsid w:val="003512B1"/>
    <w:rsid w:val="00355364"/>
    <w:rsid w:val="0036075B"/>
    <w:rsid w:val="00362939"/>
    <w:rsid w:val="0036365C"/>
    <w:rsid w:val="003700F4"/>
    <w:rsid w:val="0037557A"/>
    <w:rsid w:val="00376B34"/>
    <w:rsid w:val="003845B9"/>
    <w:rsid w:val="0039042F"/>
    <w:rsid w:val="003A6492"/>
    <w:rsid w:val="003B217B"/>
    <w:rsid w:val="003B610D"/>
    <w:rsid w:val="003B6880"/>
    <w:rsid w:val="003C6C5D"/>
    <w:rsid w:val="003D08CE"/>
    <w:rsid w:val="003E1BFD"/>
    <w:rsid w:val="003E6BB5"/>
    <w:rsid w:val="004230F7"/>
    <w:rsid w:val="00424191"/>
    <w:rsid w:val="0043535C"/>
    <w:rsid w:val="00445645"/>
    <w:rsid w:val="004657AE"/>
    <w:rsid w:val="004724B7"/>
    <w:rsid w:val="0048126B"/>
    <w:rsid w:val="004841E0"/>
    <w:rsid w:val="00490A3C"/>
    <w:rsid w:val="00494710"/>
    <w:rsid w:val="00494CBC"/>
    <w:rsid w:val="004A5103"/>
    <w:rsid w:val="004B4774"/>
    <w:rsid w:val="004B53CE"/>
    <w:rsid w:val="004B685D"/>
    <w:rsid w:val="004B73A5"/>
    <w:rsid w:val="004C601C"/>
    <w:rsid w:val="004D1F07"/>
    <w:rsid w:val="004F6AD6"/>
    <w:rsid w:val="00512F79"/>
    <w:rsid w:val="0051460F"/>
    <w:rsid w:val="00520B18"/>
    <w:rsid w:val="00524B8D"/>
    <w:rsid w:val="00530740"/>
    <w:rsid w:val="005642C6"/>
    <w:rsid w:val="005718E6"/>
    <w:rsid w:val="005B2B66"/>
    <w:rsid w:val="005B4238"/>
    <w:rsid w:val="005B4FA3"/>
    <w:rsid w:val="005D01EA"/>
    <w:rsid w:val="0060296D"/>
    <w:rsid w:val="006149DD"/>
    <w:rsid w:val="006157FF"/>
    <w:rsid w:val="006216C7"/>
    <w:rsid w:val="006369F5"/>
    <w:rsid w:val="00643516"/>
    <w:rsid w:val="00666A90"/>
    <w:rsid w:val="00672827"/>
    <w:rsid w:val="00677FAC"/>
    <w:rsid w:val="006810B3"/>
    <w:rsid w:val="00684369"/>
    <w:rsid w:val="006862E0"/>
    <w:rsid w:val="006908B5"/>
    <w:rsid w:val="006941A1"/>
    <w:rsid w:val="006A333C"/>
    <w:rsid w:val="006A3975"/>
    <w:rsid w:val="006E5D37"/>
    <w:rsid w:val="006E7A99"/>
    <w:rsid w:val="006F5CF6"/>
    <w:rsid w:val="007150FC"/>
    <w:rsid w:val="00717D5C"/>
    <w:rsid w:val="007254B9"/>
    <w:rsid w:val="00726F8B"/>
    <w:rsid w:val="007271E9"/>
    <w:rsid w:val="00774325"/>
    <w:rsid w:val="007772DB"/>
    <w:rsid w:val="0078244E"/>
    <w:rsid w:val="007A1699"/>
    <w:rsid w:val="007C7652"/>
    <w:rsid w:val="007D2CA0"/>
    <w:rsid w:val="007F0445"/>
    <w:rsid w:val="007F072F"/>
    <w:rsid w:val="007F123E"/>
    <w:rsid w:val="007F1C90"/>
    <w:rsid w:val="00800ACF"/>
    <w:rsid w:val="00801512"/>
    <w:rsid w:val="00801E82"/>
    <w:rsid w:val="0080655C"/>
    <w:rsid w:val="00811008"/>
    <w:rsid w:val="0081367D"/>
    <w:rsid w:val="008218BB"/>
    <w:rsid w:val="008251DE"/>
    <w:rsid w:val="0082564B"/>
    <w:rsid w:val="00860FEB"/>
    <w:rsid w:val="00876804"/>
    <w:rsid w:val="00876EDD"/>
    <w:rsid w:val="008814A7"/>
    <w:rsid w:val="0088508D"/>
    <w:rsid w:val="00892698"/>
    <w:rsid w:val="008B4D2F"/>
    <w:rsid w:val="008B59AC"/>
    <w:rsid w:val="008C4514"/>
    <w:rsid w:val="008C4EB6"/>
    <w:rsid w:val="008C73D8"/>
    <w:rsid w:val="008D3EA9"/>
    <w:rsid w:val="008D5736"/>
    <w:rsid w:val="008D7719"/>
    <w:rsid w:val="008E62D4"/>
    <w:rsid w:val="00901F52"/>
    <w:rsid w:val="00913578"/>
    <w:rsid w:val="00913764"/>
    <w:rsid w:val="009300FE"/>
    <w:rsid w:val="00935834"/>
    <w:rsid w:val="00940C42"/>
    <w:rsid w:val="00940E74"/>
    <w:rsid w:val="00943813"/>
    <w:rsid w:val="00992541"/>
    <w:rsid w:val="009A6FF3"/>
    <w:rsid w:val="009A7E52"/>
    <w:rsid w:val="009C00D7"/>
    <w:rsid w:val="009C6D53"/>
    <w:rsid w:val="009E5672"/>
    <w:rsid w:val="009F3B08"/>
    <w:rsid w:val="00A0048D"/>
    <w:rsid w:val="00A0291C"/>
    <w:rsid w:val="00A06DBF"/>
    <w:rsid w:val="00A1363C"/>
    <w:rsid w:val="00A25314"/>
    <w:rsid w:val="00A2774B"/>
    <w:rsid w:val="00A32CDF"/>
    <w:rsid w:val="00A35739"/>
    <w:rsid w:val="00A54493"/>
    <w:rsid w:val="00A67D15"/>
    <w:rsid w:val="00A71CBF"/>
    <w:rsid w:val="00A7578F"/>
    <w:rsid w:val="00A7668B"/>
    <w:rsid w:val="00A809D7"/>
    <w:rsid w:val="00A84892"/>
    <w:rsid w:val="00A93CB0"/>
    <w:rsid w:val="00A952B2"/>
    <w:rsid w:val="00AB3947"/>
    <w:rsid w:val="00AB476D"/>
    <w:rsid w:val="00AB7038"/>
    <w:rsid w:val="00AC0DC4"/>
    <w:rsid w:val="00AC36BC"/>
    <w:rsid w:val="00AD0C9D"/>
    <w:rsid w:val="00AF0680"/>
    <w:rsid w:val="00B16CC8"/>
    <w:rsid w:val="00B51631"/>
    <w:rsid w:val="00B6175A"/>
    <w:rsid w:val="00B62F87"/>
    <w:rsid w:val="00B635A5"/>
    <w:rsid w:val="00B77E46"/>
    <w:rsid w:val="00B83BD1"/>
    <w:rsid w:val="00B85DFF"/>
    <w:rsid w:val="00B8706B"/>
    <w:rsid w:val="00B87797"/>
    <w:rsid w:val="00BC4BBB"/>
    <w:rsid w:val="00BC5B88"/>
    <w:rsid w:val="00BC64B0"/>
    <w:rsid w:val="00BD075A"/>
    <w:rsid w:val="00BD3FF5"/>
    <w:rsid w:val="00BD61F3"/>
    <w:rsid w:val="00C0001C"/>
    <w:rsid w:val="00C04902"/>
    <w:rsid w:val="00C206F7"/>
    <w:rsid w:val="00C36859"/>
    <w:rsid w:val="00C628F6"/>
    <w:rsid w:val="00C64A61"/>
    <w:rsid w:val="00C773F1"/>
    <w:rsid w:val="00C802B5"/>
    <w:rsid w:val="00C918C4"/>
    <w:rsid w:val="00CA0D16"/>
    <w:rsid w:val="00CA71F1"/>
    <w:rsid w:val="00CB6EAD"/>
    <w:rsid w:val="00CC5F6C"/>
    <w:rsid w:val="00CD1404"/>
    <w:rsid w:val="00CE0EA3"/>
    <w:rsid w:val="00D14C3A"/>
    <w:rsid w:val="00D163F3"/>
    <w:rsid w:val="00D24506"/>
    <w:rsid w:val="00D545CB"/>
    <w:rsid w:val="00D66B6A"/>
    <w:rsid w:val="00D803EE"/>
    <w:rsid w:val="00D811A2"/>
    <w:rsid w:val="00DA0901"/>
    <w:rsid w:val="00DA106B"/>
    <w:rsid w:val="00DB5547"/>
    <w:rsid w:val="00DC75E3"/>
    <w:rsid w:val="00DD3F9D"/>
    <w:rsid w:val="00DD4DA4"/>
    <w:rsid w:val="00DE0558"/>
    <w:rsid w:val="00DE0A01"/>
    <w:rsid w:val="00DF21AE"/>
    <w:rsid w:val="00DF3CE3"/>
    <w:rsid w:val="00DF403B"/>
    <w:rsid w:val="00E04159"/>
    <w:rsid w:val="00E15D43"/>
    <w:rsid w:val="00E2476A"/>
    <w:rsid w:val="00E27A21"/>
    <w:rsid w:val="00E4040A"/>
    <w:rsid w:val="00E44E3B"/>
    <w:rsid w:val="00E525BB"/>
    <w:rsid w:val="00E60CD7"/>
    <w:rsid w:val="00E62888"/>
    <w:rsid w:val="00E65F29"/>
    <w:rsid w:val="00E70E69"/>
    <w:rsid w:val="00E72F3A"/>
    <w:rsid w:val="00E806E2"/>
    <w:rsid w:val="00E9653F"/>
    <w:rsid w:val="00EA3DE5"/>
    <w:rsid w:val="00EB03CE"/>
    <w:rsid w:val="00EB0D67"/>
    <w:rsid w:val="00EB5689"/>
    <w:rsid w:val="00ED4E78"/>
    <w:rsid w:val="00ED5612"/>
    <w:rsid w:val="00EE5266"/>
    <w:rsid w:val="00EE5D72"/>
    <w:rsid w:val="00EF4E78"/>
    <w:rsid w:val="00F05A3F"/>
    <w:rsid w:val="00F20BBA"/>
    <w:rsid w:val="00F2264C"/>
    <w:rsid w:val="00F275AB"/>
    <w:rsid w:val="00F3217E"/>
    <w:rsid w:val="00F36B90"/>
    <w:rsid w:val="00F37442"/>
    <w:rsid w:val="00F52AEA"/>
    <w:rsid w:val="00F64A61"/>
    <w:rsid w:val="00F67EB9"/>
    <w:rsid w:val="00F71DC1"/>
    <w:rsid w:val="00F91071"/>
    <w:rsid w:val="00F9214F"/>
    <w:rsid w:val="00F9235A"/>
    <w:rsid w:val="00F93255"/>
    <w:rsid w:val="00FB7943"/>
    <w:rsid w:val="00FC24C4"/>
    <w:rsid w:val="00FC6BEF"/>
    <w:rsid w:val="00FD612A"/>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qFormat/>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uiPriority w:val="59"/>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Fußnotentext Char,Fußnotentext Char1 Char,Schriftart: 9 pt Char1 Char,Schriftart: 8 pt Char Char1 Char,Fußnotentext Char Char Char,f,Char"/>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Fußnotentext Char Char,Fußnotentext Char1 Char Char,Schriftart: 9 pt Char1 Char Char,Schriftart: 8 pt Char Char1 Char Char,f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qFormat/>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yperlink">
    <w:name w:val="Hyperlink"/>
    <w:basedOn w:val="DefaultParagraphFont"/>
    <w:uiPriority w:val="99"/>
    <w:unhideWhenUsed/>
    <w:rsid w:val="00E44E3B"/>
    <w:rPr>
      <w:color w:val="467886" w:themeColor="hyperlink"/>
      <w:u w:val="single"/>
    </w:rPr>
  </w:style>
  <w:style w:type="character" w:styleId="UnresolvedMention">
    <w:name w:val="Unresolved Mention"/>
    <w:basedOn w:val="DefaultParagraphFont"/>
    <w:uiPriority w:val="99"/>
    <w:semiHidden/>
    <w:unhideWhenUsed/>
    <w:rsid w:val="00E44E3B"/>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649791391">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988628898">
      <w:bodyDiv w:val="1"/>
      <w:marLeft w:val="0"/>
      <w:marRight w:val="0"/>
      <w:marTop w:val="0"/>
      <w:marBottom w:val="0"/>
      <w:divBdr>
        <w:top w:val="none" w:sz="0" w:space="0" w:color="auto"/>
        <w:left w:val="none" w:sz="0" w:space="0" w:color="auto"/>
        <w:bottom w:val="none" w:sz="0" w:space="0" w:color="auto"/>
        <w:right w:val="none" w:sz="0" w:space="0" w:color="auto"/>
      </w:divBdr>
    </w:div>
    <w:div w:id="1023092971">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24196646">
      <w:bodyDiv w:val="1"/>
      <w:marLeft w:val="0"/>
      <w:marRight w:val="0"/>
      <w:marTop w:val="0"/>
      <w:marBottom w:val="0"/>
      <w:divBdr>
        <w:top w:val="none" w:sz="0" w:space="0" w:color="auto"/>
        <w:left w:val="none" w:sz="0" w:space="0" w:color="auto"/>
        <w:bottom w:val="none" w:sz="0" w:space="0" w:color="auto"/>
        <w:right w:val="none" w:sz="0" w:space="0" w:color="auto"/>
      </w:divBdr>
      <w:divsChild>
        <w:div w:id="65195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4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382</Words>
  <Characters>2183</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Edita Ališauskaitė Vorožeikinienė</cp:lastModifiedBy>
  <cp:revision>5</cp:revision>
  <dcterms:created xsi:type="dcterms:W3CDTF">2026-04-29T09:56:00Z</dcterms:created>
  <dcterms:modified xsi:type="dcterms:W3CDTF">2026-04-29T10:55:00Z</dcterms:modified>
</cp:coreProperties>
</file>