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17C00D54"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E626CD">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47FA161E" w:rsidR="00DC0CC4" w:rsidRDefault="00DC0CC4">
      <w:pPr>
        <w:spacing w:after="0" w:line="240" w:lineRule="auto"/>
        <w:rPr>
          <w:rFonts w:eastAsia="Times New Roman"/>
          <w:sz w:val="22"/>
          <w:lang w:eastAsia="lt-LT"/>
        </w:rPr>
      </w:pPr>
      <w:r>
        <w:rPr>
          <w:rFonts w:eastAsia="Times New Roman"/>
          <w:sz w:val="22"/>
          <w:lang w:eastAsia="lt-LT"/>
        </w:rPr>
        <w:br w:type="page"/>
      </w:r>
    </w:p>
    <w:p w14:paraId="602F6379"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2127"/>
        <w:gridCol w:w="2126"/>
      </w:tblGrid>
      <w:tr w:rsidR="00E626CD" w:rsidRPr="00077687" w14:paraId="72E86122" w14:textId="623CDE7F" w:rsidTr="002B5E8B">
        <w:trPr>
          <w:trHeight w:val="570"/>
        </w:trPr>
        <w:tc>
          <w:tcPr>
            <w:tcW w:w="3544" w:type="dxa"/>
            <w:tcBorders>
              <w:top w:val="single" w:sz="4" w:space="0" w:color="auto"/>
              <w:left w:val="single" w:sz="4" w:space="0" w:color="auto"/>
              <w:bottom w:val="single" w:sz="4" w:space="0" w:color="auto"/>
              <w:right w:val="single" w:sz="4" w:space="0" w:color="auto"/>
            </w:tcBorders>
            <w:vAlign w:val="center"/>
          </w:tcPr>
          <w:p w14:paraId="0006A67F" w14:textId="77777777" w:rsidR="00E626CD" w:rsidRPr="00077687" w:rsidRDefault="00E626CD"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2E0651" w14:textId="1AE36F88" w:rsidR="00E626CD" w:rsidRPr="00077687" w:rsidRDefault="00E626CD" w:rsidP="00077FC8">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sidR="002B5E8B">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7" w:type="dxa"/>
            <w:tcBorders>
              <w:top w:val="single" w:sz="4" w:space="0" w:color="auto"/>
              <w:left w:val="single" w:sz="4" w:space="0" w:color="auto"/>
              <w:bottom w:val="single" w:sz="4" w:space="0" w:color="auto"/>
              <w:right w:val="single" w:sz="4" w:space="0" w:color="auto"/>
            </w:tcBorders>
            <w:vAlign w:val="center"/>
          </w:tcPr>
          <w:p w14:paraId="72B52365" w14:textId="38E0F786" w:rsidR="00E626CD" w:rsidRPr="00077687" w:rsidRDefault="00E626CD" w:rsidP="00673E7D">
            <w:pPr>
              <w:spacing w:after="0" w:line="240" w:lineRule="auto"/>
              <w:jc w:val="center"/>
              <w:rPr>
                <w:rFonts w:eastAsia="Times New Roman"/>
                <w:b/>
                <w:color w:val="000000"/>
                <w:sz w:val="22"/>
                <w:lang w:eastAsia="lt-LT"/>
              </w:rPr>
            </w:pPr>
            <w:r>
              <w:rPr>
                <w:rFonts w:eastAsia="Times New Roman"/>
                <w:b/>
                <w:color w:val="000000"/>
                <w:sz w:val="22"/>
                <w:lang w:eastAsia="lt-LT"/>
              </w:rPr>
              <w:t>Kaina 1 komplekto</w:t>
            </w:r>
          </w:p>
          <w:p w14:paraId="2A1BDC9D" w14:textId="49257D5F" w:rsidR="00E626CD" w:rsidRPr="00077687" w:rsidRDefault="00E626CD"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67CEC1D6" w:rsidR="00E626CD" w:rsidRPr="00077687" w:rsidRDefault="00E626CD" w:rsidP="00673E7D">
            <w:pPr>
              <w:spacing w:after="0" w:line="240" w:lineRule="auto"/>
              <w:jc w:val="center"/>
              <w:rPr>
                <w:rFonts w:eastAsia="Times New Roman"/>
                <w:b/>
                <w:color w:val="000000"/>
                <w:sz w:val="22"/>
                <w:lang w:eastAsia="lt-LT"/>
              </w:rPr>
            </w:pPr>
            <w:r>
              <w:rPr>
                <w:rFonts w:eastAsia="Times New Roman"/>
                <w:b/>
                <w:color w:val="000000"/>
                <w:sz w:val="22"/>
                <w:lang w:eastAsia="lt-LT"/>
              </w:rPr>
              <w:t>Kaina 1 komplekto</w:t>
            </w:r>
          </w:p>
          <w:p w14:paraId="1DE938FD" w14:textId="77777777" w:rsidR="00E626CD" w:rsidRPr="00077687" w:rsidRDefault="00E626CD"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E626CD" w:rsidRPr="00077687" w14:paraId="34A8D74E" w14:textId="67FC6F8A" w:rsidTr="002B5E8B">
        <w:tc>
          <w:tcPr>
            <w:tcW w:w="3544" w:type="dxa"/>
            <w:shd w:val="clear" w:color="auto" w:fill="auto"/>
            <w:vAlign w:val="center"/>
          </w:tcPr>
          <w:p w14:paraId="584D51AC" w14:textId="77777777" w:rsidR="00E626CD" w:rsidRDefault="00E626CD" w:rsidP="00BD0157">
            <w:pPr>
              <w:pStyle w:val="Betarp1"/>
              <w:jc w:val="center"/>
              <w:rPr>
                <w:rFonts w:eastAsia="Times New Roman"/>
                <w:bCs/>
                <w:sz w:val="22"/>
                <w:lang w:eastAsia="lt-LT"/>
              </w:rPr>
            </w:pPr>
            <w:r>
              <w:rPr>
                <w:rFonts w:eastAsia="Times New Roman"/>
                <w:bCs/>
                <w:sz w:val="22"/>
                <w:lang w:eastAsia="lt-LT"/>
              </w:rPr>
              <w:t>Nešiojamos aviacinės svarstyklės</w:t>
            </w:r>
          </w:p>
          <w:p w14:paraId="5B7CE19D" w14:textId="6BE33E29" w:rsidR="00E626CD" w:rsidRPr="00771259" w:rsidRDefault="00E626CD" w:rsidP="00BD0157">
            <w:pPr>
              <w:pStyle w:val="Betarp1"/>
              <w:jc w:val="center"/>
              <w:rPr>
                <w:sz w:val="16"/>
                <w:szCs w:val="16"/>
                <w:lang w:eastAsia="lt-LT"/>
              </w:rPr>
            </w:pP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prekės markė</w:t>
            </w:r>
            <w:r>
              <w:rPr>
                <w:rFonts w:eastAsia="Times New Roman"/>
                <w:b/>
                <w:bCs/>
                <w:sz w:val="22"/>
                <w:lang w:eastAsia="lt-LT"/>
              </w:rPr>
              <w:t>/modelis</w:t>
            </w:r>
            <w:r>
              <w:rPr>
                <w:rFonts w:eastAsia="Times New Roman"/>
                <w:bCs/>
                <w:sz w:val="22"/>
                <w:lang w:eastAsia="lt-LT"/>
              </w:rPr>
              <w:t>)</w:t>
            </w:r>
          </w:p>
        </w:tc>
        <w:tc>
          <w:tcPr>
            <w:tcW w:w="2126" w:type="dxa"/>
            <w:shd w:val="clear" w:color="auto" w:fill="auto"/>
            <w:vAlign w:val="center"/>
          </w:tcPr>
          <w:p w14:paraId="60E82A9C" w14:textId="603A75EC" w:rsidR="00E626CD" w:rsidRPr="00077687" w:rsidRDefault="00E626CD" w:rsidP="00E626CD">
            <w:pPr>
              <w:pStyle w:val="Betarp1"/>
              <w:jc w:val="center"/>
              <w:rPr>
                <w:bCs/>
                <w:sz w:val="22"/>
                <w:lang w:eastAsia="lt-LT"/>
              </w:rPr>
            </w:pPr>
            <w:r>
              <w:rPr>
                <w:bCs/>
                <w:sz w:val="22"/>
              </w:rPr>
              <w:t>1</w:t>
            </w:r>
            <w:r w:rsidRPr="00077687">
              <w:rPr>
                <w:bCs/>
                <w:sz w:val="22"/>
              </w:rPr>
              <w:t xml:space="preserve"> </w:t>
            </w:r>
            <w:r>
              <w:rPr>
                <w:bCs/>
                <w:sz w:val="22"/>
              </w:rPr>
              <w:t>komplektas</w:t>
            </w:r>
          </w:p>
        </w:tc>
        <w:tc>
          <w:tcPr>
            <w:tcW w:w="2127" w:type="dxa"/>
            <w:tcBorders>
              <w:top w:val="single" w:sz="4" w:space="0" w:color="auto"/>
              <w:left w:val="single" w:sz="4" w:space="0" w:color="auto"/>
              <w:bottom w:val="single" w:sz="4" w:space="0" w:color="auto"/>
              <w:right w:val="single" w:sz="4" w:space="0" w:color="auto"/>
            </w:tcBorders>
            <w:vAlign w:val="center"/>
          </w:tcPr>
          <w:p w14:paraId="45B79610" w14:textId="6DD5FA0D" w:rsidR="00E626CD" w:rsidRPr="00077687" w:rsidRDefault="00E626CD"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E626CD" w:rsidRPr="00077687" w:rsidRDefault="00E626CD" w:rsidP="00BD0157">
            <w:pPr>
              <w:spacing w:after="0" w:line="240" w:lineRule="auto"/>
              <w:ind w:right="-514"/>
              <w:jc w:val="center"/>
              <w:rPr>
                <w:rFonts w:eastAsia="Times New Roman"/>
                <w:sz w:val="22"/>
                <w:lang w:eastAsia="lt-LT"/>
              </w:rPr>
            </w:pPr>
          </w:p>
        </w:tc>
      </w:tr>
      <w:tr w:rsidR="00491CE5" w:rsidRPr="00077687" w14:paraId="72CFA053" w14:textId="77777777" w:rsidTr="00E626CD">
        <w:tc>
          <w:tcPr>
            <w:tcW w:w="5670" w:type="dxa"/>
            <w:gridSpan w:val="2"/>
            <w:shd w:val="clear" w:color="auto" w:fill="auto"/>
            <w:vAlign w:val="center"/>
          </w:tcPr>
          <w:p w14:paraId="19C2E0B8" w14:textId="004E4A54" w:rsidR="00491CE5" w:rsidRDefault="00491CE5" w:rsidP="00077FC8">
            <w:pPr>
              <w:pStyle w:val="Betarp1"/>
              <w:jc w:val="center"/>
              <w:rPr>
                <w:bCs/>
                <w:sz w:val="22"/>
              </w:rPr>
            </w:pPr>
            <w:r>
              <w:rPr>
                <w:bCs/>
                <w:sz w:val="22"/>
              </w:rPr>
              <w:t>Prekės kilmės šalis</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16B0C9D" w14:textId="77777777" w:rsidR="00491CE5" w:rsidRDefault="00491CE5" w:rsidP="00077FC8">
            <w:pPr>
              <w:spacing w:after="0" w:line="240" w:lineRule="auto"/>
              <w:ind w:right="-514"/>
              <w:rPr>
                <w:rFonts w:eastAsia="Times New Roman"/>
                <w:sz w:val="22"/>
                <w:lang w:eastAsia="lt-LT"/>
              </w:rPr>
            </w:pPr>
          </w:p>
        </w:tc>
      </w:tr>
      <w:tr w:rsidR="00491CE5" w:rsidRPr="00077687" w14:paraId="19E3F300" w14:textId="77777777" w:rsidTr="00E626CD">
        <w:tc>
          <w:tcPr>
            <w:tcW w:w="5670" w:type="dxa"/>
            <w:gridSpan w:val="2"/>
            <w:shd w:val="clear" w:color="auto" w:fill="auto"/>
            <w:vAlign w:val="center"/>
          </w:tcPr>
          <w:p w14:paraId="7D38AC74" w14:textId="43066FD6" w:rsidR="00491CE5" w:rsidRDefault="00491CE5" w:rsidP="00077FC8">
            <w:pPr>
              <w:pStyle w:val="Betarp1"/>
              <w:jc w:val="center"/>
              <w:rPr>
                <w:bCs/>
                <w:sz w:val="22"/>
              </w:rPr>
            </w:pPr>
            <w:r>
              <w:rPr>
                <w:bCs/>
                <w:sz w:val="22"/>
              </w:rPr>
              <w:t>Prekės gamintojas</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EDFC70B" w14:textId="77777777" w:rsidR="00491CE5" w:rsidRDefault="00491CE5" w:rsidP="00077FC8">
            <w:pPr>
              <w:spacing w:after="0" w:line="240" w:lineRule="auto"/>
              <w:ind w:right="-514"/>
              <w:rPr>
                <w:rFonts w:eastAsia="Times New Roman"/>
                <w:sz w:val="22"/>
                <w:lang w:eastAsia="lt-LT"/>
              </w:rPr>
            </w:pPr>
          </w:p>
        </w:tc>
      </w:tr>
      <w:tr w:rsidR="00491CE5" w:rsidRPr="00077687" w14:paraId="5DF3DD1E" w14:textId="77777777" w:rsidTr="00E626CD">
        <w:tc>
          <w:tcPr>
            <w:tcW w:w="5670" w:type="dxa"/>
            <w:gridSpan w:val="2"/>
            <w:shd w:val="clear" w:color="auto" w:fill="auto"/>
            <w:vAlign w:val="center"/>
          </w:tcPr>
          <w:p w14:paraId="1CFFB885" w14:textId="3E2F4DF2" w:rsidR="00491CE5" w:rsidRDefault="00491CE5" w:rsidP="00077FC8">
            <w:pPr>
              <w:pStyle w:val="Betarp1"/>
              <w:jc w:val="center"/>
              <w:rPr>
                <w:bCs/>
                <w:sz w:val="22"/>
              </w:rPr>
            </w:pPr>
            <w:r>
              <w:rPr>
                <w:bCs/>
                <w:sz w:val="22"/>
              </w:rPr>
              <w:t>Prekės tiekėjas</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F1CC666" w14:textId="77777777" w:rsidR="00491CE5" w:rsidRDefault="00491CE5" w:rsidP="00077FC8">
            <w:pPr>
              <w:spacing w:after="0" w:line="240" w:lineRule="auto"/>
              <w:ind w:right="-514"/>
              <w:rPr>
                <w:rFonts w:eastAsia="Times New Roman"/>
                <w:sz w:val="22"/>
                <w:lang w:eastAsia="lt-LT"/>
              </w:rPr>
            </w:pPr>
          </w:p>
        </w:tc>
      </w:tr>
    </w:tbl>
    <w:p w14:paraId="6C4FE5EF" w14:textId="0CB9B56B"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871F6B">
        <w:rPr>
          <w:rFonts w:eastAsia="Times New Roman"/>
          <w:color w:val="000000"/>
          <w:sz w:val="22"/>
          <w:lang w:eastAsia="lt-LT"/>
        </w:rPr>
        <w:t>4</w:t>
      </w:r>
      <w:r w:rsidR="00E626CD">
        <w:rPr>
          <w:rFonts w:eastAsia="Times New Roman"/>
          <w:color w:val="000000"/>
          <w:sz w:val="22"/>
          <w:lang w:eastAsia="lt-LT"/>
        </w:rPr>
        <w:t>7</w:t>
      </w:r>
      <w:r w:rsidRPr="00077687">
        <w:rPr>
          <w:rFonts w:eastAsia="Times New Roman"/>
          <w:color w:val="000000"/>
          <w:sz w:val="22"/>
          <w:lang w:eastAsia="lt-LT"/>
        </w:rPr>
        <w:t xml:space="preserve"> </w:t>
      </w:r>
      <w:r w:rsidRPr="00077687">
        <w:rPr>
          <w:rFonts w:eastAsia="Times New Roman"/>
          <w:sz w:val="22"/>
          <w:lang w:eastAsia="lt-LT"/>
        </w:rPr>
        <w:t>dien</w:t>
      </w:r>
      <w:r w:rsidR="00E626CD">
        <w:rPr>
          <w:rFonts w:eastAsia="Times New Roman"/>
          <w:sz w:val="22"/>
          <w:lang w:eastAsia="lt-LT"/>
        </w:rPr>
        <w:t>as</w:t>
      </w:r>
      <w:r w:rsidRPr="00077687">
        <w:rPr>
          <w:rFonts w:eastAsia="Times New Roman"/>
          <w:sz w:val="22"/>
          <w:lang w:eastAsia="lt-LT"/>
        </w:rPr>
        <w:t xml:space="preserve"> nuo pasiūlymo pateikimo dienos.</w:t>
      </w:r>
    </w:p>
    <w:p w14:paraId="04AFB3F6" w14:textId="0D4A5875"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w:t>
      </w:r>
      <w:r w:rsidR="00E626CD">
        <w:rPr>
          <w:rFonts w:eastAsia="Times New Roman"/>
          <w:b/>
          <w:color w:val="000000"/>
          <w:sz w:val="22"/>
          <w:lang w:eastAsia="lt-LT"/>
        </w:rPr>
        <w:t>komplek</w:t>
      </w:r>
      <w:r>
        <w:rPr>
          <w:rFonts w:eastAsia="Times New Roman"/>
          <w:b/>
          <w:color w:val="000000"/>
          <w:sz w:val="22"/>
          <w:lang w:eastAsia="lt-LT"/>
        </w:rPr>
        <w:t xml:space="preserv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6BFA5300"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7D4F1105" w14:textId="28400C09" w:rsidR="00077FC8" w:rsidRPr="00077687" w:rsidRDefault="00077FC8"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077FC8">
        <w:rPr>
          <w:rFonts w:eastAsia="Times New Roman"/>
          <w:b/>
          <w:color w:val="000000"/>
          <w:sz w:val="22"/>
          <w:lang w:eastAsia="lt-LT"/>
        </w:rPr>
        <w:t xml:space="preserve">Jei Tiekėjas nėra PVM mokėtojas tuomet nepildo pasiūlymo langelio „Kaina 1 </w:t>
      </w:r>
      <w:r w:rsidR="00E626CD">
        <w:rPr>
          <w:rFonts w:eastAsia="Times New Roman"/>
          <w:b/>
          <w:color w:val="000000"/>
          <w:sz w:val="22"/>
          <w:lang w:eastAsia="lt-LT"/>
        </w:rPr>
        <w:t>kompl</w:t>
      </w:r>
      <w:r w:rsidRPr="00077FC8">
        <w:rPr>
          <w:rFonts w:eastAsia="Times New Roman"/>
          <w:b/>
          <w:color w:val="000000"/>
          <w:sz w:val="22"/>
          <w:lang w:eastAsia="lt-LT"/>
        </w:rPr>
        <w:t>e</w:t>
      </w:r>
      <w:r w:rsidR="00E626CD">
        <w:rPr>
          <w:rFonts w:eastAsia="Times New Roman"/>
          <w:b/>
          <w:color w:val="000000"/>
          <w:sz w:val="22"/>
          <w:lang w:eastAsia="lt-LT"/>
        </w:rPr>
        <w:t>k</w:t>
      </w:r>
      <w:r w:rsidRPr="00077FC8">
        <w:rPr>
          <w:rFonts w:eastAsia="Times New Roman"/>
          <w:b/>
          <w:color w:val="000000"/>
          <w:sz w:val="22"/>
          <w:lang w:eastAsia="lt-LT"/>
        </w:rPr>
        <w:t xml:space="preserve">to Eur su PVM“ užpildo tik „Kaina 1 </w:t>
      </w:r>
      <w:r w:rsidR="00E626CD">
        <w:rPr>
          <w:rFonts w:eastAsia="Times New Roman"/>
          <w:b/>
          <w:color w:val="000000"/>
          <w:sz w:val="22"/>
          <w:lang w:eastAsia="lt-LT"/>
        </w:rPr>
        <w:t>kompl</w:t>
      </w:r>
      <w:r w:rsidRPr="00077FC8">
        <w:rPr>
          <w:rFonts w:eastAsia="Times New Roman"/>
          <w:b/>
          <w:color w:val="000000"/>
          <w:sz w:val="22"/>
          <w:lang w:eastAsia="lt-LT"/>
        </w:rPr>
        <w:t>e</w:t>
      </w:r>
      <w:r w:rsidR="00E626CD">
        <w:rPr>
          <w:rFonts w:eastAsia="Times New Roman"/>
          <w:b/>
          <w:color w:val="000000"/>
          <w:sz w:val="22"/>
          <w:lang w:eastAsia="lt-LT"/>
        </w:rPr>
        <w:t>k</w:t>
      </w:r>
      <w:r w:rsidRPr="00077FC8">
        <w:rPr>
          <w:rFonts w:eastAsia="Times New Roman"/>
          <w:b/>
          <w:color w:val="000000"/>
          <w:sz w:val="22"/>
          <w:lang w:eastAsia="lt-LT"/>
        </w:rPr>
        <w:t xml:space="preserve">to Eur be PVM“ </w:t>
      </w:r>
      <w:r w:rsidR="00491CE5">
        <w:rPr>
          <w:rFonts w:eastAsia="Times New Roman"/>
          <w:b/>
          <w:color w:val="000000"/>
          <w:sz w:val="22"/>
          <w:lang w:eastAsia="lt-LT"/>
        </w:rPr>
        <w:t xml:space="preserve">ir </w:t>
      </w:r>
      <w:r w:rsidRPr="00077FC8">
        <w:rPr>
          <w:rFonts w:eastAsia="Times New Roman"/>
          <w:b/>
          <w:color w:val="000000"/>
          <w:sz w:val="22"/>
          <w:lang w:eastAsia="lt-LT"/>
        </w:rPr>
        <w:t>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7AE6B17" w:rsidR="0071423B" w:rsidRPr="00E52E25" w:rsidRDefault="00B6274C" w:rsidP="00CC6564">
      <w:pPr>
        <w:spacing w:after="0" w:line="240" w:lineRule="auto"/>
        <w:jc w:val="both"/>
        <w:rPr>
          <w:rFonts w:eastAsia="Times New Roman"/>
          <w:sz w:val="22"/>
          <w:lang w:eastAsia="lt-LT"/>
        </w:rPr>
      </w:pPr>
      <w:r>
        <w:rPr>
          <w:b/>
          <w:sz w:val="22"/>
        </w:rPr>
        <w:t xml:space="preserve">    </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9"/>
        <w:gridCol w:w="4529"/>
      </w:tblGrid>
      <w:tr w:rsidR="005100AB" w:rsidRPr="005100AB" w14:paraId="4A6E73DA" w14:textId="77777777" w:rsidTr="005100AB">
        <w:tc>
          <w:tcPr>
            <w:tcW w:w="9628" w:type="dxa"/>
            <w:gridSpan w:val="2"/>
          </w:tcPr>
          <w:p w14:paraId="01FC62FF" w14:textId="08079A18" w:rsidR="005100AB" w:rsidRPr="00476E2D" w:rsidRDefault="00476E2D" w:rsidP="006D564C">
            <w:pPr>
              <w:spacing w:after="0" w:line="240" w:lineRule="auto"/>
              <w:jc w:val="center"/>
              <w:rPr>
                <w:rFonts w:eastAsia="Times New Roman"/>
                <w:b/>
                <w:bCs/>
                <w:i/>
                <w:color w:val="000000" w:themeColor="text1"/>
                <w:sz w:val="22"/>
              </w:rPr>
            </w:pPr>
            <w:r w:rsidRPr="00476E2D">
              <w:rPr>
                <w:rFonts w:eastAsia="Times New Roman"/>
                <w:i/>
                <w:iCs/>
                <w:sz w:val="22"/>
                <w:lang w:eastAsia="lt-LT"/>
              </w:rPr>
              <w:t>Nešiojamos aviacinės svarstyklės</w:t>
            </w:r>
          </w:p>
        </w:tc>
      </w:tr>
      <w:tr w:rsidR="005100AB" w:rsidRPr="005100AB" w14:paraId="1935F477" w14:textId="77777777" w:rsidTr="00491CE5">
        <w:tc>
          <w:tcPr>
            <w:tcW w:w="5099"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29"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491CE5" w:rsidRPr="005100AB" w14:paraId="2BC8A9F3" w14:textId="77777777" w:rsidTr="00476E2D">
        <w:tc>
          <w:tcPr>
            <w:tcW w:w="9628" w:type="dxa"/>
            <w:gridSpan w:val="2"/>
          </w:tcPr>
          <w:p w14:paraId="7BC76708" w14:textId="2CEDC358" w:rsidR="00491CE5" w:rsidRPr="005100AB" w:rsidRDefault="00491CE5" w:rsidP="005100AB">
            <w:pPr>
              <w:spacing w:after="0" w:line="240" w:lineRule="auto"/>
              <w:jc w:val="center"/>
              <w:rPr>
                <w:rFonts w:eastAsia="Times New Roman"/>
                <w:b/>
                <w:bCs/>
                <w:color w:val="000000" w:themeColor="text1"/>
                <w:sz w:val="22"/>
              </w:rPr>
            </w:pPr>
            <w:r w:rsidRPr="00871F6B">
              <w:rPr>
                <w:i/>
                <w:sz w:val="22"/>
              </w:rPr>
              <w:t>Privalomieji reikalavimai:</w:t>
            </w:r>
          </w:p>
        </w:tc>
      </w:tr>
      <w:tr w:rsidR="005100AB" w:rsidRPr="005100AB" w14:paraId="1951E3D8" w14:textId="77777777" w:rsidTr="00491CE5">
        <w:tc>
          <w:tcPr>
            <w:tcW w:w="5099" w:type="dxa"/>
            <w:vAlign w:val="center"/>
          </w:tcPr>
          <w:p w14:paraId="45F042BC" w14:textId="1525DC99" w:rsidR="005100AB" w:rsidRPr="005100AB" w:rsidRDefault="00476E2D" w:rsidP="00DB37AF">
            <w:pPr>
              <w:spacing w:after="0" w:line="240" w:lineRule="auto"/>
              <w:jc w:val="center"/>
              <w:rPr>
                <w:rFonts w:eastAsia="Times New Roman"/>
                <w:bCs/>
                <w:color w:val="000000" w:themeColor="text1"/>
                <w:sz w:val="22"/>
              </w:rPr>
            </w:pPr>
            <w:r w:rsidRPr="00476E2D">
              <w:rPr>
                <w:rFonts w:eastAsia="Times New Roman"/>
                <w:szCs w:val="24"/>
                <w:lang w:eastAsia="zh-CN"/>
              </w:rPr>
              <w:t>Nešiojamos aviacinės svarstyklės skirtos įvairių dydžių paletėms ir kitiems kroviniams sverti</w:t>
            </w:r>
          </w:p>
        </w:tc>
        <w:tc>
          <w:tcPr>
            <w:tcW w:w="4529"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491CE5" w:rsidRPr="005100AB" w14:paraId="30B254AE" w14:textId="630649C7" w:rsidTr="00491CE5">
        <w:tc>
          <w:tcPr>
            <w:tcW w:w="5099" w:type="dxa"/>
            <w:vAlign w:val="center"/>
          </w:tcPr>
          <w:p w14:paraId="64872C10" w14:textId="5DB299E4" w:rsidR="00491CE5" w:rsidRPr="00871F6B" w:rsidRDefault="00476E2D" w:rsidP="00476E2D">
            <w:pPr>
              <w:spacing w:after="0" w:line="240" w:lineRule="auto"/>
              <w:jc w:val="center"/>
              <w:rPr>
                <w:rFonts w:eastAsia="Times New Roman"/>
                <w:bCs/>
                <w:i/>
                <w:color w:val="000000" w:themeColor="text1"/>
                <w:sz w:val="22"/>
              </w:rPr>
            </w:pPr>
            <w:r w:rsidRPr="00476E2D">
              <w:rPr>
                <w:rFonts w:eastAsia="Times New Roman"/>
                <w:bCs/>
                <w:szCs w:val="24"/>
                <w:lang w:eastAsia="zh-CN"/>
              </w:rPr>
              <w:t xml:space="preserve">Svarstyklės </w:t>
            </w:r>
            <w:r>
              <w:rPr>
                <w:rFonts w:eastAsia="Times New Roman"/>
                <w:bCs/>
                <w:szCs w:val="24"/>
                <w:lang w:eastAsia="zh-CN"/>
              </w:rPr>
              <w:t>yra</w:t>
            </w:r>
            <w:r w:rsidRPr="00476E2D">
              <w:rPr>
                <w:rFonts w:eastAsia="Times New Roman"/>
                <w:bCs/>
                <w:szCs w:val="24"/>
                <w:lang w:eastAsia="zh-CN"/>
              </w:rPr>
              <w:t xml:space="preserve"> naujos</w:t>
            </w:r>
          </w:p>
        </w:tc>
        <w:tc>
          <w:tcPr>
            <w:tcW w:w="4529" w:type="dxa"/>
            <w:vAlign w:val="center"/>
          </w:tcPr>
          <w:p w14:paraId="03494CDC" w14:textId="106D487B" w:rsidR="00491CE5" w:rsidRPr="00DB37AF" w:rsidRDefault="00476E2D"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54788196" w14:textId="77777777" w:rsidTr="00491CE5">
        <w:tc>
          <w:tcPr>
            <w:tcW w:w="5099" w:type="dxa"/>
            <w:vAlign w:val="center"/>
          </w:tcPr>
          <w:p w14:paraId="44675C25" w14:textId="3844B996" w:rsidR="005100AB" w:rsidRPr="005100AB" w:rsidRDefault="00476E2D" w:rsidP="00476E2D">
            <w:pPr>
              <w:tabs>
                <w:tab w:val="left" w:pos="284"/>
                <w:tab w:val="left" w:pos="426"/>
              </w:tabs>
              <w:spacing w:after="0" w:line="240" w:lineRule="auto"/>
              <w:contextualSpacing/>
              <w:jc w:val="center"/>
              <w:rPr>
                <w:color w:val="000000" w:themeColor="text1"/>
                <w:sz w:val="22"/>
              </w:rPr>
            </w:pPr>
            <w:r w:rsidRPr="00476E2D">
              <w:rPr>
                <w:rFonts w:eastAsia="Times New Roman"/>
                <w:bCs/>
                <w:szCs w:val="24"/>
                <w:lang w:eastAsia="zh-CN"/>
              </w:rPr>
              <w:t xml:space="preserve">Svarstyklės </w:t>
            </w:r>
            <w:r>
              <w:rPr>
                <w:rFonts w:eastAsia="Times New Roman"/>
                <w:bCs/>
                <w:szCs w:val="24"/>
                <w:lang w:eastAsia="zh-CN"/>
              </w:rPr>
              <w:t>yra iš</w:t>
            </w:r>
            <w:r w:rsidRPr="00476E2D">
              <w:rPr>
                <w:rFonts w:eastAsia="Times New Roman"/>
                <w:bCs/>
                <w:szCs w:val="24"/>
                <w:lang w:eastAsia="zh-CN"/>
              </w:rPr>
              <w:t xml:space="preserve"> tvirtos </w:t>
            </w:r>
            <w:r>
              <w:rPr>
                <w:rFonts w:eastAsia="Times New Roman"/>
                <w:bCs/>
                <w:szCs w:val="24"/>
                <w:lang w:eastAsia="zh-CN"/>
              </w:rPr>
              <w:t>struktūros.</w:t>
            </w:r>
            <w:r w:rsidRPr="00476E2D">
              <w:rPr>
                <w:rFonts w:eastAsia="Times New Roman"/>
                <w:bCs/>
                <w:szCs w:val="24"/>
                <w:lang w:eastAsia="zh-CN"/>
              </w:rPr>
              <w:t xml:space="preserve"> </w:t>
            </w:r>
          </w:p>
        </w:tc>
        <w:tc>
          <w:tcPr>
            <w:tcW w:w="4529" w:type="dxa"/>
            <w:vAlign w:val="center"/>
          </w:tcPr>
          <w:p w14:paraId="4C46D57A" w14:textId="0E827B41" w:rsidR="005100AB" w:rsidRPr="00FC4619" w:rsidRDefault="00FC461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64883F24" w14:textId="77777777" w:rsidTr="00491CE5">
        <w:tc>
          <w:tcPr>
            <w:tcW w:w="5099" w:type="dxa"/>
            <w:vAlign w:val="center"/>
          </w:tcPr>
          <w:p w14:paraId="2E103049" w14:textId="621F9B4A" w:rsidR="005100AB" w:rsidRPr="005100AB" w:rsidRDefault="00476E2D" w:rsidP="00FC4619">
            <w:pPr>
              <w:tabs>
                <w:tab w:val="left" w:pos="426"/>
              </w:tabs>
              <w:spacing w:after="0" w:line="240" w:lineRule="auto"/>
              <w:contextualSpacing/>
              <w:jc w:val="center"/>
              <w:rPr>
                <w:color w:val="000000" w:themeColor="text1"/>
                <w:sz w:val="22"/>
              </w:rPr>
            </w:pPr>
            <w:r>
              <w:rPr>
                <w:rFonts w:eastAsia="Times New Roman"/>
                <w:bCs/>
                <w:szCs w:val="24"/>
                <w:lang w:eastAsia="zh-CN"/>
              </w:rPr>
              <w:t xml:space="preserve">Jos </w:t>
            </w:r>
            <w:r w:rsidRPr="00476E2D">
              <w:rPr>
                <w:rFonts w:eastAsia="Times New Roman"/>
                <w:bCs/>
                <w:szCs w:val="24"/>
                <w:lang w:eastAsia="zh-CN"/>
              </w:rPr>
              <w:t>pagamintos iš specialaus aliuminio, kuris užtikrina lengvumą ir apsaugą atšiauriomis darbo sąlygomis</w:t>
            </w:r>
          </w:p>
        </w:tc>
        <w:tc>
          <w:tcPr>
            <w:tcW w:w="4529" w:type="dxa"/>
            <w:vAlign w:val="center"/>
          </w:tcPr>
          <w:p w14:paraId="3E191D5D" w14:textId="7E0A8A69" w:rsidR="005100AB" w:rsidRPr="00FC4619" w:rsidRDefault="00476E2D" w:rsidP="00311FC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0DC26402" w14:textId="77777777" w:rsidTr="00491CE5">
        <w:tc>
          <w:tcPr>
            <w:tcW w:w="5099" w:type="dxa"/>
            <w:vAlign w:val="center"/>
          </w:tcPr>
          <w:p w14:paraId="59EB376C" w14:textId="22C830E5" w:rsidR="005100AB" w:rsidRPr="005100AB" w:rsidRDefault="00476E2D" w:rsidP="00FC4619">
            <w:pPr>
              <w:tabs>
                <w:tab w:val="left" w:pos="284"/>
                <w:tab w:val="left" w:pos="426"/>
              </w:tabs>
              <w:spacing w:after="0" w:line="240" w:lineRule="auto"/>
              <w:contextualSpacing/>
              <w:jc w:val="center"/>
              <w:rPr>
                <w:color w:val="000000" w:themeColor="text1"/>
                <w:sz w:val="22"/>
              </w:rPr>
            </w:pPr>
            <w:r w:rsidRPr="00476E2D">
              <w:rPr>
                <w:rFonts w:eastAsia="Times New Roman"/>
                <w:bCs/>
                <w:szCs w:val="24"/>
                <w:lang w:eastAsia="zh-CN"/>
              </w:rPr>
              <w:t>Platformos svoris turi būti nuo 40 kg iki 50 kg</w:t>
            </w:r>
          </w:p>
        </w:tc>
        <w:tc>
          <w:tcPr>
            <w:tcW w:w="4529" w:type="dxa"/>
            <w:vAlign w:val="center"/>
          </w:tcPr>
          <w:p w14:paraId="2FBA00ED" w14:textId="083A206A" w:rsidR="005100AB" w:rsidRPr="00FC4619" w:rsidRDefault="00DB37AF" w:rsidP="00141194">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 </w:t>
            </w:r>
            <w:r w:rsidR="00476E2D">
              <w:rPr>
                <w:rFonts w:eastAsia="Times New Roman"/>
                <w:bCs/>
                <w:color w:val="000000" w:themeColor="text1"/>
                <w:sz w:val="22"/>
              </w:rPr>
              <w:t>platformos svoris</w:t>
            </w:r>
            <w:r w:rsidR="00444C4E">
              <w:rPr>
                <w:rFonts w:eastAsia="Times New Roman"/>
                <w:bCs/>
                <w:color w:val="000000" w:themeColor="text1"/>
                <w:sz w:val="22"/>
              </w:rPr>
              <w:t xml:space="preserve"> </w:t>
            </w:r>
            <w:r w:rsidR="00141194">
              <w:rPr>
                <w:rFonts w:eastAsia="Times New Roman"/>
                <w:bCs/>
                <w:color w:val="000000" w:themeColor="text1"/>
                <w:sz w:val="22"/>
              </w:rPr>
              <w:t xml:space="preserve">   (kg)</w:t>
            </w:r>
          </w:p>
        </w:tc>
      </w:tr>
      <w:tr w:rsidR="005100AB" w:rsidRPr="005100AB" w14:paraId="2C51F1DD" w14:textId="77777777" w:rsidTr="00491CE5">
        <w:tc>
          <w:tcPr>
            <w:tcW w:w="5099" w:type="dxa"/>
            <w:vAlign w:val="center"/>
          </w:tcPr>
          <w:p w14:paraId="75836762" w14:textId="3A0C9E88" w:rsidR="005100AB" w:rsidRPr="005100AB" w:rsidRDefault="00141194" w:rsidP="00FC4619">
            <w:pPr>
              <w:spacing w:after="0" w:line="240" w:lineRule="auto"/>
              <w:jc w:val="center"/>
              <w:rPr>
                <w:color w:val="000000" w:themeColor="text1"/>
                <w:sz w:val="22"/>
              </w:rPr>
            </w:pPr>
            <w:r w:rsidRPr="00141194">
              <w:rPr>
                <w:rFonts w:eastAsia="Times New Roman"/>
                <w:bCs/>
                <w:szCs w:val="24"/>
                <w:lang w:eastAsia="zh-CN"/>
              </w:rPr>
              <w:t>Vienos platformos maksimali apkrova turi būti nuo 15 t iki 20 t</w:t>
            </w:r>
          </w:p>
        </w:tc>
        <w:tc>
          <w:tcPr>
            <w:tcW w:w="4529" w:type="dxa"/>
            <w:vAlign w:val="center"/>
          </w:tcPr>
          <w:p w14:paraId="4D21FF74" w14:textId="708A8DD1" w:rsidR="00311FC3" w:rsidRPr="00311FC3" w:rsidRDefault="00141194" w:rsidP="00141194">
            <w:pPr>
              <w:spacing w:after="0" w:line="240" w:lineRule="auto"/>
              <w:jc w:val="center"/>
            </w:pPr>
            <w:r>
              <w:rPr>
                <w:rFonts w:eastAsia="Times New Roman"/>
                <w:bCs/>
                <w:color w:val="000000" w:themeColor="text1"/>
                <w:sz w:val="22"/>
              </w:rPr>
              <w:t>Nurodoma vienos platformos maksimali apkrova    (t)</w:t>
            </w:r>
          </w:p>
        </w:tc>
      </w:tr>
      <w:tr w:rsidR="005100AB" w:rsidRPr="005100AB" w14:paraId="75FAA199" w14:textId="77777777" w:rsidTr="00491CE5">
        <w:tc>
          <w:tcPr>
            <w:tcW w:w="5099" w:type="dxa"/>
            <w:vAlign w:val="center"/>
          </w:tcPr>
          <w:p w14:paraId="5EB87444" w14:textId="29B7353E" w:rsidR="005100AB" w:rsidRPr="005100AB" w:rsidRDefault="00141194" w:rsidP="00363D16">
            <w:pPr>
              <w:tabs>
                <w:tab w:val="left" w:pos="883"/>
              </w:tabs>
              <w:spacing w:after="0" w:line="240" w:lineRule="auto"/>
              <w:jc w:val="center"/>
              <w:rPr>
                <w:color w:val="000000" w:themeColor="text1"/>
                <w:sz w:val="22"/>
              </w:rPr>
            </w:pPr>
            <w:r w:rsidRPr="00141194">
              <w:rPr>
                <w:rFonts w:eastAsia="Times New Roman"/>
                <w:bCs/>
                <w:szCs w:val="24"/>
                <w:lang w:eastAsia="zh-CN"/>
              </w:rPr>
              <w:t>Tikslumo klasė turi būti: IV klasė</w:t>
            </w:r>
          </w:p>
        </w:tc>
        <w:tc>
          <w:tcPr>
            <w:tcW w:w="4529" w:type="dxa"/>
            <w:vAlign w:val="center"/>
          </w:tcPr>
          <w:p w14:paraId="65512B65" w14:textId="1E23E8AF" w:rsidR="005100AB" w:rsidRPr="00FC4619" w:rsidRDefault="00141194" w:rsidP="00FC4619">
            <w:pPr>
              <w:spacing w:after="0" w:line="240" w:lineRule="auto"/>
              <w:jc w:val="center"/>
              <w:rPr>
                <w:rFonts w:eastAsia="Times New Roman"/>
                <w:bCs/>
                <w:color w:val="000000" w:themeColor="text1"/>
                <w:sz w:val="22"/>
              </w:rPr>
            </w:pPr>
            <w:r>
              <w:rPr>
                <w:color w:val="000000" w:themeColor="text1"/>
                <w:sz w:val="22"/>
              </w:rPr>
              <w:t>Nurodoma tikslumo klasė</w:t>
            </w:r>
          </w:p>
        </w:tc>
      </w:tr>
      <w:tr w:rsidR="005100AB" w:rsidRPr="005100AB" w14:paraId="09D4C58E" w14:textId="77777777" w:rsidTr="00491CE5">
        <w:tc>
          <w:tcPr>
            <w:tcW w:w="5099" w:type="dxa"/>
            <w:vAlign w:val="center"/>
          </w:tcPr>
          <w:p w14:paraId="2B16579B" w14:textId="10DBD5D2" w:rsidR="005100AB" w:rsidRPr="00141194" w:rsidRDefault="00141194" w:rsidP="00141194">
            <w:pPr>
              <w:tabs>
                <w:tab w:val="left" w:pos="426"/>
              </w:tabs>
              <w:suppressAutoHyphens/>
              <w:spacing w:after="0" w:line="240" w:lineRule="auto"/>
              <w:contextualSpacing/>
              <w:jc w:val="center"/>
              <w:rPr>
                <w:bCs/>
                <w:szCs w:val="24"/>
                <w:lang w:eastAsia="zh-CN"/>
              </w:rPr>
            </w:pPr>
            <w:r w:rsidRPr="00141194">
              <w:rPr>
                <w:bCs/>
                <w:szCs w:val="24"/>
                <w:lang w:eastAsia="zh-CN"/>
              </w:rPr>
              <w:t>Svarstyklių ilgis turi būti ne trumpesnis kaip 900 mm, bet ne ilgesnis kaip 1100 mm, o plotis ne mažesnis kaip 400 mm, bet ne didesnis kaip 600 mm. Aukštis ne trumpesnis kaip 40 mm, bet ne didesnis kaip 70 mm;</w:t>
            </w:r>
          </w:p>
        </w:tc>
        <w:tc>
          <w:tcPr>
            <w:tcW w:w="4529" w:type="dxa"/>
            <w:vAlign w:val="center"/>
          </w:tcPr>
          <w:p w14:paraId="1AD90A33" w14:textId="77777777" w:rsidR="00023DE8" w:rsidRDefault="00444C4E" w:rsidP="00023DE8">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sidR="00023DE8">
              <w:rPr>
                <w:rFonts w:eastAsia="Times New Roman"/>
                <w:bCs/>
                <w:color w:val="000000" w:themeColor="text1"/>
                <w:sz w:val="22"/>
              </w:rPr>
              <w:t>:</w:t>
            </w:r>
          </w:p>
          <w:p w14:paraId="3456C887" w14:textId="01A49C38" w:rsidR="005100AB"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I</w:t>
            </w:r>
            <w:r w:rsidR="00D83B1B">
              <w:rPr>
                <w:rFonts w:eastAsia="Times New Roman"/>
                <w:bCs/>
                <w:color w:val="000000" w:themeColor="text1"/>
                <w:sz w:val="22"/>
              </w:rPr>
              <w:t>lgis</w:t>
            </w:r>
            <w:r w:rsidR="00141194">
              <w:rPr>
                <w:rFonts w:eastAsia="Times New Roman"/>
                <w:bCs/>
                <w:color w:val="000000" w:themeColor="text1"/>
                <w:sz w:val="22"/>
              </w:rPr>
              <w:t xml:space="preserve"> (m</w:t>
            </w:r>
            <w:r w:rsidR="00444C4E">
              <w:rPr>
                <w:rFonts w:eastAsia="Times New Roman"/>
                <w:bCs/>
                <w:color w:val="000000" w:themeColor="text1"/>
                <w:sz w:val="22"/>
              </w:rPr>
              <w:t>m)</w:t>
            </w:r>
            <w:r w:rsidR="00D83B1B">
              <w:rPr>
                <w:rFonts w:eastAsia="Times New Roman"/>
                <w:bCs/>
                <w:color w:val="000000" w:themeColor="text1"/>
                <w:sz w:val="22"/>
              </w:rPr>
              <w:t xml:space="preserve"> </w:t>
            </w:r>
            <w:r>
              <w:rPr>
                <w:rFonts w:eastAsia="Times New Roman"/>
                <w:bCs/>
                <w:color w:val="000000" w:themeColor="text1"/>
                <w:sz w:val="22"/>
              </w:rPr>
              <w:t xml:space="preserve">    </w:t>
            </w:r>
          </w:p>
          <w:p w14:paraId="73585010" w14:textId="18C726F0" w:rsidR="00023DE8" w:rsidRDefault="00141194" w:rsidP="00023DE8">
            <w:pPr>
              <w:spacing w:after="0" w:line="240" w:lineRule="auto"/>
              <w:jc w:val="center"/>
              <w:rPr>
                <w:rFonts w:eastAsia="Times New Roman"/>
                <w:bCs/>
                <w:color w:val="000000" w:themeColor="text1"/>
                <w:sz w:val="22"/>
              </w:rPr>
            </w:pPr>
            <w:r>
              <w:rPr>
                <w:rFonts w:eastAsia="Times New Roman"/>
                <w:bCs/>
                <w:color w:val="000000" w:themeColor="text1"/>
                <w:sz w:val="22"/>
              </w:rPr>
              <w:t>Plotas (m</w:t>
            </w:r>
            <w:r w:rsidR="00023DE8">
              <w:rPr>
                <w:rFonts w:eastAsia="Times New Roman"/>
                <w:bCs/>
                <w:color w:val="000000" w:themeColor="text1"/>
                <w:sz w:val="22"/>
              </w:rPr>
              <w:t xml:space="preserve">m)      </w:t>
            </w:r>
          </w:p>
          <w:p w14:paraId="132B93E0" w14:textId="0D6F33F6" w:rsidR="00023DE8" w:rsidRPr="00FC4619" w:rsidRDefault="00141194" w:rsidP="00141194">
            <w:pPr>
              <w:spacing w:after="0" w:line="240" w:lineRule="auto"/>
              <w:jc w:val="center"/>
              <w:rPr>
                <w:rFonts w:eastAsia="Times New Roman"/>
                <w:bCs/>
                <w:color w:val="000000" w:themeColor="text1"/>
                <w:sz w:val="22"/>
              </w:rPr>
            </w:pPr>
            <w:r>
              <w:rPr>
                <w:rFonts w:eastAsia="Times New Roman"/>
                <w:bCs/>
                <w:color w:val="000000" w:themeColor="text1"/>
                <w:sz w:val="22"/>
              </w:rPr>
              <w:t>Aukštis (m</w:t>
            </w:r>
            <w:r w:rsidR="00023DE8">
              <w:rPr>
                <w:rFonts w:eastAsia="Times New Roman"/>
                <w:bCs/>
                <w:color w:val="000000" w:themeColor="text1"/>
                <w:sz w:val="22"/>
              </w:rPr>
              <w:t xml:space="preserve">m)       </w:t>
            </w:r>
          </w:p>
        </w:tc>
      </w:tr>
      <w:tr w:rsidR="005100AB" w:rsidRPr="005100AB" w14:paraId="75845C67" w14:textId="77777777" w:rsidTr="00491CE5">
        <w:tc>
          <w:tcPr>
            <w:tcW w:w="5099" w:type="dxa"/>
            <w:vAlign w:val="center"/>
          </w:tcPr>
          <w:p w14:paraId="42AB8F82" w14:textId="32083675" w:rsidR="005100AB" w:rsidRPr="005100AB" w:rsidRDefault="00141194" w:rsidP="00141194">
            <w:pPr>
              <w:tabs>
                <w:tab w:val="left" w:pos="1613"/>
              </w:tabs>
              <w:spacing w:after="0" w:line="240" w:lineRule="auto"/>
              <w:jc w:val="center"/>
              <w:rPr>
                <w:color w:val="000000" w:themeColor="text1"/>
                <w:sz w:val="22"/>
              </w:rPr>
            </w:pPr>
            <w:r w:rsidRPr="00141194">
              <w:rPr>
                <w:rFonts w:eastAsia="Times New Roman"/>
                <w:bCs/>
                <w:szCs w:val="24"/>
                <w:lang w:eastAsia="zh-CN"/>
              </w:rPr>
              <w:t>Platform</w:t>
            </w:r>
            <w:r>
              <w:rPr>
                <w:rFonts w:eastAsia="Times New Roman"/>
                <w:bCs/>
                <w:szCs w:val="24"/>
                <w:lang w:eastAsia="zh-CN"/>
              </w:rPr>
              <w:t>os</w:t>
            </w:r>
            <w:r w:rsidRPr="00141194">
              <w:rPr>
                <w:rFonts w:eastAsia="Times New Roman"/>
                <w:bCs/>
                <w:szCs w:val="24"/>
                <w:lang w:eastAsia="zh-CN"/>
              </w:rPr>
              <w:t xml:space="preserve"> </w:t>
            </w:r>
            <w:r>
              <w:rPr>
                <w:rFonts w:eastAsia="Times New Roman"/>
                <w:bCs/>
                <w:szCs w:val="24"/>
                <w:lang w:eastAsia="zh-CN"/>
              </w:rPr>
              <w:t>yra</w:t>
            </w:r>
            <w:r w:rsidRPr="00141194">
              <w:rPr>
                <w:rFonts w:eastAsia="Times New Roman"/>
                <w:bCs/>
                <w:szCs w:val="24"/>
                <w:lang w:eastAsia="zh-CN"/>
              </w:rPr>
              <w:t xml:space="preserve"> </w:t>
            </w:r>
            <w:r>
              <w:rPr>
                <w:rFonts w:eastAsia="Times New Roman"/>
                <w:bCs/>
                <w:szCs w:val="24"/>
                <w:lang w:eastAsia="zh-CN"/>
              </w:rPr>
              <w:t>mobilios</w:t>
            </w:r>
            <w:r w:rsidRPr="00141194">
              <w:rPr>
                <w:rFonts w:eastAsia="Times New Roman"/>
                <w:bCs/>
                <w:szCs w:val="24"/>
                <w:lang w:eastAsia="zh-CN"/>
              </w:rPr>
              <w:t>, pritaikytos pernešimui</w:t>
            </w:r>
          </w:p>
        </w:tc>
        <w:tc>
          <w:tcPr>
            <w:tcW w:w="4529" w:type="dxa"/>
            <w:vAlign w:val="center"/>
          </w:tcPr>
          <w:p w14:paraId="4AAD4D89" w14:textId="719D5B7E" w:rsidR="005100AB" w:rsidRPr="00FC4619" w:rsidRDefault="00023DE8" w:rsidP="00D83B1B">
            <w:pPr>
              <w:spacing w:after="0" w:line="240" w:lineRule="auto"/>
              <w:jc w:val="center"/>
              <w:rPr>
                <w:rFonts w:eastAsia="Times New Roman"/>
                <w:bCs/>
                <w:color w:val="000000" w:themeColor="text1"/>
                <w:sz w:val="22"/>
              </w:rPr>
            </w:pPr>
            <w:r w:rsidRPr="00023DE8">
              <w:rPr>
                <w:rFonts w:eastAsia="Times New Roman"/>
                <w:bCs/>
                <w:color w:val="000000" w:themeColor="text1"/>
                <w:sz w:val="22"/>
              </w:rPr>
              <w:t>TAIP/NE</w:t>
            </w:r>
          </w:p>
        </w:tc>
      </w:tr>
      <w:tr w:rsidR="00141194" w:rsidRPr="005100AB" w14:paraId="59DC5AE8" w14:textId="77777777" w:rsidTr="00D97DDF">
        <w:tc>
          <w:tcPr>
            <w:tcW w:w="9628" w:type="dxa"/>
            <w:gridSpan w:val="2"/>
            <w:vAlign w:val="center"/>
          </w:tcPr>
          <w:p w14:paraId="3E3D89CD" w14:textId="4E18C74D" w:rsidR="00141194" w:rsidRPr="00141194" w:rsidRDefault="00141194" w:rsidP="000129C1">
            <w:pPr>
              <w:spacing w:after="0" w:line="240" w:lineRule="auto"/>
              <w:jc w:val="center"/>
              <w:rPr>
                <w:rFonts w:eastAsia="Times New Roman"/>
                <w:bCs/>
                <w:i/>
                <w:color w:val="000000" w:themeColor="text1"/>
                <w:sz w:val="22"/>
              </w:rPr>
            </w:pPr>
            <w:r w:rsidRPr="00141194">
              <w:rPr>
                <w:rFonts w:eastAsia="Times New Roman"/>
                <w:bCs/>
                <w:i/>
                <w:szCs w:val="24"/>
                <w:lang w:eastAsia="zh-CN"/>
              </w:rPr>
              <w:t xml:space="preserve">Nešiojamų aviacinių svarstyklių komplektas </w:t>
            </w:r>
            <w:r w:rsidR="000129C1">
              <w:rPr>
                <w:rFonts w:eastAsia="Times New Roman"/>
                <w:bCs/>
                <w:i/>
                <w:szCs w:val="24"/>
                <w:lang w:eastAsia="zh-CN"/>
              </w:rPr>
              <w:t>yra</w:t>
            </w:r>
            <w:r w:rsidRPr="00141194">
              <w:rPr>
                <w:rFonts w:eastAsia="Times New Roman"/>
                <w:bCs/>
                <w:i/>
                <w:szCs w:val="24"/>
                <w:lang w:eastAsia="zh-CN"/>
              </w:rPr>
              <w:t xml:space="preserve"> sudarytas</w:t>
            </w:r>
            <w:r w:rsidR="000129C1">
              <w:rPr>
                <w:rFonts w:eastAsia="Times New Roman"/>
                <w:bCs/>
                <w:i/>
                <w:szCs w:val="24"/>
                <w:lang w:eastAsia="zh-CN"/>
              </w:rPr>
              <w:t>:</w:t>
            </w:r>
            <w:r w:rsidRPr="00141194">
              <w:rPr>
                <w:rFonts w:eastAsia="Times New Roman"/>
                <w:bCs/>
                <w:i/>
                <w:szCs w:val="24"/>
                <w:lang w:eastAsia="zh-CN"/>
              </w:rPr>
              <w:t xml:space="preserve"> </w:t>
            </w:r>
          </w:p>
        </w:tc>
      </w:tr>
      <w:tr w:rsidR="005100AB" w:rsidRPr="005100AB" w14:paraId="564E2554" w14:textId="77777777" w:rsidTr="00491CE5">
        <w:tc>
          <w:tcPr>
            <w:tcW w:w="5099" w:type="dxa"/>
            <w:vAlign w:val="center"/>
          </w:tcPr>
          <w:p w14:paraId="71D9E13D" w14:textId="1AEA30F2" w:rsidR="005100AB" w:rsidRPr="005100AB" w:rsidRDefault="000129C1" w:rsidP="00FC4619">
            <w:pPr>
              <w:tabs>
                <w:tab w:val="left" w:pos="883"/>
              </w:tabs>
              <w:spacing w:after="0" w:line="240" w:lineRule="auto"/>
              <w:jc w:val="center"/>
              <w:rPr>
                <w:color w:val="000000" w:themeColor="text1"/>
                <w:sz w:val="22"/>
              </w:rPr>
            </w:pPr>
            <w:r>
              <w:rPr>
                <w:rFonts w:eastAsia="Times New Roman"/>
                <w:bCs/>
                <w:szCs w:val="24"/>
                <w:lang w:eastAsia="zh-CN"/>
              </w:rPr>
              <w:t>K</w:t>
            </w:r>
            <w:r w:rsidR="00141194" w:rsidRPr="00141194">
              <w:rPr>
                <w:rFonts w:eastAsia="Times New Roman"/>
                <w:bCs/>
                <w:szCs w:val="24"/>
                <w:lang w:eastAsia="zh-CN"/>
              </w:rPr>
              <w:t>eturių ašinių svarstyklių</w:t>
            </w:r>
          </w:p>
        </w:tc>
        <w:tc>
          <w:tcPr>
            <w:tcW w:w="4529" w:type="dxa"/>
            <w:vAlign w:val="center"/>
          </w:tcPr>
          <w:p w14:paraId="4EA2CAE2" w14:textId="1271566F" w:rsidR="005100AB" w:rsidRPr="00FC4619" w:rsidRDefault="000129C1" w:rsidP="00023DE8">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CEAA421" w14:textId="77777777" w:rsidTr="00491CE5">
        <w:tc>
          <w:tcPr>
            <w:tcW w:w="5099" w:type="dxa"/>
            <w:vAlign w:val="center"/>
          </w:tcPr>
          <w:p w14:paraId="0EFAF092" w14:textId="64F2496F" w:rsidR="005100AB" w:rsidRPr="005100AB" w:rsidRDefault="000129C1" w:rsidP="00D83B1B">
            <w:pPr>
              <w:tabs>
                <w:tab w:val="left" w:pos="883"/>
              </w:tabs>
              <w:spacing w:after="0" w:line="240" w:lineRule="auto"/>
              <w:jc w:val="center"/>
              <w:rPr>
                <w:color w:val="000000" w:themeColor="text1"/>
                <w:sz w:val="22"/>
              </w:rPr>
            </w:pPr>
            <w:r>
              <w:rPr>
                <w:rFonts w:eastAsia="Times New Roman"/>
                <w:bCs/>
                <w:szCs w:val="24"/>
                <w:lang w:eastAsia="zh-CN"/>
              </w:rPr>
              <w:t>V</w:t>
            </w:r>
            <w:r w:rsidRPr="000129C1">
              <w:rPr>
                <w:rFonts w:eastAsia="Times New Roman"/>
                <w:bCs/>
                <w:szCs w:val="24"/>
                <w:lang w:eastAsia="zh-CN"/>
              </w:rPr>
              <w:t>ieno elektroninio indikatoriaus</w:t>
            </w:r>
          </w:p>
        </w:tc>
        <w:tc>
          <w:tcPr>
            <w:tcW w:w="4529" w:type="dxa"/>
            <w:vAlign w:val="center"/>
          </w:tcPr>
          <w:p w14:paraId="4BEBB77A" w14:textId="35E08674"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90E7843" w14:textId="77777777" w:rsidTr="00491CE5">
        <w:tc>
          <w:tcPr>
            <w:tcW w:w="5099" w:type="dxa"/>
            <w:vAlign w:val="center"/>
          </w:tcPr>
          <w:p w14:paraId="40A7538A" w14:textId="647F553D" w:rsidR="005100AB" w:rsidRPr="005100AB" w:rsidRDefault="000129C1" w:rsidP="00E90332">
            <w:pPr>
              <w:tabs>
                <w:tab w:val="left" w:pos="883"/>
              </w:tabs>
              <w:spacing w:after="0" w:line="240" w:lineRule="auto"/>
              <w:jc w:val="center"/>
              <w:rPr>
                <w:color w:val="000000" w:themeColor="text1"/>
                <w:sz w:val="22"/>
              </w:rPr>
            </w:pPr>
            <w:r>
              <w:rPr>
                <w:rFonts w:eastAsia="Times New Roman"/>
                <w:bCs/>
                <w:szCs w:val="24"/>
                <w:lang w:eastAsia="zh-CN"/>
              </w:rPr>
              <w:t>Yra</w:t>
            </w:r>
            <w:r w:rsidRPr="000129C1">
              <w:rPr>
                <w:rFonts w:eastAsia="Times New Roman"/>
                <w:bCs/>
                <w:szCs w:val="24"/>
                <w:lang w:eastAsia="zh-CN"/>
              </w:rPr>
              <w:t xml:space="preserve"> IP apsaugos klases: IP 68 konstrukciją</w:t>
            </w:r>
          </w:p>
        </w:tc>
        <w:tc>
          <w:tcPr>
            <w:tcW w:w="4529"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0129C1" w:rsidRPr="005100AB" w14:paraId="1018A789" w14:textId="77777777" w:rsidTr="00491CE5">
        <w:tc>
          <w:tcPr>
            <w:tcW w:w="5099" w:type="dxa"/>
            <w:vAlign w:val="center"/>
          </w:tcPr>
          <w:p w14:paraId="21FD547F" w14:textId="0AC6AE8A" w:rsidR="000129C1" w:rsidRDefault="000129C1" w:rsidP="000129C1">
            <w:pPr>
              <w:tabs>
                <w:tab w:val="left" w:pos="883"/>
              </w:tabs>
              <w:spacing w:after="0" w:line="240" w:lineRule="auto"/>
              <w:jc w:val="center"/>
              <w:rPr>
                <w:rFonts w:eastAsia="Times New Roman"/>
                <w:bCs/>
                <w:szCs w:val="24"/>
                <w:lang w:eastAsia="zh-CN"/>
              </w:rPr>
            </w:pPr>
            <w:r w:rsidRPr="000129C1">
              <w:rPr>
                <w:rFonts w:eastAsia="Times New Roman"/>
                <w:bCs/>
                <w:szCs w:val="24"/>
                <w:lang w:eastAsia="zh-CN"/>
              </w:rPr>
              <w:t xml:space="preserve">Svarstyklės </w:t>
            </w:r>
            <w:r>
              <w:rPr>
                <w:rFonts w:eastAsia="Times New Roman"/>
                <w:bCs/>
                <w:szCs w:val="24"/>
                <w:lang w:eastAsia="zh-CN"/>
              </w:rPr>
              <w:t>turi</w:t>
            </w:r>
            <w:r w:rsidRPr="000129C1">
              <w:rPr>
                <w:rFonts w:eastAsia="Times New Roman"/>
                <w:bCs/>
                <w:szCs w:val="24"/>
                <w:lang w:eastAsia="zh-CN"/>
              </w:rPr>
              <w:t xml:space="preserve"> integruotą ekraną svorio apkrovos parodym</w:t>
            </w:r>
            <w:r>
              <w:rPr>
                <w:rFonts w:eastAsia="Times New Roman"/>
                <w:bCs/>
                <w:szCs w:val="24"/>
                <w:lang w:eastAsia="zh-CN"/>
              </w:rPr>
              <w:t>ams</w:t>
            </w:r>
            <w:r w:rsidRPr="000129C1">
              <w:rPr>
                <w:rFonts w:eastAsia="Times New Roman"/>
                <w:bCs/>
                <w:szCs w:val="24"/>
                <w:lang w:eastAsia="zh-CN"/>
              </w:rPr>
              <w:t xml:space="preserve"> ir pakraunamą akumuliatorių</w:t>
            </w:r>
          </w:p>
        </w:tc>
        <w:tc>
          <w:tcPr>
            <w:tcW w:w="4529" w:type="dxa"/>
            <w:vAlign w:val="center"/>
          </w:tcPr>
          <w:p w14:paraId="0E9F4B4E" w14:textId="51B335FD" w:rsidR="000129C1" w:rsidRDefault="000129C1" w:rsidP="00D83B1B">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0129C1" w:rsidRPr="005100AB" w14:paraId="0AEA682B" w14:textId="77777777" w:rsidTr="00491CE5">
        <w:tc>
          <w:tcPr>
            <w:tcW w:w="5099" w:type="dxa"/>
            <w:vAlign w:val="center"/>
          </w:tcPr>
          <w:p w14:paraId="4F9BFA5A" w14:textId="7E57D829" w:rsidR="000129C1" w:rsidRPr="000129C1" w:rsidRDefault="000129C1" w:rsidP="000129C1">
            <w:pPr>
              <w:tabs>
                <w:tab w:val="left" w:pos="883"/>
              </w:tabs>
              <w:spacing w:after="0" w:line="240" w:lineRule="auto"/>
              <w:jc w:val="center"/>
              <w:rPr>
                <w:rFonts w:eastAsia="Times New Roman"/>
                <w:bCs/>
                <w:szCs w:val="24"/>
                <w:lang w:eastAsia="zh-CN"/>
              </w:rPr>
            </w:pPr>
            <w:r w:rsidRPr="000129C1">
              <w:rPr>
                <w:rFonts w:eastAsia="Times New Roman"/>
                <w:bCs/>
                <w:szCs w:val="24"/>
                <w:lang w:eastAsia="zh-CN"/>
              </w:rPr>
              <w:t xml:space="preserve">Svarstyklės </w:t>
            </w:r>
            <w:r>
              <w:rPr>
                <w:rFonts w:eastAsia="Times New Roman"/>
                <w:bCs/>
                <w:szCs w:val="24"/>
                <w:lang w:eastAsia="zh-CN"/>
              </w:rPr>
              <w:t>tur</w:t>
            </w:r>
            <w:r w:rsidRPr="000129C1">
              <w:rPr>
                <w:rFonts w:eastAsia="Times New Roman"/>
                <w:bCs/>
                <w:szCs w:val="24"/>
                <w:lang w:eastAsia="zh-CN"/>
              </w:rPr>
              <w:t>i nerūdijančio plieno svorio daviklius</w:t>
            </w:r>
          </w:p>
        </w:tc>
        <w:tc>
          <w:tcPr>
            <w:tcW w:w="4529" w:type="dxa"/>
            <w:vAlign w:val="center"/>
          </w:tcPr>
          <w:p w14:paraId="2DE024A4" w14:textId="736185F1" w:rsidR="000129C1" w:rsidRDefault="000129C1" w:rsidP="00D83B1B">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0129C1" w:rsidRPr="005100AB" w14:paraId="1B144AED" w14:textId="77777777" w:rsidTr="00491CE5">
        <w:tc>
          <w:tcPr>
            <w:tcW w:w="5099" w:type="dxa"/>
            <w:vAlign w:val="center"/>
          </w:tcPr>
          <w:p w14:paraId="7BFD8221" w14:textId="4635FE49" w:rsidR="000129C1" w:rsidRPr="000129C1" w:rsidRDefault="000129C1" w:rsidP="000129C1">
            <w:pPr>
              <w:tabs>
                <w:tab w:val="left" w:pos="883"/>
              </w:tabs>
              <w:spacing w:after="0" w:line="240" w:lineRule="auto"/>
              <w:jc w:val="center"/>
              <w:rPr>
                <w:rFonts w:eastAsia="Times New Roman"/>
                <w:bCs/>
                <w:szCs w:val="24"/>
                <w:lang w:eastAsia="zh-CN"/>
              </w:rPr>
            </w:pPr>
            <w:r>
              <w:rPr>
                <w:rFonts w:eastAsia="Times New Roman"/>
                <w:bCs/>
                <w:szCs w:val="24"/>
                <w:lang w:eastAsia="zh-CN"/>
              </w:rPr>
              <w:t>Svarstyklės tur</w:t>
            </w:r>
            <w:r w:rsidRPr="000129C1">
              <w:rPr>
                <w:rFonts w:eastAsia="Times New Roman"/>
                <w:bCs/>
                <w:szCs w:val="24"/>
                <w:lang w:eastAsia="zh-CN"/>
              </w:rPr>
              <w:t>i metrologinę patikrą</w:t>
            </w:r>
          </w:p>
        </w:tc>
        <w:tc>
          <w:tcPr>
            <w:tcW w:w="4529" w:type="dxa"/>
            <w:vAlign w:val="center"/>
          </w:tcPr>
          <w:p w14:paraId="4776291E" w14:textId="2B9890E1" w:rsidR="000129C1" w:rsidRDefault="000129C1" w:rsidP="00D83B1B">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90332" w:rsidRPr="005100AB" w14:paraId="258AE982" w14:textId="77777777" w:rsidTr="00476E2D">
        <w:tc>
          <w:tcPr>
            <w:tcW w:w="9628" w:type="dxa"/>
            <w:gridSpan w:val="2"/>
            <w:vAlign w:val="center"/>
          </w:tcPr>
          <w:p w14:paraId="4600BE22" w14:textId="0CCA6E43" w:rsidR="00E90332" w:rsidRPr="00E90332" w:rsidRDefault="000129C1" w:rsidP="00FC4619">
            <w:pPr>
              <w:spacing w:after="0" w:line="240" w:lineRule="auto"/>
              <w:jc w:val="center"/>
              <w:rPr>
                <w:rFonts w:eastAsia="Times New Roman"/>
                <w:bCs/>
                <w:i/>
                <w:color w:val="000000" w:themeColor="text1"/>
                <w:sz w:val="22"/>
              </w:rPr>
            </w:pPr>
            <w:r>
              <w:rPr>
                <w:rFonts w:eastAsia="Times New Roman"/>
                <w:bCs/>
                <w:i/>
                <w:szCs w:val="24"/>
                <w:lang w:eastAsia="ar-SA"/>
              </w:rPr>
              <w:t>Garantiniai reikalavimai</w:t>
            </w:r>
          </w:p>
        </w:tc>
      </w:tr>
      <w:tr w:rsidR="005100AB" w:rsidRPr="005100AB" w14:paraId="79BFF4D0" w14:textId="77777777" w:rsidTr="00491CE5">
        <w:tc>
          <w:tcPr>
            <w:tcW w:w="5099" w:type="dxa"/>
          </w:tcPr>
          <w:p w14:paraId="5D2CDAD2" w14:textId="40C6407B" w:rsidR="005100AB" w:rsidRPr="005100AB" w:rsidRDefault="000129C1" w:rsidP="000129C1">
            <w:pPr>
              <w:tabs>
                <w:tab w:val="left" w:pos="883"/>
              </w:tabs>
              <w:spacing w:after="0" w:line="240" w:lineRule="auto"/>
              <w:jc w:val="center"/>
              <w:rPr>
                <w:sz w:val="22"/>
              </w:rPr>
            </w:pPr>
            <w:r w:rsidRPr="000129C1">
              <w:rPr>
                <w:rFonts w:eastAsia="Times New Roman"/>
                <w:szCs w:val="24"/>
                <w:lang w:eastAsia="zh-CN"/>
              </w:rPr>
              <w:t xml:space="preserve">Siūloma įranga </w:t>
            </w:r>
            <w:r>
              <w:rPr>
                <w:rFonts w:eastAsia="Times New Roman"/>
                <w:szCs w:val="24"/>
                <w:lang w:eastAsia="zh-CN"/>
              </w:rPr>
              <w:t>bus naujoje</w:t>
            </w:r>
            <w:r w:rsidRPr="000129C1">
              <w:rPr>
                <w:rFonts w:eastAsia="Times New Roman"/>
                <w:szCs w:val="24"/>
                <w:lang w:eastAsia="zh-CN"/>
              </w:rPr>
              <w:t>, nepažeisto</w:t>
            </w:r>
            <w:r>
              <w:rPr>
                <w:rFonts w:eastAsia="Times New Roman"/>
                <w:szCs w:val="24"/>
                <w:lang w:eastAsia="zh-CN"/>
              </w:rPr>
              <w:t>je</w:t>
            </w:r>
            <w:r w:rsidRPr="000129C1">
              <w:rPr>
                <w:rFonts w:eastAsia="Times New Roman"/>
                <w:szCs w:val="24"/>
                <w:lang w:eastAsia="zh-CN"/>
              </w:rPr>
              <w:t xml:space="preserve"> gamintojo pakuotė</w:t>
            </w:r>
            <w:r>
              <w:rPr>
                <w:rFonts w:eastAsia="Times New Roman"/>
                <w:szCs w:val="24"/>
                <w:lang w:eastAsia="zh-CN"/>
              </w:rPr>
              <w:t>je</w:t>
            </w:r>
          </w:p>
        </w:tc>
        <w:tc>
          <w:tcPr>
            <w:tcW w:w="4529" w:type="dxa"/>
            <w:vAlign w:val="center"/>
          </w:tcPr>
          <w:p w14:paraId="1CD385C7" w14:textId="105E8893" w:rsidR="005100AB" w:rsidRPr="00FC4619" w:rsidRDefault="00E90332"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0E45815F" w14:textId="77777777" w:rsidTr="00491CE5">
        <w:tc>
          <w:tcPr>
            <w:tcW w:w="5099" w:type="dxa"/>
          </w:tcPr>
          <w:p w14:paraId="5F139556" w14:textId="2D070EC4" w:rsidR="00444C4E" w:rsidRPr="00444C4E" w:rsidRDefault="000129C1" w:rsidP="00D83B1B">
            <w:pPr>
              <w:tabs>
                <w:tab w:val="left" w:pos="883"/>
              </w:tabs>
              <w:spacing w:after="0" w:line="240" w:lineRule="auto"/>
              <w:jc w:val="center"/>
              <w:rPr>
                <w:sz w:val="22"/>
              </w:rPr>
            </w:pPr>
            <w:r>
              <w:rPr>
                <w:rFonts w:eastAsia="Times New Roman"/>
                <w:szCs w:val="24"/>
                <w:lang w:eastAsia="zh-CN"/>
              </w:rPr>
              <w:t>Ji nėra</w:t>
            </w:r>
            <w:r w:rsidRPr="000129C1">
              <w:rPr>
                <w:rFonts w:eastAsia="Times New Roman"/>
                <w:szCs w:val="24"/>
                <w:lang w:eastAsia="zh-CN"/>
              </w:rPr>
              <w:t xml:space="preserve"> atnaujinta ar restauruota (angl. refurbished)</w:t>
            </w:r>
          </w:p>
        </w:tc>
        <w:tc>
          <w:tcPr>
            <w:tcW w:w="4529" w:type="dxa"/>
            <w:vAlign w:val="center"/>
          </w:tcPr>
          <w:p w14:paraId="0D54EE45" w14:textId="3B63B9D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55AD0C0A" w14:textId="77777777" w:rsidTr="00491CE5">
        <w:tc>
          <w:tcPr>
            <w:tcW w:w="5099" w:type="dxa"/>
          </w:tcPr>
          <w:p w14:paraId="530A7D23" w14:textId="10B2D4B5" w:rsidR="00444C4E" w:rsidRPr="00444C4E" w:rsidRDefault="000129C1" w:rsidP="00D83B1B">
            <w:pPr>
              <w:tabs>
                <w:tab w:val="left" w:pos="883"/>
              </w:tabs>
              <w:spacing w:after="0" w:line="240" w:lineRule="auto"/>
              <w:jc w:val="center"/>
              <w:rPr>
                <w:sz w:val="22"/>
              </w:rPr>
            </w:pPr>
            <w:r w:rsidRPr="000129C1">
              <w:rPr>
                <w:rFonts w:eastAsia="Times New Roman"/>
                <w:szCs w:val="24"/>
                <w:lang w:eastAsia="zh-CN"/>
              </w:rPr>
              <w:t>Turi turėti ne trumpesnį kaip 12 mėn. garantinį laikotarp</w:t>
            </w:r>
            <w:r>
              <w:rPr>
                <w:rFonts w:eastAsia="Times New Roman"/>
                <w:szCs w:val="24"/>
                <w:lang w:eastAsia="zh-CN"/>
              </w:rPr>
              <w:t>is</w:t>
            </w:r>
          </w:p>
        </w:tc>
        <w:tc>
          <w:tcPr>
            <w:tcW w:w="4529" w:type="dxa"/>
            <w:vAlign w:val="center"/>
          </w:tcPr>
          <w:p w14:paraId="546F8779" w14:textId="26C43BB0" w:rsidR="00444C4E" w:rsidRPr="00FC4619" w:rsidRDefault="000129C1"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garantinio laikotarpis   (mėn)</w:t>
            </w:r>
          </w:p>
        </w:tc>
      </w:tr>
      <w:tr w:rsidR="00444C4E" w:rsidRPr="005100AB" w14:paraId="3CD40C0C" w14:textId="77777777" w:rsidTr="00491CE5">
        <w:tc>
          <w:tcPr>
            <w:tcW w:w="5099" w:type="dxa"/>
          </w:tcPr>
          <w:p w14:paraId="72B19FF8" w14:textId="237D1B56" w:rsidR="00444C4E" w:rsidRPr="00444C4E" w:rsidRDefault="000129C1" w:rsidP="00EA28E3">
            <w:pPr>
              <w:tabs>
                <w:tab w:val="left" w:pos="883"/>
              </w:tabs>
              <w:spacing w:after="0" w:line="240" w:lineRule="auto"/>
              <w:jc w:val="center"/>
              <w:rPr>
                <w:sz w:val="22"/>
              </w:rPr>
            </w:pPr>
            <w:r>
              <w:rPr>
                <w:rFonts w:eastAsia="Times New Roman"/>
                <w:szCs w:val="24"/>
                <w:lang w:eastAsia="ar-SA"/>
              </w:rPr>
              <w:t>Tiekėjas įsipareigoja garantinio laikotarpio metu,</w:t>
            </w:r>
            <w:r w:rsidRPr="00E7034A">
              <w:rPr>
                <w:rFonts w:eastAsia="Times New Roman"/>
                <w:szCs w:val="24"/>
                <w:lang w:eastAsia="ar-SA"/>
              </w:rPr>
              <w:t xml:space="preserve"> gaminį sutaisyti, pašalinti trūkumus arba pakeisti nauju</w:t>
            </w:r>
            <w:r>
              <w:rPr>
                <w:rFonts w:eastAsia="Times New Roman"/>
                <w:szCs w:val="24"/>
                <w:lang w:eastAsia="ar-SA"/>
              </w:rPr>
              <w:t xml:space="preserve"> jei nepavyksta pašalinti gedimų ar defektų atsiradusiu ne dėl pirkėjo kaltės</w:t>
            </w:r>
          </w:p>
        </w:tc>
        <w:tc>
          <w:tcPr>
            <w:tcW w:w="4529" w:type="dxa"/>
            <w:vAlign w:val="center"/>
          </w:tcPr>
          <w:p w14:paraId="2352DC24" w14:textId="17F25B7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70BDC260" w14:textId="77777777" w:rsidTr="00491CE5">
        <w:tc>
          <w:tcPr>
            <w:tcW w:w="5099" w:type="dxa"/>
          </w:tcPr>
          <w:p w14:paraId="6CA6D62A" w14:textId="5FFA5EF9" w:rsidR="00444C4E" w:rsidRPr="000129C1" w:rsidRDefault="000129C1" w:rsidP="000129C1">
            <w:pPr>
              <w:tabs>
                <w:tab w:val="left" w:pos="883"/>
              </w:tabs>
              <w:spacing w:after="0" w:line="240" w:lineRule="auto"/>
              <w:jc w:val="center"/>
              <w:rPr>
                <w:szCs w:val="24"/>
              </w:rPr>
            </w:pPr>
            <w:r w:rsidRPr="000129C1">
              <w:rPr>
                <w:color w:val="000000" w:themeColor="text1"/>
                <w:szCs w:val="24"/>
              </w:rPr>
              <w:t xml:space="preserve">Kartu su preke bus pateikta </w:t>
            </w:r>
            <w:r w:rsidRPr="000129C1">
              <w:rPr>
                <w:rFonts w:eastAsia="Times New Roman"/>
                <w:szCs w:val="24"/>
                <w:lang w:eastAsia="ar-SA"/>
              </w:rPr>
              <w:t>visą dokumentaciją susijusią su eksploatacija ir jos priežiūra</w:t>
            </w:r>
          </w:p>
        </w:tc>
        <w:tc>
          <w:tcPr>
            <w:tcW w:w="4529" w:type="dxa"/>
            <w:vAlign w:val="center"/>
          </w:tcPr>
          <w:p w14:paraId="5772F8C0" w14:textId="4208AF7E" w:rsidR="00444C4E" w:rsidRPr="00FC4619" w:rsidRDefault="00381BA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90332" w:rsidRPr="005100AB" w14:paraId="72DC3406" w14:textId="77777777" w:rsidTr="00491CE5">
        <w:tc>
          <w:tcPr>
            <w:tcW w:w="5099" w:type="dxa"/>
          </w:tcPr>
          <w:p w14:paraId="0739870C" w14:textId="405F48A9" w:rsidR="00E90332" w:rsidRPr="000129C1" w:rsidRDefault="000129C1" w:rsidP="00381BA3">
            <w:pPr>
              <w:tabs>
                <w:tab w:val="left" w:pos="883"/>
              </w:tabs>
              <w:spacing w:after="0" w:line="240" w:lineRule="auto"/>
              <w:jc w:val="center"/>
              <w:rPr>
                <w:szCs w:val="24"/>
              </w:rPr>
            </w:pPr>
            <w:r w:rsidRPr="000129C1">
              <w:rPr>
                <w:szCs w:val="24"/>
              </w:rPr>
              <w:t>Prekė bus pristatyta nurodytu pirkėjo adresu</w:t>
            </w:r>
          </w:p>
        </w:tc>
        <w:tc>
          <w:tcPr>
            <w:tcW w:w="4529" w:type="dxa"/>
            <w:vAlign w:val="center"/>
          </w:tcPr>
          <w:p w14:paraId="44FE825E" w14:textId="2C7AB556" w:rsidR="00E90332"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bl>
    <w:p w14:paraId="697E90B1" w14:textId="77777777" w:rsidR="005100AB" w:rsidRPr="005100AB" w:rsidRDefault="005100AB" w:rsidP="005100AB">
      <w:pPr>
        <w:spacing w:after="0" w:line="240" w:lineRule="auto"/>
        <w:ind w:left="6480" w:firstLine="720"/>
        <w:rPr>
          <w:rFonts w:eastAsia="Times New Roman"/>
          <w:b/>
          <w:bCs/>
          <w:color w:val="000000" w:themeColor="text1"/>
          <w:sz w:val="22"/>
        </w:rPr>
      </w:pPr>
    </w:p>
    <w:p w14:paraId="0A455403"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5D57AB4C" w14:textId="7247DB99" w:rsidR="008B7E0F" w:rsidRPr="00077687" w:rsidRDefault="008B7E0F" w:rsidP="00DC0CC4">
      <w:pPr>
        <w:tabs>
          <w:tab w:val="left" w:pos="6379"/>
        </w:tabs>
        <w:spacing w:after="0" w:line="240" w:lineRule="auto"/>
        <w:rPr>
          <w:rFonts w:eastAsia="Times New Roman"/>
          <w:b/>
          <w:sz w:val="22"/>
          <w:lang w:eastAsia="lt-LT"/>
        </w:rPr>
      </w:pPr>
      <w:bookmarkStart w:id="0" w:name="_GoBack"/>
      <w:bookmarkEnd w:id="0"/>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476E2D" w:rsidRDefault="00476E2D">
      <w:r>
        <w:separator/>
      </w:r>
    </w:p>
  </w:endnote>
  <w:endnote w:type="continuationSeparator" w:id="0">
    <w:p w14:paraId="37903356" w14:textId="77777777" w:rsidR="00476E2D" w:rsidRDefault="0047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476E2D" w:rsidRDefault="00476E2D"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476E2D" w:rsidRDefault="00476E2D"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476E2D" w:rsidRDefault="00476E2D">
      <w:r>
        <w:separator/>
      </w:r>
    </w:p>
  </w:footnote>
  <w:footnote w:type="continuationSeparator" w:id="0">
    <w:p w14:paraId="123EEF15" w14:textId="77777777" w:rsidR="00476E2D" w:rsidRDefault="0047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A406921" w:rsidR="00476E2D" w:rsidRDefault="00476E2D">
    <w:pPr>
      <w:pStyle w:val="Header"/>
      <w:jc w:val="center"/>
    </w:pPr>
    <w:r>
      <w:fldChar w:fldCharType="begin"/>
    </w:r>
    <w:r>
      <w:instrText>PAGE   \* MERGEFORMAT</w:instrText>
    </w:r>
    <w:r>
      <w:fldChar w:fldCharType="separate"/>
    </w:r>
    <w:r w:rsidR="00DC0CC4">
      <w:rPr>
        <w:noProof/>
      </w:rPr>
      <w:t>3</w:t>
    </w:r>
    <w:r>
      <w:fldChar w:fldCharType="end"/>
    </w:r>
  </w:p>
  <w:p w14:paraId="4987C303" w14:textId="77777777" w:rsidR="00476E2D" w:rsidRDefault="004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F684B56"/>
    <w:multiLevelType w:val="multilevel"/>
    <w:tmpl w:val="CDEC689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0"/>
  </w:num>
  <w:num w:numId="14">
    <w:abstractNumId w:val="36"/>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2"/>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23"/>
    <w:lvlOverride w:ilvl="0">
      <w:startOverride w:val="1"/>
    </w:lvlOverride>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9C1"/>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3DE8"/>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C8"/>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2E"/>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194"/>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5E8B"/>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1FC3"/>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661"/>
    <w:rsid w:val="003F68EA"/>
    <w:rsid w:val="003F75EA"/>
    <w:rsid w:val="00400415"/>
    <w:rsid w:val="00400995"/>
    <w:rsid w:val="00400B47"/>
    <w:rsid w:val="00400F46"/>
    <w:rsid w:val="0040299D"/>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6E2D"/>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1CE5"/>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0BE7"/>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4A39"/>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2E2"/>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4C"/>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49E0"/>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2DE"/>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ABC"/>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0809"/>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37AF"/>
    <w:rsid w:val="00DB49F7"/>
    <w:rsid w:val="00DB68F5"/>
    <w:rsid w:val="00DB69FA"/>
    <w:rsid w:val="00DC04B9"/>
    <w:rsid w:val="00DC0CC4"/>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6CD"/>
    <w:rsid w:val="00E62791"/>
    <w:rsid w:val="00E628DD"/>
    <w:rsid w:val="00E62B92"/>
    <w:rsid w:val="00E642E4"/>
    <w:rsid w:val="00E65DBC"/>
    <w:rsid w:val="00E663FC"/>
    <w:rsid w:val="00E70177"/>
    <w:rsid w:val="00E7034A"/>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332"/>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1DBB"/>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6D9483-BF28-42A9-BF7E-D8CA87A0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824</Words>
  <Characters>4698</Characters>
  <Application>Microsoft Office Word</Application>
  <DocSecurity>0</DocSecurity>
  <Lines>39</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5511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55</cp:revision>
  <cp:lastPrinted>2019-12-19T07:35:00Z</cp:lastPrinted>
  <dcterms:created xsi:type="dcterms:W3CDTF">2025-04-10T12:51:00Z</dcterms:created>
  <dcterms:modified xsi:type="dcterms:W3CDTF">2026-04-30T11:46:00Z</dcterms:modified>
</cp:coreProperties>
</file>