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EFEB" w14:textId="607592A6" w:rsidR="006B159D" w:rsidRPr="006B159D" w:rsidRDefault="006B159D" w:rsidP="006B159D">
      <w:pPr>
        <w:spacing w:line="276" w:lineRule="auto"/>
        <w:jc w:val="right"/>
        <w:rPr>
          <w:rFonts w:ascii="Times New Roman" w:eastAsia="Aptos" w:hAnsi="Times New Roman" w:cs="Times New Roman"/>
        </w:rPr>
      </w:pPr>
      <w:r w:rsidRPr="006B159D">
        <w:rPr>
          <w:rFonts w:ascii="Times New Roman" w:eastAsia="Aptos" w:hAnsi="Times New Roman" w:cs="Times New Roman"/>
        </w:rPr>
        <w:t>Pirkimo sąlygų 2 priedas</w:t>
      </w:r>
    </w:p>
    <w:p w14:paraId="7A18447F" w14:textId="795774D2" w:rsidR="00B24A09" w:rsidRDefault="006B159D" w:rsidP="00B24A09">
      <w:pPr>
        <w:spacing w:line="276" w:lineRule="auto"/>
        <w:jc w:val="center"/>
        <w:rPr>
          <w:rFonts w:ascii="Times New Roman" w:eastAsia="Aptos" w:hAnsi="Times New Roman" w:cs="Times New Roman"/>
          <w:b/>
          <w:bCs/>
        </w:rPr>
      </w:pPr>
      <w:r w:rsidRPr="00B24A09">
        <w:rPr>
          <w:rFonts w:ascii="Times New Roman" w:eastAsia="Aptos" w:hAnsi="Times New Roman" w:cs="Times New Roman"/>
          <w:b/>
          <w:bCs/>
        </w:rPr>
        <w:t>TECHNINĖ SPECIFIKACIJA</w:t>
      </w:r>
    </w:p>
    <w:p w14:paraId="2B29A6C2" w14:textId="2FCE1AD3" w:rsidR="00EE5AFA" w:rsidRPr="00B24A09" w:rsidRDefault="00EE5AFA" w:rsidP="00B24A09">
      <w:pPr>
        <w:spacing w:line="276" w:lineRule="auto"/>
        <w:jc w:val="center"/>
        <w:rPr>
          <w:rFonts w:ascii="Times New Roman" w:eastAsia="Aptos" w:hAnsi="Times New Roman" w:cs="Times New Roman"/>
          <w:b/>
          <w:bCs/>
        </w:rPr>
      </w:pPr>
      <w:r w:rsidRPr="00EE5AFA">
        <w:rPr>
          <w:rFonts w:ascii="Times New Roman" w:eastAsia="Aptos" w:hAnsi="Times New Roman" w:cs="Times New Roman"/>
          <w:b/>
          <w:bCs/>
        </w:rPr>
        <w:t>DIDELĖS SKAIČIAVIMO GALIOS TARNYBIN</w:t>
      </w:r>
      <w:r>
        <w:rPr>
          <w:rFonts w:ascii="Times New Roman" w:eastAsia="Aptos" w:hAnsi="Times New Roman" w:cs="Times New Roman"/>
          <w:b/>
          <w:bCs/>
        </w:rPr>
        <w:t>ĖS STOTYS</w:t>
      </w:r>
      <w:r w:rsidRPr="00EE5AFA">
        <w:rPr>
          <w:rFonts w:ascii="Times New Roman" w:eastAsia="Aptos" w:hAnsi="Times New Roman" w:cs="Times New Roman"/>
          <w:b/>
          <w:bCs/>
        </w:rPr>
        <w:t xml:space="preserve"> </w:t>
      </w:r>
    </w:p>
    <w:p w14:paraId="1008AE08" w14:textId="26BDF6CE" w:rsidR="00B24A09" w:rsidRDefault="00B24A09" w:rsidP="00B24A09">
      <w:pPr>
        <w:spacing w:after="0" w:line="240" w:lineRule="auto"/>
        <w:rPr>
          <w:rFonts w:ascii="Times New Roman" w:eastAsia="Times New Roman" w:hAnsi="Times New Roman" w:cs="Times New Roman"/>
          <w:b/>
          <w:kern w:val="0"/>
          <w:sz w:val="22"/>
          <w:szCs w:val="22"/>
          <w14:ligatures w14:val="none"/>
        </w:rPr>
      </w:pPr>
    </w:p>
    <w:p w14:paraId="5259C20E" w14:textId="29915A0B" w:rsidR="00936DFE" w:rsidRPr="00936DFE" w:rsidRDefault="00936DFE" w:rsidP="00936DFE">
      <w:pPr>
        <w:spacing w:after="0" w:line="240" w:lineRule="auto"/>
        <w:ind w:firstLine="1296"/>
        <w:rPr>
          <w:rFonts w:ascii="Times New Roman" w:eastAsia="Times New Roman" w:hAnsi="Times New Roman" w:cs="Times New Roman"/>
          <w:b/>
          <w:kern w:val="0"/>
          <w:sz w:val="22"/>
          <w:szCs w:val="22"/>
          <w14:ligatures w14:val="none"/>
        </w:rPr>
      </w:pPr>
      <w:r w:rsidRPr="00936DFE">
        <w:rPr>
          <w:rFonts w:ascii="Times New Roman" w:eastAsia="Times New Roman" w:hAnsi="Times New Roman" w:cs="Times New Roman"/>
          <w:b/>
          <w:kern w:val="0"/>
          <w:sz w:val="22"/>
          <w:szCs w:val="22"/>
          <w14:ligatures w14:val="none"/>
        </w:rPr>
        <w:t>1.</w:t>
      </w:r>
      <w:r>
        <w:rPr>
          <w:rFonts w:ascii="Times New Roman" w:eastAsia="Times New Roman" w:hAnsi="Times New Roman" w:cs="Times New Roman"/>
          <w:b/>
          <w:kern w:val="0"/>
          <w:sz w:val="22"/>
          <w:szCs w:val="22"/>
          <w14:ligatures w14:val="none"/>
        </w:rPr>
        <w:t xml:space="preserve"> </w:t>
      </w:r>
      <w:r w:rsidRPr="00936DFE">
        <w:rPr>
          <w:rFonts w:ascii="Times New Roman" w:eastAsia="Times New Roman" w:hAnsi="Times New Roman" w:cs="Times New Roman"/>
          <w:b/>
          <w:kern w:val="0"/>
          <w:sz w:val="22"/>
          <w:szCs w:val="22"/>
          <w14:ligatures w14:val="none"/>
        </w:rPr>
        <w:t>PIRKIMO OBJEKTAS</w:t>
      </w:r>
    </w:p>
    <w:p w14:paraId="587678D6" w14:textId="2B0F4508"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1.1. Pirkimo objektas –  Didelės skaičiavimo galio</w:t>
      </w:r>
      <w:r w:rsidR="008169EA">
        <w:rPr>
          <w:rFonts w:ascii="Times New Roman" w:eastAsia="Times New Roman" w:hAnsi="Times New Roman" w:cs="Times New Roman"/>
          <w:bCs/>
          <w:kern w:val="0"/>
          <w:sz w:val="22"/>
          <w:szCs w:val="22"/>
          <w14:ligatures w14:val="none"/>
        </w:rPr>
        <w:t>s</w:t>
      </w:r>
      <w:r w:rsidRPr="0011629D">
        <w:rPr>
          <w:rFonts w:ascii="Times New Roman" w:eastAsia="Times New Roman" w:hAnsi="Times New Roman" w:cs="Times New Roman"/>
          <w:bCs/>
          <w:kern w:val="0"/>
          <w:sz w:val="22"/>
          <w:szCs w:val="22"/>
          <w14:ligatures w14:val="none"/>
        </w:rPr>
        <w:t xml:space="preserve"> tarnybinės stotys (toliau – Įranga).</w:t>
      </w:r>
    </w:p>
    <w:p w14:paraId="54069D35" w14:textId="206E84D3"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1.2. </w:t>
      </w:r>
      <w:r w:rsidRPr="00D3468B">
        <w:rPr>
          <w:rFonts w:ascii="Times New Roman" w:eastAsia="Times New Roman" w:hAnsi="Times New Roman" w:cs="Times New Roman"/>
          <w:bCs/>
          <w:kern w:val="0"/>
          <w:sz w:val="22"/>
          <w:szCs w:val="22"/>
          <w14:ligatures w14:val="none"/>
        </w:rPr>
        <w:t>Kiekis – 6 vnt.</w:t>
      </w:r>
    </w:p>
    <w:p w14:paraId="1CC9D093" w14:textId="576435C5"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1.3. Prekių pristatymo adresas: </w:t>
      </w:r>
      <w:r w:rsidRPr="00B313DC">
        <w:rPr>
          <w:rFonts w:ascii="Times New Roman" w:eastAsia="Times New Roman" w:hAnsi="Times New Roman" w:cs="Times New Roman"/>
          <w:bCs/>
          <w:kern w:val="0"/>
          <w:sz w:val="22"/>
          <w:szCs w:val="22"/>
          <w14:ligatures w14:val="none"/>
        </w:rPr>
        <w:t>VILNIUS TECH Informacinių technologijų ir sistemų centras, Saulėtekio rūmų I laboratorinio korpuso 318 kab., Saulėtekio al. 11, Vilnius.</w:t>
      </w:r>
    </w:p>
    <w:p w14:paraId="05535479" w14:textId="6A5D857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B313DC">
        <w:rPr>
          <w:rFonts w:ascii="Times New Roman" w:eastAsia="Times New Roman" w:hAnsi="Times New Roman" w:cs="Times New Roman"/>
          <w:bCs/>
          <w:kern w:val="0"/>
          <w:sz w:val="22"/>
          <w:szCs w:val="22"/>
          <w14:ligatures w14:val="none"/>
        </w:rPr>
        <w:t>1.4. Prekių pristatymo terminai:</w:t>
      </w:r>
      <w:r w:rsidRPr="0011629D">
        <w:rPr>
          <w:rFonts w:ascii="Times New Roman" w:eastAsia="Times New Roman" w:hAnsi="Times New Roman" w:cs="Times New Roman"/>
          <w:bCs/>
          <w:kern w:val="0"/>
          <w:sz w:val="22"/>
          <w:szCs w:val="22"/>
          <w14:ligatures w14:val="none"/>
        </w:rPr>
        <w:t xml:space="preserve"> </w:t>
      </w:r>
    </w:p>
    <w:p w14:paraId="68DC5ADB" w14:textId="28CB02F6"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.1. Įranga turi būti pristatyta, sukonfigūruota ir paruošta darbui - ne vėliau kaip per 60 kalendorinių dienų nuo sutarties įsigaliojimo dienos. Į šį terminą įskaičiuotas prekių paruošimas darbui (montavimas, diegimas, paleidimas, funkcionalumo patikrinimas ir perkančiosios organizacijos darbuotojų apmokymas).</w:t>
      </w:r>
    </w:p>
    <w:p w14:paraId="6CE893F2" w14:textId="77777777" w:rsidR="00936DFE" w:rsidRPr="0011629D" w:rsidRDefault="00936DFE" w:rsidP="0011629D">
      <w:pPr>
        <w:spacing w:after="0" w:line="240" w:lineRule="auto"/>
        <w:jc w:val="both"/>
        <w:rPr>
          <w:rFonts w:ascii="Times New Roman" w:eastAsia="Times New Roman" w:hAnsi="Times New Roman" w:cs="Times New Roman"/>
          <w:b/>
          <w:kern w:val="0"/>
          <w:sz w:val="22"/>
          <w:szCs w:val="22"/>
          <w14:ligatures w14:val="none"/>
        </w:rPr>
      </w:pPr>
    </w:p>
    <w:p w14:paraId="3180A69F" w14:textId="3577DC4D" w:rsidR="00936DFE" w:rsidRPr="0011629D" w:rsidRDefault="00936DFE" w:rsidP="0011629D">
      <w:pPr>
        <w:spacing w:after="0" w:line="240" w:lineRule="auto"/>
        <w:ind w:firstLine="1296"/>
        <w:jc w:val="both"/>
        <w:rPr>
          <w:rFonts w:ascii="Times New Roman" w:eastAsia="Times New Roman" w:hAnsi="Times New Roman" w:cs="Times New Roman"/>
          <w:b/>
          <w:kern w:val="0"/>
          <w:sz w:val="22"/>
          <w:szCs w:val="22"/>
          <w14:ligatures w14:val="none"/>
        </w:rPr>
      </w:pPr>
      <w:r w:rsidRPr="0011629D">
        <w:rPr>
          <w:rFonts w:ascii="Times New Roman" w:eastAsia="Times New Roman" w:hAnsi="Times New Roman" w:cs="Times New Roman"/>
          <w:b/>
          <w:kern w:val="0"/>
          <w:sz w:val="22"/>
          <w:szCs w:val="22"/>
          <w14:ligatures w14:val="none"/>
        </w:rPr>
        <w:t>2. REIKALAVIMAI PIRKIMO OBJEKTUI:</w:t>
      </w:r>
    </w:p>
    <w:p w14:paraId="5018D5BD" w14:textId="77777777"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2.1. Jeigu techninėje specifikacijoje nurodytas konkretus modelis ar šaltinis, konkretus procesas ar prekės ženklas, patentas, tipai, konkreti kilmė ar gamyba, tai tokiu atveju nurodytai formuluotei taikomas „arba lygiavertis“.</w:t>
      </w:r>
    </w:p>
    <w:p w14:paraId="63CC9EE1" w14:textId="0107D57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2.2</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Visa siūloma įranga turi būti nauja, nenaudota, gamykliniame įpakavime. Pateikiama įranga negali būti gamintojo atnaujinta („Refurbished“ arba „Remarketed“).</w:t>
      </w:r>
    </w:p>
    <w:p w14:paraId="3BF81B2B" w14:textId="027C54D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Pr="0011629D">
        <w:rPr>
          <w:rFonts w:ascii="Times New Roman" w:eastAsia="Times New Roman" w:hAnsi="Times New Roman" w:cs="Times New Roman"/>
          <w:bCs/>
          <w:kern w:val="0"/>
          <w:sz w:val="22"/>
          <w:szCs w:val="22"/>
          <w14:ligatures w14:val="none"/>
        </w:rPr>
        <w:t>.3</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 xml:space="preserve">Tiekėjas turi užtikrinti, kad gamintojas nėra paskelbęs žinios apie siūlomos įrangos gamybos arba tobulinimo nutraukimą (pvz., angl. end of life time ar Discontinued); </w:t>
      </w:r>
    </w:p>
    <w:p w14:paraId="38371D02" w14:textId="031C6113"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.4</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3560AE25" w14:textId="576BAA35"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.5</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Visos techninės įrangos maitinimo įtampa turi būti 230V 50Hz (galima paklaida ±10 proc.) su Europos kontinentinėje dalyje naudojama jungtimi (CEE 7/7), jeigu nenurodyta kitaip.</w:t>
      </w:r>
    </w:p>
    <w:p w14:paraId="590581CE" w14:textId="5EFD3E9F"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.6</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Jeigu nenurodyta kitaip, techninė įranga privalo veikti be sutrikimų, kai temperatūros režimas techninės įrangos įdiegimo patalpoje yra ne siauresnėse ribose kaip nuo +10C iki +35C, o santykinė oro drėgmė 10–70 proc. Pateikti tai įrodančius gamintojo dokumentus (gamintojo katalogą, arba gamintojo brošiūrą, arba gamintojo internetinės svetainės ekrano nuotrauką).</w:t>
      </w:r>
    </w:p>
    <w:p w14:paraId="524B4B77" w14:textId="626C2AFD"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.7</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Visa pateikiama įranga turės būti sumontuota ir sujungta  pagal schemą, kurią Tiekėjas turės paruošti ir suderinti su Perkančiąja organizacija likus ne mažiau kaip 30 dienų iki numatytos montavimo ir sujungimo dienos. Vadovaujantis gamintojo rekomendacijomis, visi priklausantys kabeliai (maitinimo, duomenų perdavimo ir kt.) turi būti prijungti, išvedžioti, pritvirtinti ir išdėlioti pirkėjo spintose ir sužymėti pagal suderintą schemą. Perkančioji organizacija reikalauja Tiekėjo pateikti, sumontuoti ir pagal suderintą schemą sukonfigūruoti įrangą ir suderinti tarpusavio komponentų tinkamą veikimą, kartu su Perkančiosios organizacijos atstovais atlikti testavimą. Įranga turi veikti kaip suderintas patikimas sprendimas, sukuriantis Perkančiosios organizacijos duomenų perdavimo ir saugojimo platformą.</w:t>
      </w:r>
    </w:p>
    <w:p w14:paraId="2F84F768" w14:textId="7DF90215"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8</w:t>
      </w:r>
      <w:r w:rsidRPr="0011629D">
        <w:rPr>
          <w:rFonts w:ascii="Times New Roman" w:eastAsia="Times New Roman" w:hAnsi="Times New Roman" w:cs="Times New Roman"/>
          <w:bCs/>
          <w:kern w:val="0"/>
          <w:sz w:val="22"/>
          <w:szCs w:val="22"/>
          <w14:ligatures w14:val="none"/>
        </w:rPr>
        <w:t xml:space="preserve">. Kartu su pasiūlymu turi būti pateikta: Siūlomos prekės gamintojo techninę specifikaciją, arba įrangos gamintojo prekių aprašymai (techniniai dokumentai, brošiūros ir pan. pdf formatu) ar kiti lygiaverčiai dokumentai, įrodantys siūlomų prekių atitikimą minimaliems techniniams reikalavimams. Šiuose pateikiamuose dokumentuose </w:t>
      </w:r>
      <w:r w:rsidRPr="0011629D">
        <w:rPr>
          <w:rFonts w:ascii="Times New Roman" w:eastAsia="Times New Roman" w:hAnsi="Times New Roman" w:cs="Times New Roman"/>
          <w:bCs/>
          <w:kern w:val="0"/>
          <w:sz w:val="22"/>
          <w:szCs w:val="22"/>
          <w14:ligatures w14:val="none"/>
        </w:rPr>
        <w:lastRenderedPageBreak/>
        <w:t xml:space="preserve">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ir (ar) kituose lygiaverčiuose dokumentuose tam tikros reikšmės nėra nurodytos, turi būti pateikta gamintojo deklaracija ar kitas lygiavertis dokumentas, patvirtinantis atitiktį reikalaujamai reikšmei. </w:t>
      </w:r>
    </w:p>
    <w:p w14:paraId="1B141BDD" w14:textId="1281E055"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9</w:t>
      </w:r>
      <w:r w:rsidRPr="0011629D">
        <w:rPr>
          <w:rFonts w:ascii="Times New Roman" w:eastAsia="Times New Roman" w:hAnsi="Times New Roman" w:cs="Times New Roman"/>
          <w:bCs/>
          <w:kern w:val="0"/>
          <w:sz w:val="22"/>
          <w:szCs w:val="22"/>
          <w14:ligatures w14:val="none"/>
        </w:rPr>
        <w:t>. Techninėje specifikacijoje yra išdėstyti minimalūs reikalavimai įrangai . Įranga turi atitikti minimalius kokybės ir techninius reikalavimus. Tiekėjas gali siūlyti geresnių charakteristikų pirkimo objektą. Techninėje specifikacijoje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w:t>
      </w:r>
    </w:p>
    <w:p w14:paraId="60B1FAA6" w14:textId="2DD287A1"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10</w:t>
      </w:r>
      <w:r w:rsidRPr="0011629D">
        <w:rPr>
          <w:rFonts w:ascii="Times New Roman" w:eastAsia="Times New Roman" w:hAnsi="Times New Roman" w:cs="Times New Roman"/>
          <w:bCs/>
          <w:kern w:val="0"/>
          <w:sz w:val="22"/>
          <w:szCs w:val="22"/>
          <w14:ligatures w14:val="none"/>
        </w:rPr>
        <w:t>. * – žvaigždute pažymėti reikalavimai (reikalavimų grupė) gali neatsispindėti įrangos gamintojo techninėje specifikacijoje, brošiūrose, kituose techniniuose ar lygiaverčiuose dokumentuose, tačiau atitikimas šiems reikalavimams privalo būti užtikrintas.</w:t>
      </w:r>
    </w:p>
    <w:p w14:paraId="6D9A6098" w14:textId="77777777" w:rsidR="00936DFE" w:rsidRPr="00936DFE" w:rsidRDefault="00936DFE" w:rsidP="00B24A09">
      <w:pPr>
        <w:spacing w:after="0" w:line="240" w:lineRule="auto"/>
        <w:rPr>
          <w:rFonts w:ascii="Times New Roman" w:eastAsia="Times New Roman" w:hAnsi="Times New Roman" w:cs="Times New Roman"/>
          <w:bCs/>
          <w:kern w:val="0"/>
          <w:sz w:val="22"/>
          <w:szCs w:val="22"/>
          <w14:ligatures w14:val="none"/>
        </w:rPr>
      </w:pPr>
    </w:p>
    <w:p w14:paraId="65D052BE" w14:textId="537439A1" w:rsidR="00B24A09" w:rsidRPr="00B24A09" w:rsidRDefault="00B24A09" w:rsidP="00B24A09">
      <w:pPr>
        <w:tabs>
          <w:tab w:val="left" w:pos="1418"/>
        </w:tabs>
        <w:spacing w:line="240" w:lineRule="auto"/>
        <w:contextualSpacing/>
        <w:jc w:val="both"/>
        <w:rPr>
          <w:rFonts w:ascii="Times New Roman" w:eastAsia="Times New Roman" w:hAnsi="Times New Roman" w:cs="Times New Roman"/>
          <w:b/>
          <w:kern w:val="0"/>
          <w:sz w:val="22"/>
          <w:szCs w:val="22"/>
          <w:lang w:val="en-US"/>
          <w14:ligatures w14:val="none"/>
        </w:rPr>
      </w:pP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kern w:val="0"/>
          <w14:ligatures w14:val="none"/>
        </w:rPr>
        <w:tab/>
      </w: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bCs/>
          <w:kern w:val="0"/>
          <w:sz w:val="22"/>
          <w:szCs w:val="22"/>
          <w14:ligatures w14:val="none"/>
        </w:rPr>
        <w:t>3</w:t>
      </w:r>
      <w:r w:rsidRPr="00B24A09">
        <w:rPr>
          <w:rFonts w:ascii="Times New Roman" w:eastAsia="Times New Roman" w:hAnsi="Times New Roman" w:cs="Times New Roman"/>
          <w:b/>
          <w:bCs/>
          <w:kern w:val="0"/>
          <w:sz w:val="22"/>
          <w:szCs w:val="22"/>
          <w14:ligatures w14:val="none"/>
        </w:rPr>
        <w:t>. Techniniai reikalavimai didelės skaičiavimo galios tarnybinei stočiai (</w:t>
      </w:r>
      <w:r w:rsidR="00EE1777">
        <w:rPr>
          <w:rFonts w:ascii="Times New Roman" w:eastAsia="Times New Roman" w:hAnsi="Times New Roman" w:cs="Times New Roman"/>
          <w:b/>
          <w:bCs/>
          <w:kern w:val="0"/>
          <w:sz w:val="22"/>
          <w:szCs w:val="22"/>
          <w14:ligatures w14:val="none"/>
        </w:rPr>
        <w:t>6</w:t>
      </w:r>
      <w:r w:rsidRPr="00B24A09">
        <w:rPr>
          <w:rFonts w:ascii="Times New Roman" w:eastAsia="Times New Roman" w:hAnsi="Times New Roman" w:cs="Times New Roman"/>
          <w:b/>
          <w:bCs/>
          <w:kern w:val="0"/>
          <w:sz w:val="22"/>
          <w:szCs w:val="22"/>
          <w14:ligatures w14:val="none"/>
        </w:rPr>
        <w:t xml:space="preserve"> vnt.) </w:t>
      </w:r>
      <w:r w:rsidRPr="00B24A09">
        <w:rPr>
          <w:rFonts w:ascii="Times New Roman" w:eastAsia="Times New Roman" w:hAnsi="Times New Roman" w:cs="Times New Roman"/>
          <w:b/>
          <w:kern w:val="0"/>
          <w:sz w:val="22"/>
          <w:szCs w:val="22"/>
          <w14:ligatures w14:val="none"/>
        </w:rPr>
        <w:t xml:space="preserve"> </w:t>
      </w:r>
    </w:p>
    <w:tbl>
      <w:tblPr>
        <w:tblW w:w="13467" w:type="dxa"/>
        <w:jc w:val="center"/>
        <w:tblLayout w:type="fixed"/>
        <w:tblLook w:val="04A0" w:firstRow="1" w:lastRow="0" w:firstColumn="1" w:lastColumn="0" w:noHBand="0" w:noVBand="1"/>
      </w:tblPr>
      <w:tblGrid>
        <w:gridCol w:w="1348"/>
        <w:gridCol w:w="2487"/>
        <w:gridCol w:w="5673"/>
        <w:gridCol w:w="3959"/>
      </w:tblGrid>
      <w:tr w:rsidR="00B24A09" w:rsidRPr="00B24A09" w14:paraId="405B7A5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04033957" w14:textId="77777777" w:rsidR="00B24A09" w:rsidRPr="00B24A09" w:rsidRDefault="00B24A09" w:rsidP="00B24A09">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BB6AD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52FD8DD8" w14:textId="77777777" w:rsidR="00B24A09" w:rsidRPr="00B24A09" w:rsidRDefault="00B24A09" w:rsidP="00B24A09">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643780F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1"/>
            </w:r>
          </w:p>
        </w:tc>
      </w:tr>
      <w:tr w:rsidR="00B24A09" w:rsidRPr="00B24A09" w14:paraId="3F8E7F9C"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0714A0E" w14:textId="77777777" w:rsidR="00B24A09" w:rsidRPr="00B24A09" w:rsidRDefault="00B24A09" w:rsidP="00B24A09">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32A4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Korpusas</w:t>
            </w:r>
          </w:p>
        </w:tc>
        <w:tc>
          <w:tcPr>
            <w:tcW w:w="5673" w:type="dxa"/>
            <w:tcBorders>
              <w:top w:val="single" w:sz="4" w:space="0" w:color="000000"/>
              <w:left w:val="single" w:sz="4" w:space="0" w:color="000000"/>
              <w:bottom w:val="single" w:sz="4" w:space="0" w:color="000000"/>
              <w:right w:val="single" w:sz="4" w:space="0" w:color="000000"/>
            </w:tcBorders>
            <w:hideMark/>
          </w:tcPr>
          <w:p w14:paraId="62DE6D50"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„Rack“ tipo, montuojamas 19“ montavimo spintą. </w:t>
            </w:r>
          </w:p>
          <w:p w14:paraId="0A147E9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Spintoje turi užimti ne daugiau kaip 4U. </w:t>
            </w:r>
          </w:p>
          <w:p w14:paraId="4F49293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turėti priekinį dangtelį su užraktu diskų apsaugai.</w:t>
            </w:r>
          </w:p>
          <w:p w14:paraId="44C006D1"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(cable management arm), skirtus montavimui į 19“ spintą.</w:t>
            </w:r>
          </w:p>
        </w:tc>
        <w:tc>
          <w:tcPr>
            <w:tcW w:w="3959" w:type="dxa"/>
            <w:tcBorders>
              <w:top w:val="single" w:sz="4" w:space="0" w:color="000000"/>
              <w:left w:val="single" w:sz="4" w:space="0" w:color="000000"/>
              <w:bottom w:val="single" w:sz="4" w:space="0" w:color="000000"/>
              <w:right w:val="single" w:sz="4" w:space="0" w:color="000000"/>
            </w:tcBorders>
          </w:tcPr>
          <w:p w14:paraId="15D24AD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AB59AC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8C26B85" w14:textId="77777777" w:rsidR="00B24A09" w:rsidRPr="00B24A09" w:rsidRDefault="00B24A09" w:rsidP="00B24A09">
            <w:pPr>
              <w:widowControl w:val="0"/>
              <w:numPr>
                <w:ilvl w:val="0"/>
                <w:numId w:val="3"/>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5A3C414" w14:textId="77777777" w:rsidR="00B24A09" w:rsidRPr="00B24A09" w:rsidRDefault="00B24A09" w:rsidP="00B24A09">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Procesoriaus technologija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66A6094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B24A09">
              <w:rPr>
                <w:rFonts w:ascii="Times New Roman" w:eastAsia="Times New Roman" w:hAnsi="Times New Roman" w:cs="Times New Roman"/>
                <w:kern w:val="0"/>
                <w:sz w:val="20"/>
                <w:szCs w:val="20"/>
                <w14:ligatures w14:val="none"/>
              </w:rPr>
              <w:t xml:space="preserve">Aparatinio virtualizavimo (angl. </w:t>
            </w:r>
            <w:r w:rsidRPr="00B24A09">
              <w:rPr>
                <w:rFonts w:ascii="Times New Roman" w:eastAsia="Times New Roman" w:hAnsi="Times New Roman" w:cs="Times New Roman"/>
                <w:kern w:val="0"/>
                <w:sz w:val="20"/>
                <w:szCs w:val="20"/>
                <w:lang w:bidi="en-US"/>
                <w14:ligatures w14:val="none"/>
              </w:rPr>
              <w:t xml:space="preserve">„hardware-assisted virtualization“) </w:t>
            </w:r>
            <w:r w:rsidRPr="00B24A09">
              <w:rPr>
                <w:rFonts w:ascii="Times New Roman" w:eastAsia="Times New Roman" w:hAnsi="Times New Roman" w:cs="Times New Roman"/>
                <w:kern w:val="0"/>
                <w:sz w:val="20"/>
                <w:szCs w:val="20"/>
                <w14:ligatures w14:val="none"/>
              </w:rPr>
              <w:t xml:space="preserve">palaikymas. </w:t>
            </w:r>
          </w:p>
          <w:p w14:paraId="0ABEFD14"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Turi palaikyti Data Streaming Accelerator (DSA), AVX-512 instrukcijas, Deep Learning Boost (DL Boost) on CPU ir Advanced Matrix Extension (AMX).</w:t>
            </w:r>
          </w:p>
        </w:tc>
        <w:tc>
          <w:tcPr>
            <w:tcW w:w="3959" w:type="dxa"/>
            <w:tcBorders>
              <w:top w:val="single" w:sz="4" w:space="0" w:color="000000"/>
              <w:left w:val="single" w:sz="4" w:space="0" w:color="000000"/>
              <w:bottom w:val="single" w:sz="4" w:space="0" w:color="000000"/>
              <w:right w:val="single" w:sz="4" w:space="0" w:color="000000"/>
            </w:tcBorders>
            <w:vAlign w:val="center"/>
          </w:tcPr>
          <w:p w14:paraId="5BFFADA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B24A09" w:rsidRPr="00B24A09" w14:paraId="6A746D0F"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3FFF6ED"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DB096C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Procesorių sistemos našumas</w:t>
            </w:r>
          </w:p>
        </w:tc>
        <w:tc>
          <w:tcPr>
            <w:tcW w:w="5673" w:type="dxa"/>
            <w:tcBorders>
              <w:top w:val="single" w:sz="4" w:space="0" w:color="000000"/>
              <w:left w:val="single" w:sz="4" w:space="0" w:color="000000"/>
              <w:bottom w:val="single" w:sz="4" w:space="0" w:color="000000"/>
              <w:right w:val="single" w:sz="4" w:space="0" w:color="000000"/>
            </w:tcBorders>
            <w:hideMark/>
          </w:tcPr>
          <w:p w14:paraId="6A94F801"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6FFB228A"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Našumo rodikliai nurodyti dviejų procesorių (ne mažiau kaip 48 branduolių) sistemai. </w:t>
            </w:r>
          </w:p>
          <w:p w14:paraId="106902B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Siūlomų procesorių našumo parametrai turi būti viešai publikuojami </w:t>
            </w:r>
            <w:hyperlink r:id="rId7" w:history="1">
              <w:r w:rsidRPr="00B24A09">
                <w:rPr>
                  <w:rFonts w:ascii="Times New Roman" w:eastAsia="Times New Roman" w:hAnsi="Times New Roman" w:cs="Times New Roman"/>
                  <w:color w:val="000000"/>
                  <w:kern w:val="0"/>
                  <w:sz w:val="20"/>
                  <w:szCs w:val="20"/>
                  <w14:ligatures w14:val="none"/>
                </w:rPr>
                <w:t>www.spec.org</w:t>
              </w:r>
            </w:hyperlink>
            <w:r w:rsidRPr="00B24A09">
              <w:rPr>
                <w:rFonts w:ascii="Times New Roman" w:eastAsia="Times New Roman" w:hAnsi="Times New Roman" w:cs="Times New Roman"/>
                <w:color w:val="000000"/>
                <w:kern w:val="0"/>
                <w:sz w:val="20"/>
                <w:szCs w:val="20"/>
                <w14:ligatures w14:val="none"/>
              </w:rPr>
              <w:t xml:space="preserve"> puslapyje. </w:t>
            </w:r>
          </w:p>
          <w:p w14:paraId="279A069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Minimalus testų metu pasiektas ir viešai deklaruojamas </w:t>
            </w:r>
            <w:r w:rsidRPr="00B24A09">
              <w:rPr>
                <w:rFonts w:ascii="Times New Roman" w:eastAsia="Times New Roman" w:hAnsi="Times New Roman" w:cs="Times New Roman"/>
                <w:color w:val="000000"/>
                <w:kern w:val="0"/>
                <w:sz w:val="20"/>
                <w:szCs w:val="20"/>
                <w14:ligatures w14:val="none"/>
              </w:rPr>
              <w:lastRenderedPageBreak/>
              <w:t>siūlomo modelio tarnybinės stoties su siūlomais procesoriais ir siūlomu jų skaičiumi našumas turi būti ne mažesnis kaip:</w:t>
            </w:r>
          </w:p>
          <w:p w14:paraId="5AFC9099" w14:textId="77777777" w:rsidR="00B24A09" w:rsidRPr="00B24A09" w:rsidRDefault="00B24A09" w:rsidP="00B24A09">
            <w:pPr>
              <w:widowControl w:val="0"/>
              <w:spacing w:after="0" w:line="240" w:lineRule="auto"/>
              <w:ind w:left="45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CPU2017 Integer rate baseline = 510;</w:t>
            </w:r>
          </w:p>
          <w:p w14:paraId="26441613" w14:textId="77777777" w:rsidR="00B24A09" w:rsidRPr="00B24A09" w:rsidRDefault="00B24A09" w:rsidP="00B24A09">
            <w:pPr>
              <w:widowControl w:val="0"/>
              <w:spacing w:after="0" w:line="240" w:lineRule="auto"/>
              <w:ind w:left="45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CPU2017 Floating point rate baseline = 740.</w:t>
            </w:r>
          </w:p>
          <w:p w14:paraId="1D0F9E3D"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sz w:val="20"/>
                <w:szCs w:val="20"/>
              </w:rPr>
              <w:t>Gamintojo procesorius turi būti anonsuotas ne seniau kaip 2025 metais.</w:t>
            </w:r>
          </w:p>
        </w:tc>
        <w:tc>
          <w:tcPr>
            <w:tcW w:w="3959" w:type="dxa"/>
            <w:tcBorders>
              <w:top w:val="single" w:sz="4" w:space="0" w:color="000000"/>
              <w:left w:val="single" w:sz="4" w:space="0" w:color="000000"/>
              <w:bottom w:val="single" w:sz="4" w:space="0" w:color="000000"/>
              <w:right w:val="single" w:sz="4" w:space="0" w:color="000000"/>
            </w:tcBorders>
          </w:tcPr>
          <w:p w14:paraId="7B363AA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B24A09" w:rsidRPr="00B24A09" w14:paraId="01E625BA"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F88BD6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BD5FF6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Procesorių skaičius</w:t>
            </w:r>
          </w:p>
        </w:tc>
        <w:tc>
          <w:tcPr>
            <w:tcW w:w="5673" w:type="dxa"/>
            <w:tcBorders>
              <w:top w:val="single" w:sz="4" w:space="0" w:color="000000"/>
              <w:left w:val="single" w:sz="4" w:space="0" w:color="000000"/>
              <w:bottom w:val="single" w:sz="4" w:space="0" w:color="000000"/>
              <w:right w:val="single" w:sz="4" w:space="0" w:color="000000"/>
            </w:tcBorders>
            <w:hideMark/>
          </w:tcPr>
          <w:p w14:paraId="2BB462C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2 vnt. (ne mažiau kaip 24 branduolių kiekvienam procesoriui).</w:t>
            </w:r>
          </w:p>
        </w:tc>
        <w:tc>
          <w:tcPr>
            <w:tcW w:w="3959" w:type="dxa"/>
            <w:tcBorders>
              <w:top w:val="single" w:sz="4" w:space="0" w:color="000000"/>
              <w:left w:val="single" w:sz="4" w:space="0" w:color="000000"/>
              <w:bottom w:val="single" w:sz="4" w:space="0" w:color="000000"/>
              <w:right w:val="single" w:sz="4" w:space="0" w:color="000000"/>
            </w:tcBorders>
          </w:tcPr>
          <w:p w14:paraId="423EE50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ECD887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54209A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179A85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Operatyvioji atmintis (RAM)</w:t>
            </w:r>
          </w:p>
        </w:tc>
        <w:tc>
          <w:tcPr>
            <w:tcW w:w="5673" w:type="dxa"/>
            <w:tcBorders>
              <w:top w:val="single" w:sz="4" w:space="0" w:color="000000"/>
              <w:left w:val="single" w:sz="4" w:space="0" w:color="000000"/>
              <w:bottom w:val="single" w:sz="4" w:space="0" w:color="000000"/>
              <w:right w:val="single" w:sz="4" w:space="0" w:color="000000"/>
            </w:tcBorders>
            <w:hideMark/>
          </w:tcPr>
          <w:p w14:paraId="333BB319"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64GB.</w:t>
            </w:r>
          </w:p>
          <w:p w14:paraId="1452A75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prastesnė negu 6400 MT/s DDR5 RDIMM, Dual Rank.</w:t>
            </w:r>
          </w:p>
        </w:tc>
        <w:tc>
          <w:tcPr>
            <w:tcW w:w="3959" w:type="dxa"/>
            <w:tcBorders>
              <w:top w:val="single" w:sz="4" w:space="0" w:color="000000"/>
              <w:left w:val="single" w:sz="4" w:space="0" w:color="000000"/>
              <w:bottom w:val="single" w:sz="4" w:space="0" w:color="000000"/>
              <w:right w:val="single" w:sz="4" w:space="0" w:color="000000"/>
            </w:tcBorders>
          </w:tcPr>
          <w:p w14:paraId="41EA91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6C1CB2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DFA3D77"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414C31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Atminties lizdų skaičius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B8D206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nei 32 vnt. DDR5 RDIMM tipo.</w:t>
            </w:r>
          </w:p>
        </w:tc>
        <w:tc>
          <w:tcPr>
            <w:tcW w:w="3959" w:type="dxa"/>
            <w:tcBorders>
              <w:top w:val="single" w:sz="4" w:space="0" w:color="000000"/>
              <w:left w:val="single" w:sz="4" w:space="0" w:color="000000"/>
              <w:bottom w:val="single" w:sz="4" w:space="0" w:color="000000"/>
              <w:right w:val="single" w:sz="4" w:space="0" w:color="000000"/>
            </w:tcBorders>
            <w:vAlign w:val="center"/>
          </w:tcPr>
          <w:p w14:paraId="3021AB9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C1C805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39C641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1B807D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Atminties talpa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4C1296C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Plečiama iki ne mažiau kaip 512GB vienam procesoriui tos pačios atminties moduliais kaip komplektuojama tarnybinė stotis.</w:t>
            </w:r>
          </w:p>
        </w:tc>
        <w:tc>
          <w:tcPr>
            <w:tcW w:w="3959" w:type="dxa"/>
            <w:tcBorders>
              <w:top w:val="single" w:sz="4" w:space="0" w:color="000000"/>
              <w:left w:val="single" w:sz="4" w:space="0" w:color="000000"/>
              <w:bottom w:val="single" w:sz="4" w:space="0" w:color="000000"/>
              <w:right w:val="single" w:sz="4" w:space="0" w:color="000000"/>
            </w:tcBorders>
            <w:vAlign w:val="center"/>
          </w:tcPr>
          <w:p w14:paraId="002E526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767F233"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74E05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ACFB4E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Diskiniai kaupikliai (HDD/SSD) ir RAID valdiklis</w:t>
            </w:r>
          </w:p>
        </w:tc>
        <w:tc>
          <w:tcPr>
            <w:tcW w:w="5673" w:type="dxa"/>
            <w:tcBorders>
              <w:top w:val="single" w:sz="4" w:space="0" w:color="000000"/>
              <w:left w:val="single" w:sz="4" w:space="0" w:color="000000"/>
              <w:bottom w:val="single" w:sz="4" w:space="0" w:color="000000"/>
              <w:right w:val="single" w:sz="4" w:space="0" w:color="000000"/>
            </w:tcBorders>
            <w:hideMark/>
          </w:tcPr>
          <w:p w14:paraId="3D5ADE4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ir ne blogiau kaip:</w:t>
            </w:r>
          </w:p>
          <w:p w14:paraId="620E08A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1 vnt. 3.2TB 2,5“ NVMe Gen 4 SSD „Hot Plug“, kurių DWPD parametras 5 metų laikotarpiui ne mažesnis kaip 1.</w:t>
            </w:r>
          </w:p>
          <w:p w14:paraId="4F6EFE1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būti galimybė nenaudojant papildomų praplėtimo modulių įdiegti viso 8 vnt. NVMe diskų.</w:t>
            </w:r>
          </w:p>
          <w:p w14:paraId="7016386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Turi būti dedikuotas RAID valdiklis. RAID lygiai 1, 1+0, 5, 6 su ne mažiau nei 8GB spartinančiosios atminties („cache“) su būsenos išsaugojimo savybe  (angl. battery-backed arba flash-backed).</w:t>
            </w:r>
          </w:p>
          <w:p w14:paraId="1F7FB4C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Turi būti „Non-RAID“ arba “Pass-through” palaikymas.</w:t>
            </w:r>
          </w:p>
          <w:p w14:paraId="0146B71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10EBD3AA"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Įrenginio procesorius nenaudojamas kontrolinių sumų skaičiavimui ar tikrinimui.</w:t>
            </w:r>
          </w:p>
          <w:p w14:paraId="4223EB76"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RAID valdiklio našumas turi būti ne mažesnis kaip 3 milijonai atsitiktinio skaitymo (angl. random read) IOPS.</w:t>
            </w:r>
          </w:p>
        </w:tc>
        <w:tc>
          <w:tcPr>
            <w:tcW w:w="3959" w:type="dxa"/>
            <w:tcBorders>
              <w:top w:val="single" w:sz="4" w:space="0" w:color="000000"/>
              <w:left w:val="single" w:sz="4" w:space="0" w:color="000000"/>
              <w:bottom w:val="single" w:sz="4" w:space="0" w:color="000000"/>
              <w:right w:val="single" w:sz="4" w:space="0" w:color="000000"/>
            </w:tcBorders>
          </w:tcPr>
          <w:p w14:paraId="770CF6E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6E71945"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9C36E0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96225F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Saugumo funkcijos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255854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Įjungimo ir administravimo slaptažodis, integruotas Trusted Platform Module (TPM 2.0) ar lygiavertis modulis.</w:t>
            </w:r>
          </w:p>
        </w:tc>
        <w:tc>
          <w:tcPr>
            <w:tcW w:w="3959" w:type="dxa"/>
            <w:tcBorders>
              <w:top w:val="single" w:sz="4" w:space="0" w:color="000000"/>
              <w:left w:val="single" w:sz="4" w:space="0" w:color="000000"/>
              <w:bottom w:val="single" w:sz="4" w:space="0" w:color="000000"/>
              <w:right w:val="single" w:sz="4" w:space="0" w:color="000000"/>
            </w:tcBorders>
            <w:vAlign w:val="center"/>
          </w:tcPr>
          <w:p w14:paraId="48AF449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46A288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6AC1195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CF553E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I/O išplėtimo lizdai</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AA09B1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nei 2 vnt. laisvi PCI-Express x16 Gen5 arba OCP lizdai.</w:t>
            </w:r>
          </w:p>
        </w:tc>
        <w:tc>
          <w:tcPr>
            <w:tcW w:w="3959" w:type="dxa"/>
            <w:tcBorders>
              <w:top w:val="single" w:sz="4" w:space="0" w:color="000000"/>
              <w:left w:val="single" w:sz="4" w:space="0" w:color="000000"/>
              <w:bottom w:val="single" w:sz="4" w:space="0" w:color="000000"/>
              <w:right w:val="single" w:sz="4" w:space="0" w:color="000000"/>
            </w:tcBorders>
            <w:vAlign w:val="center"/>
          </w:tcPr>
          <w:p w14:paraId="3E6A707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F1AF816"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47A28B7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1CCC00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Vaizdo posistemė</w:t>
            </w:r>
          </w:p>
        </w:tc>
        <w:tc>
          <w:tcPr>
            <w:tcW w:w="5673" w:type="dxa"/>
            <w:tcBorders>
              <w:top w:val="single" w:sz="4" w:space="0" w:color="000000"/>
              <w:left w:val="single" w:sz="4" w:space="0" w:color="000000"/>
              <w:bottom w:val="single" w:sz="4" w:space="0" w:color="000000"/>
              <w:right w:val="single" w:sz="4" w:space="0" w:color="000000"/>
            </w:tcBorders>
            <w:hideMark/>
          </w:tcPr>
          <w:p w14:paraId="66EE983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Integruota, palaikanti ne blogesnę kaip 1280 x 1024 raišką.</w:t>
            </w:r>
          </w:p>
        </w:tc>
        <w:tc>
          <w:tcPr>
            <w:tcW w:w="3959" w:type="dxa"/>
            <w:tcBorders>
              <w:top w:val="single" w:sz="4" w:space="0" w:color="000000"/>
              <w:left w:val="single" w:sz="4" w:space="0" w:color="000000"/>
              <w:bottom w:val="single" w:sz="4" w:space="0" w:color="000000"/>
              <w:right w:val="single" w:sz="4" w:space="0" w:color="000000"/>
            </w:tcBorders>
          </w:tcPr>
          <w:p w14:paraId="6A51619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3AC5D2E3"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8AC5056"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92E6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Tinklo adapteris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4F9285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blogiau kaip:</w:t>
            </w:r>
          </w:p>
          <w:p w14:paraId="43093AD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Dvi 100Gbps QSFP56 tipo sąsajos;</w:t>
            </w:r>
          </w:p>
          <w:p w14:paraId="542348BC"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100 Gbps QSFP56 sąsajos turi palaikyti:</w:t>
            </w:r>
          </w:p>
          <w:p w14:paraId="68AA2D16" w14:textId="77777777" w:rsidR="00B24A09" w:rsidRPr="00B24A09" w:rsidRDefault="00B24A09" w:rsidP="00B24A09">
            <w:pPr>
              <w:widowControl w:val="0"/>
              <w:spacing w:after="0" w:line="240" w:lineRule="auto"/>
              <w:ind w:left="452"/>
              <w:jc w:val="both"/>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Stateless Checksum offload, NVGRE, VXLAN, RoCE </w:t>
            </w:r>
            <w:r w:rsidRPr="00B24A09">
              <w:rPr>
                <w:rFonts w:ascii="Times New Roman" w:eastAsia="Times New Roman" w:hAnsi="Times New Roman" w:cs="Times New Roman"/>
                <w:color w:val="000000"/>
                <w:kern w:val="0"/>
                <w:sz w:val="20"/>
                <w:szCs w:val="20"/>
                <w14:ligatures w14:val="none"/>
              </w:rPr>
              <w:lastRenderedPageBreak/>
              <w:t>(RDMA over Converged Ethernet), NMEf/NVMEoF (NVMe over Fabrics), SR-IOV virtualizacija.</w:t>
            </w:r>
          </w:p>
        </w:tc>
        <w:tc>
          <w:tcPr>
            <w:tcW w:w="3959" w:type="dxa"/>
            <w:tcBorders>
              <w:top w:val="single" w:sz="4" w:space="0" w:color="000000"/>
              <w:left w:val="single" w:sz="4" w:space="0" w:color="000000"/>
              <w:bottom w:val="single" w:sz="4" w:space="0" w:color="000000"/>
              <w:right w:val="single" w:sz="4" w:space="0" w:color="000000"/>
            </w:tcBorders>
            <w:vAlign w:val="center"/>
          </w:tcPr>
          <w:p w14:paraId="6390883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C74E5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238177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CE847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Prievadai</w:t>
            </w:r>
          </w:p>
        </w:tc>
        <w:tc>
          <w:tcPr>
            <w:tcW w:w="5673" w:type="dxa"/>
            <w:tcBorders>
              <w:top w:val="single" w:sz="4" w:space="0" w:color="000000"/>
              <w:left w:val="single" w:sz="4" w:space="0" w:color="000000"/>
              <w:bottom w:val="single" w:sz="4" w:space="0" w:color="000000"/>
              <w:right w:val="single" w:sz="4" w:space="0" w:color="000000"/>
            </w:tcBorders>
            <w:hideMark/>
          </w:tcPr>
          <w:p w14:paraId="05FCB6B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Integruoti, ne blogiau kaip :1 x VGA, 2x USB 3.0, atskiras RJ45 lizdas nuotoliniam tarnybinės stoties valdymui.</w:t>
            </w:r>
          </w:p>
        </w:tc>
        <w:tc>
          <w:tcPr>
            <w:tcW w:w="3959" w:type="dxa"/>
            <w:tcBorders>
              <w:top w:val="single" w:sz="4" w:space="0" w:color="000000"/>
              <w:left w:val="single" w:sz="4" w:space="0" w:color="000000"/>
              <w:bottom w:val="single" w:sz="4" w:space="0" w:color="000000"/>
              <w:right w:val="single" w:sz="4" w:space="0" w:color="000000"/>
            </w:tcBorders>
          </w:tcPr>
          <w:p w14:paraId="4AFA778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90D83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4A15BF4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F57751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1934921C" w14:textId="66CC16E3" w:rsidR="00B24A09" w:rsidRPr="00B24A09"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Calibri" w:hAnsi="Times New Roman" w:cs="Times New Roman"/>
                <w:kern w:val="0"/>
                <w:sz w:val="20"/>
                <w:szCs w:val="20"/>
                <w14:ligatures w14:val="none"/>
              </w:rPr>
              <w:t xml:space="preserve">Ne mažiau kaip </w:t>
            </w:r>
            <w:r w:rsidR="00EE1777">
              <w:rPr>
                <w:rFonts w:ascii="Times New Roman" w:eastAsia="Calibri" w:hAnsi="Times New Roman" w:cs="Times New Roman"/>
                <w:kern w:val="0"/>
                <w:sz w:val="20"/>
                <w:szCs w:val="20"/>
                <w14:ligatures w14:val="none"/>
              </w:rPr>
              <w:t>1</w:t>
            </w:r>
            <w:r w:rsidRPr="00B24A09">
              <w:rPr>
                <w:rFonts w:ascii="Times New Roman" w:eastAsia="Calibri" w:hAnsi="Times New Roman" w:cs="Times New Roman"/>
                <w:kern w:val="0"/>
                <w:sz w:val="20"/>
                <w:szCs w:val="20"/>
                <w14:ligatures w14:val="none"/>
              </w:rPr>
              <w:t xml:space="preserve"> vnt. GPU.</w:t>
            </w:r>
          </w:p>
          <w:p w14:paraId="10D5F4F9" w14:textId="029793FB" w:rsidR="00B24A09" w:rsidRPr="00B24A09"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Calibri" w:hAnsi="Times New Roman" w:cs="Times New Roman"/>
                <w:kern w:val="0"/>
                <w:sz w:val="20"/>
                <w:szCs w:val="20"/>
                <w14:ligatures w14:val="none"/>
              </w:rPr>
              <w:t>Ne mažiau kaip 96GB GDR7 su ECC ne mažiau kaip</w:t>
            </w:r>
            <w:r w:rsidRPr="00B24A09">
              <w:rPr>
                <w:rFonts w:ascii="Times New Roman" w:eastAsia="Calibri" w:hAnsi="Times New Roman" w:cs="Times New Roman"/>
                <w:color w:val="000000"/>
                <w:kern w:val="0"/>
                <w:sz w:val="20"/>
                <w:szCs w:val="20"/>
                <w14:ligatures w14:val="none"/>
              </w:rPr>
              <w:t xml:space="preserve"> 1.5TB/s</w:t>
            </w:r>
            <w:r w:rsidRPr="00B24A09">
              <w:rPr>
                <w:rFonts w:ascii="Times New Roman" w:eastAsia="Calibri" w:hAnsi="Times New Roman" w:cs="Times New Roman"/>
                <w:kern w:val="0"/>
                <w:sz w:val="20"/>
                <w:szCs w:val="20"/>
                <w14:ligatures w14:val="none"/>
              </w:rPr>
              <w:t xml:space="preserve"> pralaidumo atminties;</w:t>
            </w:r>
          </w:p>
          <w:p w14:paraId="7B239BCB" w14:textId="13942C07" w:rsidR="00B24A09" w:rsidRPr="00B24A09"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Tiekėjas turi nurodyti siūlom</w:t>
            </w:r>
            <w:r w:rsidR="006F31D7">
              <w:rPr>
                <w:rFonts w:ascii="Times New Roman" w:eastAsia="Times New Roman" w:hAnsi="Times New Roman" w:cs="Times New Roman"/>
                <w:kern w:val="0"/>
                <w:sz w:val="20"/>
                <w:szCs w:val="20"/>
                <w14:ligatures w14:val="none"/>
              </w:rPr>
              <w:t>o</w:t>
            </w:r>
            <w:r w:rsidRPr="00B24A09">
              <w:rPr>
                <w:rFonts w:ascii="Times New Roman" w:eastAsia="Times New Roman" w:hAnsi="Times New Roman" w:cs="Times New Roman"/>
                <w:kern w:val="0"/>
                <w:sz w:val="20"/>
                <w:szCs w:val="20"/>
                <w14:ligatures w14:val="none"/>
              </w:rPr>
              <w:t xml:space="preserve"> GPU gamintoją, modelį, atminties kiekį.</w:t>
            </w:r>
          </w:p>
        </w:tc>
        <w:tc>
          <w:tcPr>
            <w:tcW w:w="3959" w:type="dxa"/>
            <w:tcBorders>
              <w:top w:val="single" w:sz="4" w:space="0" w:color="000000"/>
              <w:left w:val="single" w:sz="4" w:space="0" w:color="000000"/>
              <w:bottom w:val="single" w:sz="4" w:space="0" w:color="000000"/>
              <w:right w:val="single" w:sz="4" w:space="0" w:color="000000"/>
            </w:tcBorders>
          </w:tcPr>
          <w:p w14:paraId="201CA27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D769EA2"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0C47A6C"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C99480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Aušinimas</w:t>
            </w:r>
          </w:p>
        </w:tc>
        <w:tc>
          <w:tcPr>
            <w:tcW w:w="5673" w:type="dxa"/>
            <w:tcBorders>
              <w:top w:val="single" w:sz="4" w:space="0" w:color="000000"/>
              <w:left w:val="single" w:sz="4" w:space="0" w:color="000000"/>
              <w:bottom w:val="single" w:sz="4" w:space="0" w:color="000000"/>
              <w:right w:val="single" w:sz="4" w:space="0" w:color="000000"/>
            </w:tcBorders>
            <w:hideMark/>
          </w:tcPr>
          <w:p w14:paraId="0F6D9A6D"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Perteklinių karšto keitimo aušinimo modulių sistema.</w:t>
            </w:r>
          </w:p>
          <w:p w14:paraId="7ACA058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Nepertraukiamas tarnybinės stoties veikimas nuo 10°C iki 22°C laipsnių temperatūroje ir 10-80% drėgmės aplinkoje.</w:t>
            </w:r>
          </w:p>
        </w:tc>
        <w:tc>
          <w:tcPr>
            <w:tcW w:w="3959" w:type="dxa"/>
            <w:tcBorders>
              <w:top w:val="single" w:sz="4" w:space="0" w:color="000000"/>
              <w:left w:val="single" w:sz="4" w:space="0" w:color="000000"/>
              <w:bottom w:val="single" w:sz="4" w:space="0" w:color="000000"/>
              <w:right w:val="single" w:sz="4" w:space="0" w:color="000000"/>
            </w:tcBorders>
          </w:tcPr>
          <w:p w14:paraId="334447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7F16A6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AB0971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3A189A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Maitinimo šaltinis</w:t>
            </w:r>
          </w:p>
        </w:tc>
        <w:tc>
          <w:tcPr>
            <w:tcW w:w="5673" w:type="dxa"/>
            <w:tcBorders>
              <w:top w:val="single" w:sz="4" w:space="0" w:color="000000"/>
              <w:left w:val="single" w:sz="4" w:space="0" w:color="000000"/>
              <w:bottom w:val="single" w:sz="4" w:space="0" w:color="000000"/>
              <w:right w:val="single" w:sz="4" w:space="0" w:color="000000"/>
            </w:tcBorders>
            <w:hideMark/>
          </w:tcPr>
          <w:p w14:paraId="772A90E6"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Tarnybinė stotis turi turėti ne mažiau kaip 2 (</w:t>
            </w:r>
            <w:r w:rsidRPr="00B24A09">
              <w:rPr>
                <w:rFonts w:ascii="Times New Roman" w:eastAsia="Times New Roman" w:hAnsi="Times New Roman" w:cs="Times New Roman"/>
                <w:i/>
                <w:kern w:val="0"/>
                <w:sz w:val="20"/>
                <w:szCs w:val="20"/>
                <w14:ligatures w14:val="none"/>
              </w:rPr>
              <w:t>du</w:t>
            </w:r>
            <w:r w:rsidRPr="00B24A09">
              <w:rPr>
                <w:rFonts w:ascii="Times New Roman" w:eastAsia="Times New Roman" w:hAnsi="Times New Roman" w:cs="Times New Roman"/>
                <w:kern w:val="0"/>
                <w:sz w:val="20"/>
                <w:szCs w:val="20"/>
                <w14:ligatures w14:val="none"/>
              </w:rPr>
              <w:t xml:space="preserve">) maitinimo šaltinius, veikiančius 230 V ± 10 %, 50 Hz kintamos srovės elektros tinkle. </w:t>
            </w:r>
          </w:p>
          <w:p w14:paraId="3705C17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Esant vieno iš maitinimo šaltinių gedimui, tarnybinė stotis turi neišsijungti ir likti veikianti  </w:t>
            </w:r>
            <w:r w:rsidRPr="00B24A09">
              <w:rPr>
                <w:rFonts w:ascii="Times New Roman" w:eastAsia="Times New Roman" w:hAnsi="Times New Roman" w:cs="Times New Roman"/>
                <w:i/>
                <w:kern w:val="0"/>
                <w:sz w:val="20"/>
                <w:szCs w:val="20"/>
                <w14:ligatures w14:val="none"/>
              </w:rPr>
              <w:t>(angl.  Redundant PSU)</w:t>
            </w:r>
            <w:r w:rsidRPr="00B24A09">
              <w:rPr>
                <w:rFonts w:ascii="Times New Roman" w:eastAsia="Times New Roman" w:hAnsi="Times New Roman" w:cs="Times New Roman"/>
                <w:kern w:val="0"/>
                <w:sz w:val="20"/>
                <w:szCs w:val="20"/>
                <w14:ligatures w14:val="none"/>
              </w:rPr>
              <w:t xml:space="preserve">. </w:t>
            </w:r>
          </w:p>
          <w:p w14:paraId="72DBBA1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būti galima juos pakeisti nepertraukiant tarnybinės stoties darbo (angl. </w:t>
            </w:r>
            <w:r w:rsidRPr="00B24A09">
              <w:rPr>
                <w:rFonts w:ascii="Times New Roman" w:eastAsia="Times New Roman" w:hAnsi="Times New Roman" w:cs="Times New Roman"/>
                <w:i/>
                <w:kern w:val="0"/>
                <w:sz w:val="20"/>
                <w:szCs w:val="20"/>
                <w14:ligatures w14:val="none"/>
              </w:rPr>
              <w:t>hotswap</w:t>
            </w:r>
            <w:r w:rsidRPr="00B24A09">
              <w:rPr>
                <w:rFonts w:ascii="Times New Roman" w:eastAsia="Times New Roman" w:hAnsi="Times New Roman" w:cs="Times New Roman"/>
                <w:kern w:val="0"/>
                <w:sz w:val="20"/>
                <w:szCs w:val="20"/>
                <w14:ligatures w14:val="none"/>
              </w:rPr>
              <w:t>)</w:t>
            </w:r>
            <w:r w:rsidRPr="00B24A09">
              <w:rPr>
                <w:rFonts w:ascii="Times New Roman" w:eastAsia="Times New Roman" w:hAnsi="Times New Roman" w:cs="Times New Roman"/>
                <w:color w:val="000000"/>
                <w:kern w:val="0"/>
                <w:sz w:val="20"/>
                <w:szCs w:val="20"/>
                <w14:ligatures w14:val="none"/>
              </w:rPr>
              <w:t xml:space="preserve">. </w:t>
            </w:r>
          </w:p>
          <w:p w14:paraId="727EBF3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prastesnis negu 96% efektyvumas, esant 50% apkrovai.</w:t>
            </w:r>
          </w:p>
          <w:p w14:paraId="037BCB6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Turi </w:t>
            </w:r>
            <w:r w:rsidRPr="00B24A09">
              <w:rPr>
                <w:rFonts w:ascii="Times New Roman" w:eastAsia="Aptos" w:hAnsi="Times New Roman" w:cs="Times New Roman"/>
                <w:color w:val="222222"/>
                <w:sz w:val="20"/>
                <w:szCs w:val="20"/>
                <w:shd w:val="clear" w:color="auto" w:fill="FFFFFF"/>
              </w:rPr>
              <w:t>užtikrinti visų komplektuojamų komponentų galios poreikius (įskaitant maksimalų diskų skaičių ir RAM atminties kiekį).</w:t>
            </w:r>
            <w:r w:rsidRPr="00B24A09">
              <w:rPr>
                <w:rFonts w:ascii="Arial" w:eastAsia="Aptos" w:hAnsi="Arial" w:cs="Arial"/>
                <w:color w:val="222222"/>
                <w:shd w:val="clear" w:color="auto" w:fill="FFFFFF"/>
              </w:rPr>
              <w:t xml:space="preserve"> </w:t>
            </w:r>
          </w:p>
          <w:p w14:paraId="3F36D71B"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sz w:val="20"/>
                <w:szCs w:val="20"/>
              </w:rPr>
              <w:t>Tarnybinė stotis turi būti komplektuojama su maitinimo kabeliais. Maitinimo kabelių jungtys - C13, C14 arba C19, C20. Maitinimo kabeliai turi būti ne trumpesni nei 1,2 metro ilgio bei ne ilgesni kaip 3 metrai.</w:t>
            </w:r>
          </w:p>
        </w:tc>
        <w:tc>
          <w:tcPr>
            <w:tcW w:w="3959" w:type="dxa"/>
            <w:tcBorders>
              <w:top w:val="single" w:sz="4" w:space="0" w:color="000000"/>
              <w:left w:val="single" w:sz="4" w:space="0" w:color="000000"/>
              <w:bottom w:val="single" w:sz="4" w:space="0" w:color="000000"/>
              <w:right w:val="single" w:sz="4" w:space="0" w:color="000000"/>
            </w:tcBorders>
          </w:tcPr>
          <w:p w14:paraId="35E6F27D"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BC42966"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38C6FE1"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DACB8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Tarnybinės stoties nuotolinis</w:t>
            </w:r>
          </w:p>
          <w:p w14:paraId="262F9F7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valdymas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0C06115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 peradresuoti grafinę ir tekstinę konsolę, naudoti virtualų nuotolinį DVD ir USB.</w:t>
            </w:r>
          </w:p>
          <w:p w14:paraId="5FD51B43"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Nuotolinio valdymo atveju, sesiją turi būti galimybė apsaugoti SSL protokolu. Ryšys turi būti apsaugotas ne prastesniu nei 128 bitų raktu (SSL). Turi palaikyti prisijungiančių vartotojų autentifikavimą LDAP (angl. Lightweight Directory Access Protocol) protokolu.</w:t>
            </w:r>
          </w:p>
          <w:p w14:paraId="0D83CA8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Valdymo modulis turi turėti galimybę atlikti KVM </w:t>
            </w:r>
            <w:r w:rsidRPr="00B24A09">
              <w:rPr>
                <w:rFonts w:ascii="Times New Roman" w:eastAsia="Times New Roman" w:hAnsi="Times New Roman" w:cs="Times New Roman"/>
                <w:color w:val="000000"/>
                <w:kern w:val="0"/>
                <w:sz w:val="20"/>
                <w:szCs w:val="20"/>
                <w14:ligatures w14:val="none"/>
              </w:rPr>
              <w:lastRenderedPageBreak/>
              <w:t>(klaviatūros, video, pelės) funkciją. Automatinis tarnybinės stoties atstatymas „Automatic Server Recovery“, integruotas į pagrindinę arba valdymo plokštę įvykių išsaugojimas „Integrated Management Log“.</w:t>
            </w:r>
          </w:p>
          <w:p w14:paraId="13FE9509"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event logs), realiu laiku atnaujinti serverinės sistemos „firmware“, atlikti aparatinės įrangos diagnostiką; „KVM over IP“ funkcija.</w:t>
            </w:r>
          </w:p>
          <w:p w14:paraId="28A83FE1" w14:textId="77777777" w:rsidR="00B24A09" w:rsidRPr="00B24A09" w:rsidRDefault="00B24A09" w:rsidP="00B24A09">
            <w:pPr>
              <w:numPr>
                <w:ilvl w:val="6"/>
                <w:numId w:val="3"/>
              </w:numPr>
              <w:tabs>
                <w:tab w:val="left" w:pos="390"/>
                <w:tab w:val="left" w:pos="1035"/>
                <w:tab w:val="left" w:pos="1500"/>
              </w:tabs>
              <w:spacing w:after="0" w:line="240" w:lineRule="auto"/>
              <w:ind w:left="452"/>
              <w:contextualSpacing/>
              <w:jc w:val="both"/>
              <w:rPr>
                <w:rFonts w:ascii="Times New Roman" w:eastAsia="Times New Roman" w:hAnsi="Times New Roman" w:cs="Times New Roman"/>
                <w:b/>
                <w:kern w:val="0"/>
                <w:sz w:val="20"/>
                <w:szCs w:val="20"/>
                <w14:ligatures w14:val="none"/>
              </w:rPr>
            </w:pPr>
            <w:r w:rsidRPr="00B24A09">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r w:rsidRPr="00B24A09">
              <w:rPr>
                <w:rFonts w:ascii="Times New Roman" w:eastAsia="Times New Roman" w:hAnsi="Times New Roman" w:cs="Times New Roman"/>
                <w:bCs/>
                <w:i/>
                <w:kern w:val="0"/>
                <w:sz w:val="20"/>
                <w:szCs w:val="20"/>
                <w14:ligatures w14:val="none"/>
              </w:rPr>
              <w:t>whitelisting</w:t>
            </w:r>
            <w:r w:rsidRPr="00B24A09">
              <w:rPr>
                <w:rFonts w:ascii="Times New Roman" w:eastAsia="Times New Roman" w:hAnsi="Times New Roman" w:cs="Times New Roman"/>
                <w:bCs/>
                <w:kern w:val="0"/>
                <w:sz w:val="20"/>
                <w:szCs w:val="20"/>
                <w14:ligatures w14:val="none"/>
              </w:rPr>
              <w:t xml:space="preserve">). Leistiną tinklą nurodyti turi būti galima </w:t>
            </w:r>
            <w:r w:rsidRPr="00B24A09">
              <w:rPr>
                <w:rFonts w:ascii="Times New Roman" w:eastAsia="Times New Roman" w:hAnsi="Times New Roman" w:cs="Times New Roman"/>
                <w:bCs/>
                <w:i/>
                <w:kern w:val="0"/>
                <w:sz w:val="20"/>
                <w:szCs w:val="20"/>
                <w14:ligatures w14:val="none"/>
              </w:rPr>
              <w:t>IP/netmask</w:t>
            </w:r>
            <w:r w:rsidRPr="00B24A09">
              <w:rPr>
                <w:rFonts w:ascii="Times New Roman" w:eastAsia="Times New Roman" w:hAnsi="Times New Roman" w:cs="Times New Roman"/>
                <w:bCs/>
                <w:kern w:val="0"/>
                <w:sz w:val="20"/>
                <w:szCs w:val="20"/>
                <w14:ligatures w14:val="none"/>
              </w:rPr>
              <w:t xml:space="preserve"> arba </w:t>
            </w:r>
            <w:r w:rsidRPr="00B24A09">
              <w:rPr>
                <w:rFonts w:ascii="Times New Roman" w:eastAsia="Times New Roman" w:hAnsi="Times New Roman" w:cs="Times New Roman"/>
                <w:bCs/>
                <w:i/>
                <w:kern w:val="0"/>
                <w:sz w:val="20"/>
                <w:szCs w:val="20"/>
                <w14:ligatures w14:val="none"/>
              </w:rPr>
              <w:t>CIDR</w:t>
            </w:r>
            <w:r w:rsidRPr="00B24A09">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59A76AC3" w14:textId="77777777" w:rsidR="00B24A09" w:rsidRPr="00B24A09" w:rsidRDefault="00B24A09" w:rsidP="00B24A09">
            <w:pPr>
              <w:numPr>
                <w:ilvl w:val="6"/>
                <w:numId w:val="3"/>
              </w:numPr>
              <w:tabs>
                <w:tab w:val="left" w:pos="390"/>
                <w:tab w:val="left" w:pos="1035"/>
                <w:tab w:val="left" w:pos="1500"/>
              </w:tabs>
              <w:spacing w:after="0" w:line="240" w:lineRule="auto"/>
              <w:ind w:left="452"/>
              <w:contextualSpacing/>
              <w:jc w:val="both"/>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Turi palaikyti saugų visišką duomenų sunaikinimą nuotoliniu būdu visų tipų laikmenose, sunaikinant saugomus duomenis (HDD, SSD, NVMe).</w:t>
            </w:r>
          </w:p>
        </w:tc>
        <w:tc>
          <w:tcPr>
            <w:tcW w:w="3959" w:type="dxa"/>
            <w:tcBorders>
              <w:top w:val="single" w:sz="4" w:space="0" w:color="000000"/>
              <w:left w:val="single" w:sz="4" w:space="0" w:color="000000"/>
              <w:bottom w:val="single" w:sz="4" w:space="0" w:color="000000"/>
              <w:right w:val="single" w:sz="4" w:space="0" w:color="000000"/>
            </w:tcBorders>
            <w:vAlign w:val="center"/>
          </w:tcPr>
          <w:p w14:paraId="06B7946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6A0EC9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F7517EE"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23D23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Komplektacija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1B43554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3959" w:type="dxa"/>
            <w:tcBorders>
              <w:top w:val="single" w:sz="4" w:space="0" w:color="000000"/>
              <w:left w:val="single" w:sz="4" w:space="0" w:color="000000"/>
              <w:bottom w:val="single" w:sz="4" w:space="0" w:color="000000"/>
              <w:right w:val="single" w:sz="4" w:space="0" w:color="000000"/>
            </w:tcBorders>
            <w:vAlign w:val="center"/>
          </w:tcPr>
          <w:p w14:paraId="012B56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EC7DCE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6A25DFE"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DFC8A3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Surinkimo reikalavimai</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0C4EB7D3"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w:t>
            </w:r>
          </w:p>
          <w:p w14:paraId="42EEBF5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Tarnybinės stoties konfigūracija turi būti ištestuota įrangos gamintojo. Visa įranga turi būti gamykliškai nauja „brand new“; atnaujinti  „renew“/„refurbished“ /„remarked“ komponentai neleistini.</w:t>
            </w:r>
          </w:p>
        </w:tc>
        <w:tc>
          <w:tcPr>
            <w:tcW w:w="3959" w:type="dxa"/>
            <w:tcBorders>
              <w:top w:val="single" w:sz="4" w:space="0" w:color="000000"/>
              <w:left w:val="single" w:sz="4" w:space="0" w:color="000000"/>
              <w:bottom w:val="single" w:sz="4" w:space="0" w:color="000000"/>
              <w:right w:val="single" w:sz="4" w:space="0" w:color="000000"/>
            </w:tcBorders>
            <w:vAlign w:val="center"/>
          </w:tcPr>
          <w:p w14:paraId="5C2F5474"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5E1C977"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4725FE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2D741BE" w14:textId="77777777" w:rsidR="00B24A09" w:rsidRPr="00B24A09" w:rsidRDefault="00B24A09" w:rsidP="00B24A09">
            <w:pPr>
              <w:widowControl w:val="0"/>
              <w:spacing w:after="0" w:line="240" w:lineRule="auto"/>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Produkto kodai </w:t>
            </w:r>
            <w:r w:rsidRPr="00B24A09">
              <w:rPr>
                <w:rFonts w:ascii="Times New Roman" w:eastAsia="Times New Roman" w:hAnsi="Times New Roman" w:cs="Times New Roman"/>
                <w:color w:val="000000"/>
                <w:kern w:val="0"/>
                <w:sz w:val="20"/>
                <w:szCs w:val="20"/>
                <w14:ligatures w14:val="none"/>
              </w:rPr>
              <w:br/>
              <w:t>(Part Numbers)</w:t>
            </w:r>
          </w:p>
        </w:tc>
        <w:tc>
          <w:tcPr>
            <w:tcW w:w="5673" w:type="dxa"/>
            <w:tcBorders>
              <w:top w:val="single" w:sz="4" w:space="0" w:color="000000"/>
              <w:left w:val="single" w:sz="4" w:space="0" w:color="000000"/>
              <w:bottom w:val="single" w:sz="4" w:space="0" w:color="000000"/>
              <w:right w:val="single" w:sz="4" w:space="0" w:color="000000"/>
            </w:tcBorders>
            <w:hideMark/>
          </w:tcPr>
          <w:p w14:paraId="770201D8"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Atskirame priede privalo būti pateikti visų komplektuojančių dalių produkto kodai (Part Number), trumpas aprašymas ir kiekiai. </w:t>
            </w:r>
          </w:p>
          <w:p w14:paraId="230DA3EC"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Įranga turi būti pateikta įrangos gamintojo nustatytu keliu.</w:t>
            </w:r>
          </w:p>
          <w:p w14:paraId="5D56504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būti pateikta gamintojo autorizacijos forma (angl. </w:t>
            </w:r>
            <w:r w:rsidRPr="00B24A09">
              <w:rPr>
                <w:rFonts w:ascii="Times New Roman" w:eastAsia="Times New Roman" w:hAnsi="Times New Roman" w:cs="Times New Roman"/>
                <w:i/>
                <w:kern w:val="0"/>
                <w:sz w:val="20"/>
                <w:szCs w:val="20"/>
                <w14:ligatures w14:val="none"/>
              </w:rPr>
              <w:lastRenderedPageBreak/>
              <w:t>Manufacturer Authorization Form</w:t>
            </w:r>
            <w:r w:rsidRPr="00B24A09">
              <w:rPr>
                <w:rFonts w:ascii="Times New Roman" w:eastAsia="Times New Roman" w:hAnsi="Times New Roman" w:cs="Times New Roman"/>
                <w:kern w:val="0"/>
                <w:sz w:val="20"/>
                <w:szCs w:val="20"/>
                <w14:ligatures w14:val="none"/>
              </w:rPr>
              <w:t>), adresuota perkančiajai organizacijai.</w:t>
            </w:r>
          </w:p>
        </w:tc>
        <w:tc>
          <w:tcPr>
            <w:tcW w:w="3959" w:type="dxa"/>
            <w:tcBorders>
              <w:top w:val="single" w:sz="4" w:space="0" w:color="000000"/>
              <w:left w:val="single" w:sz="4" w:space="0" w:color="000000"/>
              <w:bottom w:val="single" w:sz="4" w:space="0" w:color="000000"/>
              <w:right w:val="single" w:sz="4" w:space="0" w:color="000000"/>
            </w:tcBorders>
          </w:tcPr>
          <w:p w14:paraId="5353835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ADF8B8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1FAAA8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86DD8A4" w14:textId="77777777" w:rsidR="00B24A09" w:rsidRPr="00B24A09" w:rsidRDefault="00B24A09" w:rsidP="00B24A09">
            <w:pPr>
              <w:widowControl w:val="0"/>
              <w:spacing w:after="0" w:line="240" w:lineRule="auto"/>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color w:val="000000"/>
                <w:kern w:val="0"/>
                <w:sz w:val="20"/>
                <w:szCs w:val="20"/>
                <w14:ligatures w14:val="none"/>
              </w:rPr>
              <w:t>Diegimo paslaugos</w:t>
            </w:r>
          </w:p>
        </w:tc>
        <w:tc>
          <w:tcPr>
            <w:tcW w:w="5673" w:type="dxa"/>
            <w:tcBorders>
              <w:top w:val="single" w:sz="4" w:space="0" w:color="000000"/>
              <w:left w:val="single" w:sz="4" w:space="0" w:color="000000"/>
              <w:bottom w:val="single" w:sz="4" w:space="0" w:color="000000"/>
              <w:right w:val="single" w:sz="4" w:space="0" w:color="000000"/>
            </w:tcBorders>
            <w:hideMark/>
          </w:tcPr>
          <w:p w14:paraId="791CB0E4"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Tarnybinė stotis turi būti pristatyta į Pirkėjo nurodytą vietą pilnai sukomplektuota ir paruošta pagal gamintojo rekomendacijas, sujungta funkcionavimui reikalingais kabeliais. Kabeliai turi būti sužymėti, atnaujintas visos įrangos mikrokodas, atliktas tarnybinės stoties nuotolinės valdymo ir diagnostikos konfigūravimas, atliktas operacinės sistemos diegimas.</w:t>
            </w:r>
          </w:p>
          <w:p w14:paraId="5CBB1D31"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3959" w:type="dxa"/>
            <w:tcBorders>
              <w:top w:val="single" w:sz="4" w:space="0" w:color="000000"/>
              <w:left w:val="single" w:sz="4" w:space="0" w:color="000000"/>
              <w:bottom w:val="single" w:sz="4" w:space="0" w:color="000000"/>
              <w:right w:val="single" w:sz="4" w:space="0" w:color="000000"/>
            </w:tcBorders>
          </w:tcPr>
          <w:p w14:paraId="115BD3F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5C168D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F8FAA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6B5E55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Sertifikavimas</w:t>
            </w:r>
          </w:p>
        </w:tc>
        <w:tc>
          <w:tcPr>
            <w:tcW w:w="5673" w:type="dxa"/>
            <w:tcBorders>
              <w:top w:val="single" w:sz="4" w:space="0" w:color="000000"/>
              <w:left w:val="single" w:sz="4" w:space="0" w:color="000000"/>
              <w:bottom w:val="single" w:sz="4" w:space="0" w:color="000000"/>
              <w:right w:val="single" w:sz="4" w:space="0" w:color="000000"/>
            </w:tcBorders>
            <w:hideMark/>
          </w:tcPr>
          <w:p w14:paraId="7B2C054E"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Canonical Ubuntu Server LTS. Informacija apie sertifikaciją turi būti pateikta oficialiame gamintojo tinklalapyje. </w:t>
            </w:r>
          </w:p>
          <w:p w14:paraId="62D48535"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Visos siūlomos tarnybinės stoties dalys (diskai, procesoriai, atmintis ir kiti įrenginiai) privalo būti pateikti vienos firmos gamintojos, pažymėti jos kodais ir/ar prekiniais ženklais.</w:t>
            </w:r>
          </w:p>
        </w:tc>
        <w:tc>
          <w:tcPr>
            <w:tcW w:w="3959" w:type="dxa"/>
            <w:tcBorders>
              <w:top w:val="single" w:sz="4" w:space="0" w:color="000000"/>
              <w:left w:val="single" w:sz="4" w:space="0" w:color="000000"/>
              <w:bottom w:val="single" w:sz="4" w:space="0" w:color="000000"/>
              <w:right w:val="single" w:sz="4" w:space="0" w:color="000000"/>
            </w:tcBorders>
          </w:tcPr>
          <w:p w14:paraId="0E073679"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62793DD2"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7E0ED3C"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7AF9CF7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Kiti reikalavimai</w:t>
            </w:r>
          </w:p>
        </w:tc>
        <w:tc>
          <w:tcPr>
            <w:tcW w:w="5673" w:type="dxa"/>
            <w:tcBorders>
              <w:top w:val="single" w:sz="4" w:space="0" w:color="000000"/>
              <w:left w:val="single" w:sz="4" w:space="0" w:color="000000"/>
              <w:bottom w:val="single" w:sz="4" w:space="0" w:color="000000"/>
              <w:right w:val="single" w:sz="4" w:space="0" w:color="000000"/>
            </w:tcBorders>
            <w:hideMark/>
          </w:tcPr>
          <w:p w14:paraId="5C98082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Visa siūloma įranga turi būti nauja, nenaudota, pristatoma originaliame gamykliniame įpakavime; </w:t>
            </w:r>
          </w:p>
          <w:p w14:paraId="4F7E965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Siūlomai įrangai, pilnai be apribojimų turi būti taikoma gamintojo garantinė priežiūra; </w:t>
            </w:r>
          </w:p>
          <w:p w14:paraId="465B5CD4"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techninė, programinė įranga, turi būti vieno gamintojo sertifikuota bendram darbui; </w:t>
            </w:r>
          </w:p>
          <w:p w14:paraId="3A051233"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techninė įranga privalo atitikti ISO-900X gamybos standartą, sertifikuota CE. </w:t>
            </w:r>
          </w:p>
          <w:p w14:paraId="6F97F88E"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Gamintojo interneto svetainėje tvarkyklių ir dokumentų paieška atliekama anglų arba lietuvių kalba.</w:t>
            </w:r>
          </w:p>
        </w:tc>
        <w:tc>
          <w:tcPr>
            <w:tcW w:w="3959" w:type="dxa"/>
            <w:tcBorders>
              <w:top w:val="single" w:sz="4" w:space="0" w:color="000000"/>
              <w:left w:val="single" w:sz="4" w:space="0" w:color="000000"/>
              <w:bottom w:val="single" w:sz="4" w:space="0" w:color="000000"/>
              <w:right w:val="single" w:sz="4" w:space="0" w:color="000000"/>
            </w:tcBorders>
          </w:tcPr>
          <w:p w14:paraId="34274B1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DBEC9E0"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60459A85" w14:textId="77777777" w:rsidR="00B24A09" w:rsidRPr="00B24A09" w:rsidRDefault="00B24A09" w:rsidP="00B24A09">
            <w:pPr>
              <w:widowControl w:val="0"/>
              <w:numPr>
                <w:ilvl w:val="0"/>
                <w:numId w:val="3"/>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945DC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Ekologiniai reikalavimai:</w:t>
            </w:r>
          </w:p>
        </w:tc>
        <w:tc>
          <w:tcPr>
            <w:tcW w:w="5673" w:type="dxa"/>
            <w:tcBorders>
              <w:top w:val="single" w:sz="4" w:space="0" w:color="000000"/>
              <w:left w:val="single" w:sz="4" w:space="0" w:color="000000"/>
              <w:bottom w:val="single" w:sz="4" w:space="0" w:color="000000"/>
              <w:right w:val="single" w:sz="4" w:space="0" w:color="000000"/>
            </w:tcBorders>
            <w:hideMark/>
          </w:tcPr>
          <w:p w14:paraId="3827E6F9"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6DD4B034" w14:textId="167280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rPr>
              <w:t xml:space="preserve">Tiekėjas </w:t>
            </w:r>
            <w:r w:rsidR="00B313DC" w:rsidRPr="00B313DC">
              <w:rPr>
                <w:rFonts w:ascii="Times New Roman" w:eastAsia="Times New Roman" w:hAnsi="Times New Roman" w:cs="Times New Roman"/>
                <w:b/>
                <w:bCs/>
                <w:kern w:val="0"/>
                <w:sz w:val="20"/>
                <w:szCs w:val="20"/>
                <w:highlight w:val="lightGray"/>
              </w:rPr>
              <w:t>pristatydamas prekę</w:t>
            </w:r>
            <w:r w:rsidR="00B313DC">
              <w:rPr>
                <w:rFonts w:ascii="Times New Roman" w:eastAsia="Times New Roman" w:hAnsi="Times New Roman" w:cs="Times New Roman"/>
                <w:kern w:val="0"/>
                <w:sz w:val="20"/>
                <w:szCs w:val="20"/>
              </w:rPr>
              <w:t xml:space="preserve"> </w:t>
            </w:r>
            <w:r w:rsidRPr="00B24A09">
              <w:rPr>
                <w:rFonts w:ascii="Times New Roman" w:eastAsia="Times New Roman" w:hAnsi="Times New Roman" w:cs="Times New Roman"/>
                <w:kern w:val="0"/>
                <w:sz w:val="20"/>
                <w:szCs w:val="20"/>
              </w:rPr>
              <w:t>turi pateikti:</w:t>
            </w:r>
          </w:p>
          <w:p w14:paraId="13789B40" w14:textId="77777777" w:rsidR="00B24A09" w:rsidRPr="00B24A09" w:rsidRDefault="00B24A09" w:rsidP="00B24A09">
            <w:pPr>
              <w:spacing w:after="0" w:line="240" w:lineRule="auto"/>
              <w:ind w:left="542" w:firstLine="2"/>
              <w:jc w:val="both"/>
              <w:rPr>
                <w:rFonts w:ascii="Times New Roman" w:eastAsia="Times New Roman" w:hAnsi="Times New Roman" w:cs="Times New Roman"/>
                <w:kern w:val="0"/>
                <w:sz w:val="20"/>
                <w:szCs w:val="20"/>
              </w:rPr>
            </w:pPr>
            <w:r w:rsidRPr="00B24A09">
              <w:rPr>
                <w:rFonts w:ascii="Times New Roman" w:eastAsia="Times New Roman" w:hAnsi="Times New Roman" w:cs="Times New Roman"/>
                <w:kern w:val="0"/>
                <w:sz w:val="20"/>
                <w:szCs w:val="20"/>
              </w:rPr>
              <w:lastRenderedPageBreak/>
              <w:t xml:space="preserve">a) gamintojo atitikties deklaracija, patvirtinanti, kad prekės atitinka Europos Komisijos reglamentuose dėl gaminių ekologinio projektavimo nurodytus reikalavimus, arba </w:t>
            </w:r>
          </w:p>
          <w:p w14:paraId="14E8B082" w14:textId="77777777" w:rsidR="00B24A09" w:rsidRPr="00B24A09" w:rsidRDefault="00B24A09" w:rsidP="00B24A09">
            <w:pPr>
              <w:spacing w:after="0" w:line="240" w:lineRule="auto"/>
              <w:ind w:left="542" w:firstLine="2"/>
              <w:jc w:val="both"/>
              <w:rPr>
                <w:rFonts w:ascii="Times New Roman" w:eastAsia="Times New Roman" w:hAnsi="Times New Roman" w:cs="Times New Roman"/>
                <w:kern w:val="0"/>
                <w:sz w:val="20"/>
                <w:szCs w:val="20"/>
              </w:rPr>
            </w:pPr>
            <w:r w:rsidRPr="00B24A09">
              <w:rPr>
                <w:rFonts w:ascii="Times New Roman" w:eastAsia="Times New Roman" w:hAnsi="Times New Roman" w:cs="Times New Roman"/>
                <w:kern w:val="0"/>
                <w:sz w:val="20"/>
                <w:szCs w:val="20"/>
              </w:rPr>
              <w:t xml:space="preserve">b) gamintojo techniniai dokumentai, arba </w:t>
            </w:r>
          </w:p>
          <w:p w14:paraId="3DC81EED" w14:textId="77777777" w:rsidR="00B24A09" w:rsidRPr="00B24A09" w:rsidRDefault="00B24A09" w:rsidP="00B24A09">
            <w:pPr>
              <w:widowControl w:val="0"/>
              <w:spacing w:after="0" w:line="240" w:lineRule="auto"/>
              <w:ind w:left="542" w:firstLine="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rPr>
              <w:t>c) kiti lygiaverčiai įrodymai.</w:t>
            </w:r>
          </w:p>
        </w:tc>
        <w:tc>
          <w:tcPr>
            <w:tcW w:w="3959" w:type="dxa"/>
            <w:tcBorders>
              <w:top w:val="single" w:sz="4" w:space="0" w:color="000000"/>
              <w:left w:val="single" w:sz="4" w:space="0" w:color="000000"/>
              <w:bottom w:val="single" w:sz="4" w:space="0" w:color="000000"/>
              <w:right w:val="single" w:sz="4" w:space="0" w:color="000000"/>
            </w:tcBorders>
          </w:tcPr>
          <w:p w14:paraId="415750AD"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56C9B0"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B5365B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97251C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Garantinis aptarnavimas</w:t>
            </w:r>
          </w:p>
        </w:tc>
        <w:tc>
          <w:tcPr>
            <w:tcW w:w="5673" w:type="dxa"/>
            <w:tcBorders>
              <w:top w:val="single" w:sz="4" w:space="0" w:color="000000"/>
              <w:left w:val="single" w:sz="4" w:space="0" w:color="000000"/>
              <w:bottom w:val="single" w:sz="4" w:space="0" w:color="000000"/>
              <w:right w:val="single" w:sz="4" w:space="0" w:color="000000"/>
            </w:tcBorders>
            <w:hideMark/>
          </w:tcPr>
          <w:p w14:paraId="71B75A5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Ne trumpesnė nei 5 metų trukmės tarnybinės stoties </w:t>
            </w:r>
            <w:r w:rsidRPr="00E55CA3">
              <w:rPr>
                <w:rFonts w:ascii="Times New Roman" w:eastAsia="Times New Roman" w:hAnsi="Times New Roman" w:cs="Times New Roman"/>
                <w:color w:val="000000"/>
                <w:kern w:val="0"/>
                <w:sz w:val="20"/>
                <w:szCs w:val="20"/>
                <w14:ligatures w14:val="none"/>
              </w:rPr>
              <w:t>gamintojo</w:t>
            </w:r>
            <w:r w:rsidRPr="00B24A09">
              <w:rPr>
                <w:rFonts w:ascii="Times New Roman" w:eastAsia="Times New Roman" w:hAnsi="Times New Roman" w:cs="Times New Roman"/>
                <w:color w:val="000000"/>
                <w:kern w:val="0"/>
                <w:sz w:val="20"/>
                <w:szCs w:val="20"/>
                <w14:ligatures w14:val="none"/>
              </w:rPr>
              <w:t xml:space="preserve"> 24x7 garantija su aptarnavimu darbo vietoje ne vėliau kaip sekančią darbo dieną. Reakcija į pranešimą apie įrangos gedimą – 8 val. </w:t>
            </w:r>
          </w:p>
          <w:p w14:paraId="2212884A" w14:textId="125CA45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Siūlomos įrangos techninis aptarnavimas turi būti atliekamas tik įrangos gamintojo sertifikuotuose techninio aptarnavimo centruose</w:t>
            </w:r>
            <w:r w:rsidR="00E55CA3">
              <w:rPr>
                <w:rFonts w:ascii="Times New Roman" w:eastAsia="Times New Roman" w:hAnsi="Times New Roman" w:cs="Times New Roman"/>
                <w:color w:val="000000"/>
                <w:kern w:val="0"/>
                <w:sz w:val="20"/>
                <w:szCs w:val="20"/>
                <w14:ligatures w14:val="none"/>
              </w:rPr>
              <w:t xml:space="preserve"> (</w:t>
            </w:r>
            <w:r w:rsidR="00E55CA3" w:rsidRPr="00E55CA3">
              <w:rPr>
                <w:rFonts w:ascii="Times New Roman" w:eastAsia="Times New Roman" w:hAnsi="Times New Roman" w:cs="Times New Roman"/>
                <w:b/>
                <w:bCs/>
                <w:color w:val="000000"/>
                <w:kern w:val="0"/>
                <w:sz w:val="20"/>
                <w:szCs w:val="20"/>
                <w:highlight w:val="lightGray"/>
                <w14:ligatures w14:val="none"/>
              </w:rPr>
              <w:t>įrodantys dokumentai pateikiami kartu su pasiūlymu)</w:t>
            </w:r>
            <w:r w:rsidRPr="00E55CA3">
              <w:rPr>
                <w:rFonts w:ascii="Times New Roman" w:eastAsia="Times New Roman" w:hAnsi="Times New Roman" w:cs="Times New Roman"/>
                <w:b/>
                <w:bCs/>
                <w:color w:val="000000"/>
                <w:kern w:val="0"/>
                <w:sz w:val="20"/>
                <w:szCs w:val="20"/>
                <w:highlight w:val="lightGray"/>
                <w14:ligatures w14:val="none"/>
              </w:rPr>
              <w:t>.</w:t>
            </w:r>
          </w:p>
          <w:p w14:paraId="3C0344F1"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6478A505"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3959" w:type="dxa"/>
            <w:tcBorders>
              <w:top w:val="single" w:sz="4" w:space="0" w:color="000000"/>
              <w:left w:val="single" w:sz="4" w:space="0" w:color="000000"/>
              <w:bottom w:val="single" w:sz="4" w:space="0" w:color="000000"/>
              <w:right w:val="single" w:sz="4" w:space="0" w:color="000000"/>
            </w:tcBorders>
          </w:tcPr>
          <w:p w14:paraId="035F97F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327465" w:rsidRPr="00B24A09" w14:paraId="14B9A47A"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0370D3" w14:textId="77777777" w:rsidR="00327465" w:rsidRPr="00B24A09" w:rsidRDefault="00327465"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B0C1C20" w14:textId="77777777" w:rsidR="00327465" w:rsidRPr="00B24A09" w:rsidRDefault="00327465" w:rsidP="00B24A09">
            <w:pPr>
              <w:widowControl w:val="0"/>
              <w:spacing w:after="0" w:line="240" w:lineRule="auto"/>
              <w:rPr>
                <w:rFonts w:ascii="Times New Roman" w:eastAsia="Times New Roman" w:hAnsi="Times New Roman" w:cs="Times New Roman"/>
                <w:color w:val="000000"/>
                <w:kern w:val="0"/>
                <w:sz w:val="20"/>
                <w:szCs w:val="20"/>
                <w14:ligatures w14:val="none"/>
              </w:rPr>
            </w:pPr>
          </w:p>
        </w:tc>
        <w:tc>
          <w:tcPr>
            <w:tcW w:w="5673" w:type="dxa"/>
            <w:tcBorders>
              <w:top w:val="single" w:sz="4" w:space="0" w:color="000000"/>
              <w:left w:val="single" w:sz="4" w:space="0" w:color="000000"/>
              <w:bottom w:val="single" w:sz="4" w:space="0" w:color="000000"/>
              <w:right w:val="single" w:sz="4" w:space="0" w:color="000000"/>
            </w:tcBorders>
          </w:tcPr>
          <w:p w14:paraId="4A9FF0C9" w14:textId="319520B8" w:rsidR="00327465" w:rsidRPr="00327465" w:rsidRDefault="00327465" w:rsidP="00327465">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1. </w:t>
            </w:r>
            <w:r w:rsidRPr="00327465">
              <w:rPr>
                <w:rFonts w:ascii="Times New Roman" w:eastAsia="Times New Roman" w:hAnsi="Times New Roman" w:cs="Times New Roman"/>
                <w:color w:val="000000"/>
                <w:kern w:val="0"/>
                <w:sz w:val="20"/>
                <w:szCs w:val="20"/>
                <w14:ligatures w14:val="none"/>
              </w:rPr>
              <w:t xml:space="preserve">Siūlomų prekių (aparatinės įrangos) gamintojas turi užtikrinti kokybės vadybos sistemos standartų laikymąsi. Tai patvirtinančiais dokumentais, kuriuos Tiekėjas turi </w:t>
            </w:r>
            <w:r w:rsidRPr="00327465">
              <w:rPr>
                <w:rFonts w:ascii="Times New Roman" w:eastAsia="Times New Roman" w:hAnsi="Times New Roman" w:cs="Times New Roman"/>
                <w:b/>
                <w:bCs/>
                <w:color w:val="000000"/>
                <w:kern w:val="0"/>
                <w:sz w:val="20"/>
                <w:szCs w:val="20"/>
                <w:highlight w:val="lightGray"/>
                <w14:ligatures w14:val="none"/>
              </w:rPr>
              <w:t>pateikti kartu su pasiūlymu</w:t>
            </w:r>
            <w:r w:rsidRPr="00327465">
              <w:rPr>
                <w:rFonts w:ascii="Times New Roman" w:eastAsia="Times New Roman" w:hAnsi="Times New Roman" w:cs="Times New Roman"/>
                <w:color w:val="000000"/>
                <w:kern w:val="0"/>
                <w:sz w:val="20"/>
                <w:szCs w:val="20"/>
                <w14:ligatures w14:val="none"/>
              </w:rPr>
              <w:t>, laikomi ISO 9001 sertifikatas arba kitas lygiavertis kompetentingos institucijos išduotas dokumentas, patvirtinantis, kad gamintojo kokybės vadybos sistema atitinka pripažintus kokybės vadybos standartus.</w:t>
            </w:r>
          </w:p>
        </w:tc>
        <w:tc>
          <w:tcPr>
            <w:tcW w:w="3959" w:type="dxa"/>
            <w:tcBorders>
              <w:top w:val="single" w:sz="4" w:space="0" w:color="000000"/>
              <w:left w:val="single" w:sz="4" w:space="0" w:color="000000"/>
              <w:bottom w:val="single" w:sz="4" w:space="0" w:color="000000"/>
              <w:right w:val="single" w:sz="4" w:space="0" w:color="000000"/>
            </w:tcBorders>
          </w:tcPr>
          <w:p w14:paraId="74E51DEB" w14:textId="77777777" w:rsidR="00327465" w:rsidRPr="00B24A09" w:rsidRDefault="00327465"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6F3D9AF" w14:textId="77777777" w:rsidTr="00716C42">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D841351" w14:textId="77777777" w:rsidR="00B24A09" w:rsidRPr="00B24A09" w:rsidRDefault="00B24A09" w:rsidP="00B24A09">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sidRPr="00B24A09">
              <w:rPr>
                <w:rFonts w:ascii="Times New Roman" w:eastAsia="Times New Roman" w:hAnsi="Times New Roman" w:cs="Times New Roman"/>
                <w:b/>
                <w:bCs/>
                <w:color w:val="000000"/>
                <w:kern w:val="0"/>
                <w:sz w:val="20"/>
                <w:szCs w:val="20"/>
                <w14:ligatures w14:val="none"/>
              </w:rPr>
              <w:t>Tarnybinės stoties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EE5F4F8" w14:textId="77777777" w:rsidR="00B24A09" w:rsidRPr="00B24A09" w:rsidRDefault="00B24A09" w:rsidP="00B24A09">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B24A09" w:rsidRPr="00B24A09" w14:paraId="7E55ABCB" w14:textId="77777777" w:rsidTr="00716C42">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3F2F7B2" w14:textId="0758A04B" w:rsidR="00B24A09" w:rsidRPr="00B24A09" w:rsidRDefault="00B24A09" w:rsidP="00B24A09">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sidRPr="00B24A09">
              <w:rPr>
                <w:rFonts w:ascii="Times New Roman" w:eastAsia="Times New Roman" w:hAnsi="Times New Roman" w:cs="Times New Roman"/>
                <w:b/>
                <w:bCs/>
                <w:color w:val="000000"/>
                <w:kern w:val="0"/>
                <w:sz w:val="20"/>
                <w:szCs w:val="20"/>
                <w14:ligatures w14:val="none"/>
              </w:rPr>
              <w:t xml:space="preserve">Pristatymo terminas: Ne vėliau kaip per </w:t>
            </w:r>
            <w:r w:rsidR="00EE1777">
              <w:rPr>
                <w:rFonts w:ascii="Times New Roman" w:eastAsia="Times New Roman" w:hAnsi="Times New Roman" w:cs="Times New Roman"/>
                <w:b/>
                <w:bCs/>
                <w:color w:val="000000"/>
                <w:kern w:val="0"/>
                <w:sz w:val="20"/>
                <w:szCs w:val="20"/>
                <w14:ligatures w14:val="none"/>
              </w:rPr>
              <w:t>6</w:t>
            </w:r>
            <w:r w:rsidRPr="00B24A09">
              <w:rPr>
                <w:rFonts w:ascii="Times New Roman" w:eastAsia="Times New Roman" w:hAnsi="Times New Roman" w:cs="Times New Roman"/>
                <w:b/>
                <w:bCs/>
                <w:color w:val="000000"/>
                <w:kern w:val="0"/>
                <w:sz w:val="20"/>
                <w:szCs w:val="20"/>
                <w14:ligatures w14:val="none"/>
              </w:rPr>
              <w:t>0 (</w:t>
            </w:r>
            <w:r w:rsidR="00EE1777">
              <w:rPr>
                <w:rFonts w:ascii="Times New Roman" w:eastAsia="Times New Roman" w:hAnsi="Times New Roman" w:cs="Times New Roman"/>
                <w:b/>
                <w:bCs/>
                <w:color w:val="000000"/>
                <w:kern w:val="0"/>
                <w:sz w:val="20"/>
                <w:szCs w:val="20"/>
                <w14:ligatures w14:val="none"/>
              </w:rPr>
              <w:t>šešias</w:t>
            </w:r>
            <w:r w:rsidRPr="00B24A09">
              <w:rPr>
                <w:rFonts w:ascii="Times New Roman" w:eastAsia="Times New Roman" w:hAnsi="Times New Roman" w:cs="Times New Roman"/>
                <w:b/>
                <w:bCs/>
                <w:color w:val="000000"/>
                <w:kern w:val="0"/>
                <w:sz w:val="20"/>
                <w:szCs w:val="20"/>
                <w14:ligatures w14:val="none"/>
              </w:rPr>
              <w:t>dešimt) kalendorinių dienų nuo sutarties pasirašymo dienos</w:t>
            </w:r>
          </w:p>
        </w:tc>
        <w:tc>
          <w:tcPr>
            <w:tcW w:w="3959" w:type="dxa"/>
            <w:tcBorders>
              <w:top w:val="single" w:sz="4" w:space="0" w:color="000000"/>
              <w:left w:val="single" w:sz="4" w:space="0" w:color="000000"/>
              <w:bottom w:val="single" w:sz="4" w:space="0" w:color="000000"/>
              <w:right w:val="single" w:sz="4" w:space="0" w:color="000000"/>
            </w:tcBorders>
            <w:vAlign w:val="bottom"/>
          </w:tcPr>
          <w:p w14:paraId="7B1561CB" w14:textId="77777777" w:rsidR="00B24A09" w:rsidRPr="00B24A09" w:rsidRDefault="00B24A09" w:rsidP="00B24A09">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7AC7F1C" w14:textId="77777777" w:rsidR="00B24A09" w:rsidRPr="00B24A09" w:rsidRDefault="00B24A09" w:rsidP="00B24A09">
      <w:pPr>
        <w:spacing w:after="0" w:line="240" w:lineRule="auto"/>
        <w:rPr>
          <w:rFonts w:ascii="Times New Roman" w:eastAsia="Times New Roman" w:hAnsi="Times New Roman" w:cs="Times New Roman"/>
          <w:b/>
          <w:bCs/>
          <w:kern w:val="0"/>
          <w:sz w:val="22"/>
          <w:szCs w:val="22"/>
          <w14:ligatures w14:val="none"/>
        </w:rPr>
      </w:pPr>
    </w:p>
    <w:p w14:paraId="6F953274" w14:textId="77777777" w:rsidR="00B24A09" w:rsidRPr="00B24A09" w:rsidRDefault="00B24A09" w:rsidP="00B24A09">
      <w:pPr>
        <w:spacing w:after="0" w:line="240" w:lineRule="auto"/>
        <w:rPr>
          <w:rFonts w:ascii="Times New Roman" w:eastAsia="Aptos" w:hAnsi="Times New Roman" w:cs="Times New Roman"/>
        </w:rPr>
      </w:pPr>
    </w:p>
    <w:p w14:paraId="2CD3B77F" w14:textId="0CF92E2A" w:rsidR="00D374B2" w:rsidRPr="00435785" w:rsidRDefault="00D374B2" w:rsidP="00D374B2">
      <w:pPr>
        <w:pStyle w:val="Default"/>
        <w:ind w:left="1069"/>
        <w:jc w:val="both"/>
        <w:rPr>
          <w:rFonts w:ascii="Times New Roman" w:hAnsi="Times New Roman" w:cs="Times New Roman"/>
          <w:color w:val="auto"/>
          <w:sz w:val="22"/>
          <w:szCs w:val="22"/>
          <w:lang w:eastAsia="lt-LT"/>
        </w:rPr>
      </w:pPr>
      <w:r>
        <w:rPr>
          <w:rFonts w:ascii="Times New Roman" w:hAnsi="Times New Roman" w:cs="Times New Roman"/>
          <w:b/>
          <w:bCs/>
          <w:color w:val="auto"/>
          <w:sz w:val="22"/>
          <w:szCs w:val="22"/>
        </w:rPr>
        <w:t xml:space="preserve">4. </w:t>
      </w:r>
      <w:r w:rsidRPr="00435785">
        <w:rPr>
          <w:rFonts w:ascii="Times New Roman" w:hAnsi="Times New Roman" w:cs="Times New Roman"/>
          <w:b/>
          <w:bCs/>
          <w:color w:val="auto"/>
          <w:sz w:val="22"/>
          <w:szCs w:val="22"/>
        </w:rPr>
        <w:t>APLINKOS APSAUGOS REIKALAVIMAI</w:t>
      </w:r>
      <w:r>
        <w:rPr>
          <w:rFonts w:ascii="Times New Roman" w:hAnsi="Times New Roman" w:cs="Times New Roman"/>
          <w:b/>
          <w:bCs/>
          <w:color w:val="auto"/>
          <w:sz w:val="22"/>
          <w:szCs w:val="22"/>
        </w:rPr>
        <w:t xml:space="preserve"> </w:t>
      </w:r>
    </w:p>
    <w:p w14:paraId="51334D17" w14:textId="77777777" w:rsidR="00D374B2" w:rsidRPr="00DE076E" w:rsidRDefault="00D374B2" w:rsidP="00D374B2">
      <w:pPr>
        <w:pStyle w:val="Default"/>
        <w:ind w:firstLine="709"/>
        <w:jc w:val="right"/>
        <w:rPr>
          <w:rFonts w:ascii="Times New Roman" w:hAnsi="Times New Roman" w:cs="Times New Roman"/>
          <w:b/>
          <w:bCs/>
          <w:color w:val="auto"/>
          <w:sz w:val="22"/>
          <w:szCs w:val="22"/>
          <w:lang w:eastAsia="lt-LT"/>
        </w:rPr>
      </w:pPr>
      <w:r w:rsidRPr="00DE076E">
        <w:rPr>
          <w:rFonts w:ascii="Times New Roman" w:hAnsi="Times New Roman" w:cs="Times New Roman"/>
          <w:b/>
          <w:bCs/>
          <w:color w:val="auto"/>
          <w:sz w:val="22"/>
          <w:szCs w:val="22"/>
          <w:lang w:eastAsia="lt-LT"/>
        </w:rPr>
        <w:lastRenderedPageBreak/>
        <w:t>2 lentelė. Aplinkos apsaugos reikalavimai</w:t>
      </w:r>
    </w:p>
    <w:p w14:paraId="38214FE9" w14:textId="77777777" w:rsidR="00D374B2" w:rsidRPr="00435785" w:rsidRDefault="00D374B2" w:rsidP="00D374B2">
      <w:pPr>
        <w:pStyle w:val="Default"/>
        <w:ind w:firstLine="709"/>
        <w:jc w:val="right"/>
        <w:rPr>
          <w:rFonts w:ascii="Times New Roman" w:hAnsi="Times New Roman" w:cs="Times New Roman"/>
          <w:color w:val="auto"/>
          <w:sz w:val="22"/>
          <w:szCs w:val="22"/>
          <w:lang w:eastAsia="lt-LT"/>
        </w:rPr>
      </w:pPr>
    </w:p>
    <w:tbl>
      <w:tblPr>
        <w:tblStyle w:val="TableGrid"/>
        <w:tblW w:w="13467" w:type="dxa"/>
        <w:tblInd w:w="1129" w:type="dxa"/>
        <w:tblLook w:val="04A0" w:firstRow="1" w:lastRow="0" w:firstColumn="1" w:lastColumn="0" w:noHBand="0" w:noVBand="1"/>
      </w:tblPr>
      <w:tblGrid>
        <w:gridCol w:w="540"/>
        <w:gridCol w:w="6743"/>
        <w:gridCol w:w="6184"/>
      </w:tblGrid>
      <w:tr w:rsidR="00D374B2" w:rsidRPr="00435785" w14:paraId="6E151BEA" w14:textId="77777777" w:rsidTr="00D374B2">
        <w:tc>
          <w:tcPr>
            <w:tcW w:w="540" w:type="dxa"/>
          </w:tcPr>
          <w:p w14:paraId="71036E57" w14:textId="77777777" w:rsidR="00D374B2" w:rsidRPr="00435785" w:rsidRDefault="00D374B2" w:rsidP="007E1989">
            <w:pPr>
              <w:rPr>
                <w:b/>
                <w:bCs/>
                <w:sz w:val="22"/>
                <w:szCs w:val="22"/>
              </w:rPr>
            </w:pPr>
            <w:r w:rsidRPr="00435785">
              <w:rPr>
                <w:b/>
                <w:bCs/>
                <w:sz w:val="22"/>
                <w:szCs w:val="22"/>
              </w:rPr>
              <w:t>Eil. Nr.</w:t>
            </w:r>
          </w:p>
        </w:tc>
        <w:tc>
          <w:tcPr>
            <w:tcW w:w="6743" w:type="dxa"/>
          </w:tcPr>
          <w:p w14:paraId="2BACF17F" w14:textId="77777777" w:rsidR="00D374B2" w:rsidRPr="00435785" w:rsidRDefault="00D374B2" w:rsidP="007E1989">
            <w:pPr>
              <w:jc w:val="center"/>
              <w:rPr>
                <w:b/>
                <w:bCs/>
                <w:sz w:val="22"/>
                <w:szCs w:val="22"/>
              </w:rPr>
            </w:pPr>
            <w:r w:rsidRPr="00435785">
              <w:rPr>
                <w:b/>
                <w:bCs/>
                <w:sz w:val="22"/>
                <w:szCs w:val="22"/>
              </w:rPr>
              <w:t>Aplinkos apsaugos reikalavimai</w:t>
            </w:r>
          </w:p>
        </w:tc>
        <w:tc>
          <w:tcPr>
            <w:tcW w:w="6184" w:type="dxa"/>
          </w:tcPr>
          <w:p w14:paraId="24B97293" w14:textId="77777777" w:rsidR="00D374B2" w:rsidRPr="00435785" w:rsidRDefault="00D374B2" w:rsidP="007E1989">
            <w:pPr>
              <w:jc w:val="center"/>
              <w:rPr>
                <w:b/>
                <w:bCs/>
                <w:sz w:val="22"/>
                <w:szCs w:val="22"/>
              </w:rPr>
            </w:pPr>
            <w:r w:rsidRPr="00435785">
              <w:rPr>
                <w:b/>
                <w:bCs/>
                <w:sz w:val="22"/>
                <w:szCs w:val="22"/>
              </w:rPr>
              <w:t>Reikalavimui pagrįsti pateikiami dokumentai</w:t>
            </w:r>
          </w:p>
          <w:p w14:paraId="796D3848" w14:textId="77777777" w:rsidR="00D374B2" w:rsidRPr="008745F5" w:rsidRDefault="00D374B2" w:rsidP="007E1989">
            <w:pPr>
              <w:jc w:val="both"/>
              <w:rPr>
                <w:b/>
                <w:bCs/>
                <w:sz w:val="22"/>
                <w:szCs w:val="22"/>
              </w:rPr>
            </w:pPr>
          </w:p>
        </w:tc>
      </w:tr>
      <w:tr w:rsidR="00D374B2" w:rsidRPr="00435785" w14:paraId="3B73A384" w14:textId="77777777" w:rsidTr="00D374B2">
        <w:trPr>
          <w:trHeight w:val="2971"/>
        </w:trPr>
        <w:tc>
          <w:tcPr>
            <w:tcW w:w="540" w:type="dxa"/>
          </w:tcPr>
          <w:p w14:paraId="3ADCC04B" w14:textId="77777777" w:rsidR="00D374B2" w:rsidRPr="00435785" w:rsidRDefault="00D374B2" w:rsidP="007E1989">
            <w:pPr>
              <w:rPr>
                <w:b/>
                <w:bCs/>
                <w:sz w:val="22"/>
                <w:szCs w:val="22"/>
              </w:rPr>
            </w:pPr>
            <w:r w:rsidRPr="00435785">
              <w:rPr>
                <w:b/>
                <w:bCs/>
                <w:sz w:val="22"/>
                <w:szCs w:val="22"/>
              </w:rPr>
              <w:t>1.</w:t>
            </w:r>
          </w:p>
        </w:tc>
        <w:tc>
          <w:tcPr>
            <w:tcW w:w="6743" w:type="dxa"/>
          </w:tcPr>
          <w:p w14:paraId="41C9C075" w14:textId="3440C5B8" w:rsidR="00D374B2" w:rsidRPr="002C1AF0" w:rsidRDefault="00D374B2" w:rsidP="007E1989">
            <w:pPr>
              <w:pStyle w:val="Default"/>
              <w:jc w:val="both"/>
              <w:rPr>
                <w:rFonts w:ascii="Times New Roman" w:hAnsi="Times New Roman" w:cs="Times New Roman"/>
                <w:color w:val="auto"/>
                <w:sz w:val="22"/>
                <w:szCs w:val="22"/>
              </w:rPr>
            </w:pPr>
            <w:r w:rsidRPr="002C1AF0">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w:t>
            </w:r>
            <w:r w:rsidRPr="000C490E">
              <w:rPr>
                <w:rFonts w:ascii="Times New Roman" w:hAnsi="Times New Roman" w:cs="Times New Roman"/>
                <w:color w:val="auto"/>
                <w:sz w:val="22"/>
                <w:szCs w:val="22"/>
              </w:rPr>
              <w:t xml:space="preserve">s ministro 2022 m. gruodžio 13 d. įsakymo Nr. D1-401 redakcija) 4.4.4.3 punktu (4.4.4.3. prekei pagaminti naudojama mažiau ar nenaudojama pavojingųjų cheminių medžiagų, neteršiama aplinka ir nekeliamas pavojus sveikatai). Siūloma įranga </w:t>
            </w:r>
            <w:r w:rsidRPr="00BF589E">
              <w:rPr>
                <w:rFonts w:ascii="Times New Roman" w:hAnsi="Times New Roman" w:cs="Times New Roman"/>
                <w:color w:val="auto"/>
                <w:sz w:val="22"/>
                <w:szCs w:val="22"/>
              </w:rPr>
              <w:t xml:space="preserve">turi atitikti Europos Sąjungos direktyvų </w:t>
            </w:r>
            <w:r w:rsidRPr="00B24A09">
              <w:rPr>
                <w:rFonts w:ascii="Times New Roman" w:eastAsia="Times New Roman" w:hAnsi="Times New Roman" w:cs="Times New Roman"/>
                <w:sz w:val="22"/>
                <w:szCs w:val="22"/>
              </w:rPr>
              <w:t>(2002/95/EC (RoHS 1), 2011/65/EU (RoHS 2), 2015/863 (RoHS 2 amendment)</w:t>
            </w:r>
            <w:r>
              <w:rPr>
                <w:rFonts w:ascii="Times New Roman" w:eastAsia="Times New Roman" w:hAnsi="Times New Roman" w:cs="Times New Roman"/>
                <w:sz w:val="22"/>
                <w:szCs w:val="22"/>
              </w:rPr>
              <w:t xml:space="preserve"> </w:t>
            </w:r>
            <w:r w:rsidRPr="00BF589E">
              <w:rPr>
                <w:rFonts w:ascii="Times New Roman" w:hAnsi="Times New Roman" w:cs="Times New Roman"/>
                <w:color w:val="auto"/>
                <w:sz w:val="22"/>
                <w:szCs w:val="22"/>
              </w:rPr>
              <w:t>dėl tam tikrų pavojingų medžiagų (gyvsidabris, kadmis, švinas, šešiavalentis chromas, antipirenai ir kt.) naudojimo elektros ir elektroninėje įrangoje apribojimo reikalavimus (RoHS (angl. „Restriction of Hazardous Substances“)</w:t>
            </w:r>
            <w:r>
              <w:rPr>
                <w:rFonts w:ascii="Times New Roman" w:hAnsi="Times New Roman" w:cs="Times New Roman"/>
                <w:color w:val="auto"/>
                <w:sz w:val="22"/>
                <w:szCs w:val="22"/>
              </w:rPr>
              <w:t>.</w:t>
            </w:r>
          </w:p>
        </w:tc>
        <w:tc>
          <w:tcPr>
            <w:tcW w:w="6184" w:type="dxa"/>
          </w:tcPr>
          <w:p w14:paraId="73E91FB8" w14:textId="77777777" w:rsidR="00D374B2" w:rsidRDefault="00D374B2" w:rsidP="007E1989">
            <w:pPr>
              <w:jc w:val="both"/>
              <w:rPr>
                <w:sz w:val="22"/>
                <w:szCs w:val="22"/>
              </w:rPr>
            </w:pPr>
            <w:r w:rsidRPr="00D374B2">
              <w:rPr>
                <w:b/>
                <w:bCs/>
                <w:sz w:val="22"/>
                <w:szCs w:val="22"/>
              </w:rPr>
              <w:t>Kartu su pasiūlymu</w:t>
            </w:r>
            <w:r>
              <w:rPr>
                <w:sz w:val="22"/>
                <w:szCs w:val="22"/>
              </w:rPr>
              <w:t xml:space="preserve"> pateikiami a</w:t>
            </w:r>
            <w:r w:rsidRPr="00435785">
              <w:rPr>
                <w:sz w:val="22"/>
                <w:szCs w:val="22"/>
              </w:rPr>
              <w:t>titiktį RoHS reikalavimams įrodan</w:t>
            </w:r>
            <w:r>
              <w:rPr>
                <w:sz w:val="22"/>
                <w:szCs w:val="22"/>
              </w:rPr>
              <w:t>ty</w:t>
            </w:r>
            <w:r w:rsidRPr="00435785">
              <w:rPr>
                <w:sz w:val="22"/>
                <w:szCs w:val="22"/>
              </w:rPr>
              <w:t>s dokument</w:t>
            </w:r>
            <w:r>
              <w:rPr>
                <w:sz w:val="22"/>
                <w:szCs w:val="22"/>
              </w:rPr>
              <w:t>ai</w:t>
            </w:r>
            <w:r w:rsidRPr="00435785">
              <w:rPr>
                <w:sz w:val="22"/>
                <w:szCs w:val="22"/>
              </w:rPr>
              <w:t>: gamintojo atitikties deklaracijos kopiją ar kit</w:t>
            </w:r>
            <w:r>
              <w:rPr>
                <w:sz w:val="22"/>
                <w:szCs w:val="22"/>
              </w:rPr>
              <w:t>i</w:t>
            </w:r>
            <w:r w:rsidRPr="00435785">
              <w:rPr>
                <w:sz w:val="22"/>
                <w:szCs w:val="22"/>
              </w:rPr>
              <w:t xml:space="preserve"> lygiaverči</w:t>
            </w:r>
            <w:r>
              <w:rPr>
                <w:sz w:val="22"/>
                <w:szCs w:val="22"/>
              </w:rPr>
              <w:t>ai</w:t>
            </w:r>
            <w:r w:rsidRPr="00435785">
              <w:rPr>
                <w:sz w:val="22"/>
                <w:szCs w:val="22"/>
              </w:rPr>
              <w:t xml:space="preserve"> dokument</w:t>
            </w:r>
            <w:r>
              <w:rPr>
                <w:sz w:val="22"/>
                <w:szCs w:val="22"/>
              </w:rPr>
              <w:t>ai</w:t>
            </w:r>
            <w:r w:rsidRPr="00435785">
              <w:rPr>
                <w:sz w:val="22"/>
                <w:szCs w:val="22"/>
              </w:rPr>
              <w:t>.</w:t>
            </w:r>
          </w:p>
          <w:p w14:paraId="5172C02B" w14:textId="77777777" w:rsidR="00D374B2" w:rsidRDefault="00D374B2" w:rsidP="007E1989">
            <w:pPr>
              <w:jc w:val="both"/>
              <w:rPr>
                <w:b/>
                <w:bCs/>
                <w:sz w:val="22"/>
                <w:szCs w:val="22"/>
              </w:rPr>
            </w:pPr>
          </w:p>
          <w:p w14:paraId="3A4301DF" w14:textId="77777777" w:rsidR="00D374B2" w:rsidRDefault="00D374B2" w:rsidP="007E1989">
            <w:pPr>
              <w:jc w:val="both"/>
              <w:rPr>
                <w:b/>
                <w:bCs/>
                <w:sz w:val="22"/>
                <w:szCs w:val="22"/>
              </w:rPr>
            </w:pPr>
          </w:p>
          <w:p w14:paraId="37AB9018" w14:textId="77777777" w:rsidR="00D374B2" w:rsidRDefault="00D374B2" w:rsidP="007E1989">
            <w:pPr>
              <w:jc w:val="both"/>
              <w:rPr>
                <w:b/>
                <w:bCs/>
                <w:sz w:val="22"/>
                <w:szCs w:val="22"/>
              </w:rPr>
            </w:pPr>
          </w:p>
          <w:p w14:paraId="4BC3B884" w14:textId="77777777" w:rsidR="00D374B2" w:rsidRDefault="00D374B2" w:rsidP="007E1989">
            <w:pPr>
              <w:jc w:val="both"/>
              <w:rPr>
                <w:b/>
                <w:bCs/>
                <w:sz w:val="22"/>
                <w:szCs w:val="22"/>
              </w:rPr>
            </w:pPr>
          </w:p>
          <w:p w14:paraId="2E8A8AF4" w14:textId="77777777" w:rsidR="00D374B2" w:rsidRDefault="00D374B2" w:rsidP="007E1989">
            <w:pPr>
              <w:jc w:val="both"/>
              <w:rPr>
                <w:b/>
                <w:bCs/>
                <w:sz w:val="22"/>
                <w:szCs w:val="22"/>
              </w:rPr>
            </w:pPr>
          </w:p>
          <w:p w14:paraId="140174CE" w14:textId="77777777" w:rsidR="00D374B2" w:rsidRDefault="00D374B2" w:rsidP="007E1989">
            <w:pPr>
              <w:jc w:val="both"/>
              <w:rPr>
                <w:b/>
                <w:bCs/>
                <w:sz w:val="22"/>
                <w:szCs w:val="22"/>
              </w:rPr>
            </w:pPr>
          </w:p>
          <w:p w14:paraId="16EAC53A" w14:textId="77777777" w:rsidR="00D374B2" w:rsidRDefault="00D374B2" w:rsidP="007E1989">
            <w:pPr>
              <w:jc w:val="both"/>
              <w:rPr>
                <w:b/>
                <w:bCs/>
                <w:sz w:val="22"/>
                <w:szCs w:val="22"/>
              </w:rPr>
            </w:pPr>
          </w:p>
          <w:p w14:paraId="479CF300" w14:textId="77777777" w:rsidR="00D374B2" w:rsidRDefault="00D374B2" w:rsidP="007E1989">
            <w:pPr>
              <w:jc w:val="both"/>
              <w:rPr>
                <w:b/>
                <w:bCs/>
                <w:sz w:val="22"/>
                <w:szCs w:val="22"/>
              </w:rPr>
            </w:pPr>
          </w:p>
          <w:p w14:paraId="6B2311ED" w14:textId="77777777" w:rsidR="00D374B2" w:rsidRPr="00435785" w:rsidRDefault="00D374B2" w:rsidP="007E1989">
            <w:pPr>
              <w:jc w:val="both"/>
              <w:rPr>
                <w:sz w:val="22"/>
                <w:szCs w:val="22"/>
              </w:rPr>
            </w:pPr>
          </w:p>
        </w:tc>
      </w:tr>
      <w:tr w:rsidR="00D374B2" w:rsidRPr="00435785" w14:paraId="3EB8D094" w14:textId="77777777" w:rsidTr="00D374B2">
        <w:trPr>
          <w:trHeight w:val="1759"/>
        </w:trPr>
        <w:tc>
          <w:tcPr>
            <w:tcW w:w="540" w:type="dxa"/>
          </w:tcPr>
          <w:p w14:paraId="32F17925" w14:textId="77777777" w:rsidR="00D374B2" w:rsidRPr="001C3594" w:rsidRDefault="00D374B2" w:rsidP="00D374B2">
            <w:pPr>
              <w:pStyle w:val="ListParagraph"/>
              <w:numPr>
                <w:ilvl w:val="0"/>
                <w:numId w:val="4"/>
              </w:numPr>
              <w:rPr>
                <w:b/>
                <w:bCs/>
                <w:sz w:val="22"/>
                <w:szCs w:val="22"/>
                <w:lang w:val="en-US"/>
              </w:rPr>
            </w:pPr>
          </w:p>
        </w:tc>
        <w:tc>
          <w:tcPr>
            <w:tcW w:w="6743" w:type="dxa"/>
          </w:tcPr>
          <w:p w14:paraId="74C1423A" w14:textId="79D63127" w:rsidR="00D374B2" w:rsidRPr="00521D25" w:rsidRDefault="00D374B2" w:rsidP="007E1989">
            <w:pPr>
              <w:pStyle w:val="Default"/>
              <w:jc w:val="both"/>
              <w:rPr>
                <w:rFonts w:ascii="Times New Roman" w:hAnsi="Times New Roman"/>
                <w:color w:val="auto"/>
                <w:sz w:val="22"/>
                <w:lang w:val="en-US"/>
              </w:rPr>
            </w:pPr>
            <w:r w:rsidRPr="00EE5C5A">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w:t>
            </w:r>
            <w:r>
              <w:rPr>
                <w:rFonts w:ascii="Times New Roman" w:hAnsi="Times New Roman" w:cs="Times New Roman"/>
                <w:color w:val="auto"/>
                <w:sz w:val="22"/>
                <w:szCs w:val="22"/>
              </w:rPr>
              <w:t xml:space="preserve">4. </w:t>
            </w:r>
            <w:r w:rsidRPr="00EE5C5A">
              <w:rPr>
                <w:rFonts w:ascii="Times New Roman" w:hAnsi="Times New Roman" w:cs="Times New Roman"/>
                <w:color w:val="auto"/>
                <w:sz w:val="22"/>
                <w:szCs w:val="22"/>
              </w:rPr>
              <w:t>„</w:t>
            </w:r>
            <w:r w:rsidRPr="008745F5">
              <w:rPr>
                <w:rFonts w:ascii="Times New Roman" w:hAnsi="Times New Roman" w:cs="Times New Roman"/>
                <w:sz w:val="22"/>
                <w:szCs w:val="22"/>
              </w:rPr>
              <w:t>prekė yra tvirta, ilgaamžė, funkcionali, ji ar jos sudedamosios dalys tinka naudoti daug kartų ir (ar) lengvai pataisomos, ir (ar) pakeičiamos</w:t>
            </w:r>
            <w:r w:rsidRPr="00E55CA3">
              <w:rPr>
                <w:rFonts w:ascii="Times New Roman" w:hAnsi="Times New Roman" w:cs="Times New Roman"/>
                <w:sz w:val="22"/>
                <w:szCs w:val="22"/>
              </w:rPr>
              <w:t>“. Siūlomai įrangai</w:t>
            </w:r>
            <w:r w:rsidR="00E55CA3">
              <w:rPr>
                <w:rFonts w:ascii="Times New Roman" w:hAnsi="Times New Roman" w:cs="Times New Roman"/>
                <w:sz w:val="22"/>
                <w:szCs w:val="22"/>
              </w:rPr>
              <w:t xml:space="preserve"> (serveriams)</w:t>
            </w:r>
            <w:r>
              <w:rPr>
                <w:rFonts w:ascii="Times New Roman" w:hAnsi="Times New Roman" w:cs="Times New Roman"/>
                <w:sz w:val="22"/>
                <w:szCs w:val="22"/>
              </w:rPr>
              <w:t xml:space="preserve"> turi būti suteikiamas ne</w:t>
            </w:r>
            <w:r w:rsidRPr="008745F5">
              <w:rPr>
                <w:rFonts w:ascii="Times New Roman" w:hAnsi="Times New Roman" w:cs="Times New Roman"/>
                <w:sz w:val="22"/>
                <w:szCs w:val="22"/>
              </w:rPr>
              <w:t xml:space="preserve"> trumpesn</w:t>
            </w:r>
            <w:r>
              <w:rPr>
                <w:rFonts w:ascii="Times New Roman" w:hAnsi="Times New Roman" w:cs="Times New Roman"/>
                <w:sz w:val="22"/>
                <w:szCs w:val="22"/>
              </w:rPr>
              <w:t>is</w:t>
            </w:r>
            <w:r w:rsidRPr="008745F5">
              <w:rPr>
                <w:rFonts w:ascii="Times New Roman" w:hAnsi="Times New Roman" w:cs="Times New Roman"/>
                <w:sz w:val="22"/>
                <w:szCs w:val="22"/>
              </w:rPr>
              <w:t xml:space="preserve"> kaip 5 (penkerių) metų garantinis terminas</w:t>
            </w:r>
            <w:r w:rsidRPr="006F4445">
              <w:rPr>
                <w:rFonts w:ascii="Times New Roman" w:hAnsi="Times New Roman" w:cs="Times New Roman"/>
                <w:sz w:val="22"/>
                <w:szCs w:val="22"/>
              </w:rPr>
              <w:t>.</w:t>
            </w:r>
          </w:p>
        </w:tc>
        <w:tc>
          <w:tcPr>
            <w:tcW w:w="6184" w:type="dxa"/>
          </w:tcPr>
          <w:p w14:paraId="35169758" w14:textId="0E05B460" w:rsidR="00D374B2" w:rsidRPr="00435785" w:rsidRDefault="00D374B2" w:rsidP="007E1989">
            <w:pPr>
              <w:jc w:val="both"/>
              <w:rPr>
                <w:sz w:val="22"/>
                <w:szCs w:val="22"/>
              </w:rPr>
            </w:pPr>
            <w:r w:rsidRPr="0035057B">
              <w:rPr>
                <w:b/>
                <w:bCs/>
                <w:sz w:val="22"/>
                <w:szCs w:val="22"/>
              </w:rPr>
              <w:t>Kartu su pasiūlymu</w:t>
            </w:r>
            <w:r>
              <w:rPr>
                <w:sz w:val="22"/>
                <w:szCs w:val="22"/>
              </w:rPr>
              <w:t xml:space="preserve"> pateikiami</w:t>
            </w:r>
            <w:r>
              <w:t xml:space="preserve"> </w:t>
            </w:r>
            <w:r w:rsidRPr="00E55CA3">
              <w:rPr>
                <w:sz w:val="22"/>
                <w:szCs w:val="22"/>
              </w:rPr>
              <w:t>gamintojo</w:t>
            </w:r>
            <w:r w:rsidRPr="004625ED">
              <w:rPr>
                <w:sz w:val="22"/>
                <w:szCs w:val="22"/>
              </w:rPr>
              <w:t xml:space="preserve"> </w:t>
            </w:r>
            <w:r>
              <w:rPr>
                <w:sz w:val="22"/>
                <w:szCs w:val="22"/>
              </w:rPr>
              <w:t xml:space="preserve">suteikiamos </w:t>
            </w:r>
            <w:r w:rsidRPr="004625ED">
              <w:rPr>
                <w:sz w:val="22"/>
                <w:szCs w:val="22"/>
              </w:rPr>
              <w:t>garantijos dokument</w:t>
            </w:r>
            <w:r>
              <w:rPr>
                <w:sz w:val="22"/>
                <w:szCs w:val="22"/>
              </w:rPr>
              <w:t>as</w:t>
            </w:r>
            <w:r w:rsidRPr="004625ED">
              <w:rPr>
                <w:sz w:val="22"/>
                <w:szCs w:val="22"/>
              </w:rPr>
              <w:t>, patvirtinant</w:t>
            </w:r>
            <w:r>
              <w:rPr>
                <w:sz w:val="22"/>
                <w:szCs w:val="22"/>
              </w:rPr>
              <w:t>is</w:t>
            </w:r>
            <w:r w:rsidRPr="004625ED">
              <w:rPr>
                <w:sz w:val="22"/>
                <w:szCs w:val="22"/>
              </w:rPr>
              <w:t>, jog siūlomai prekei suteikiama ne trumpesnė nei 5 metų</w:t>
            </w:r>
            <w:r>
              <w:rPr>
                <w:sz w:val="22"/>
                <w:szCs w:val="22"/>
              </w:rPr>
              <w:t xml:space="preserve"> (nebent prie reikalavimo nurodyta kitaip)</w:t>
            </w:r>
            <w:r w:rsidRPr="004625ED">
              <w:rPr>
                <w:sz w:val="22"/>
                <w:szCs w:val="22"/>
              </w:rPr>
              <w:t xml:space="preserve"> garantija</w:t>
            </w:r>
            <w:r>
              <w:rPr>
                <w:sz w:val="22"/>
                <w:szCs w:val="22"/>
              </w:rPr>
              <w:t xml:space="preserve"> ir (ar) t</w:t>
            </w:r>
            <w:r w:rsidRPr="004625ED">
              <w:rPr>
                <w:sz w:val="22"/>
                <w:szCs w:val="22"/>
              </w:rPr>
              <w:t>echnin</w:t>
            </w:r>
            <w:r>
              <w:rPr>
                <w:sz w:val="22"/>
                <w:szCs w:val="22"/>
              </w:rPr>
              <w:t>ė</w:t>
            </w:r>
            <w:r w:rsidRPr="004625ED">
              <w:rPr>
                <w:sz w:val="22"/>
                <w:szCs w:val="22"/>
              </w:rPr>
              <w:t xml:space="preserve"> dokumentacij</w:t>
            </w:r>
            <w:r>
              <w:rPr>
                <w:sz w:val="22"/>
                <w:szCs w:val="22"/>
              </w:rPr>
              <w:t>a</w:t>
            </w:r>
            <w:r w:rsidRPr="004625ED">
              <w:rPr>
                <w:sz w:val="22"/>
                <w:szCs w:val="22"/>
              </w:rPr>
              <w:t xml:space="preserve"> (pvz., produkto specifikacij</w:t>
            </w:r>
            <w:r>
              <w:rPr>
                <w:sz w:val="22"/>
                <w:szCs w:val="22"/>
              </w:rPr>
              <w:t>o</w:t>
            </w:r>
            <w:r w:rsidRPr="004625ED">
              <w:rPr>
                <w:sz w:val="22"/>
                <w:szCs w:val="22"/>
              </w:rPr>
              <w:t>s, brošiūr</w:t>
            </w:r>
            <w:r>
              <w:rPr>
                <w:sz w:val="22"/>
                <w:szCs w:val="22"/>
              </w:rPr>
              <w:t>o</w:t>
            </w:r>
            <w:r w:rsidRPr="004625ED">
              <w:rPr>
                <w:sz w:val="22"/>
                <w:szCs w:val="22"/>
              </w:rPr>
              <w:t xml:space="preserve">s), kuriose nurodyta </w:t>
            </w:r>
            <w:r>
              <w:rPr>
                <w:sz w:val="22"/>
                <w:szCs w:val="22"/>
              </w:rPr>
              <w:t xml:space="preserve">prekės </w:t>
            </w:r>
            <w:r w:rsidRPr="004625ED">
              <w:rPr>
                <w:sz w:val="22"/>
                <w:szCs w:val="22"/>
              </w:rPr>
              <w:t>garantijos trukmė</w:t>
            </w:r>
            <w:r>
              <w:rPr>
                <w:sz w:val="22"/>
                <w:szCs w:val="22"/>
              </w:rPr>
              <w:t xml:space="preserve"> ir (ar) kiti lygiaverčiai įrodymai.</w:t>
            </w:r>
          </w:p>
        </w:tc>
      </w:tr>
      <w:tr w:rsidR="00D374B2" w:rsidRPr="00435785" w14:paraId="6E673BE6" w14:textId="77777777" w:rsidTr="00D374B2">
        <w:trPr>
          <w:trHeight w:val="1759"/>
        </w:trPr>
        <w:tc>
          <w:tcPr>
            <w:tcW w:w="540" w:type="dxa"/>
          </w:tcPr>
          <w:p w14:paraId="53268DCA" w14:textId="77777777" w:rsidR="00D374B2" w:rsidRPr="00521D25" w:rsidRDefault="00D374B2" w:rsidP="00D374B2">
            <w:pPr>
              <w:pStyle w:val="ListParagraph"/>
              <w:numPr>
                <w:ilvl w:val="0"/>
                <w:numId w:val="4"/>
              </w:numPr>
              <w:rPr>
                <w:b/>
                <w:sz w:val="22"/>
                <w:lang w:val="en-US"/>
              </w:rPr>
            </w:pPr>
          </w:p>
        </w:tc>
        <w:tc>
          <w:tcPr>
            <w:tcW w:w="6743" w:type="dxa"/>
          </w:tcPr>
          <w:p w14:paraId="091A57ED" w14:textId="77777777" w:rsidR="00D374B2" w:rsidRPr="00EE5C5A" w:rsidRDefault="00D374B2" w:rsidP="007E1989">
            <w:pPr>
              <w:pStyle w:val="Default"/>
              <w:jc w:val="both"/>
              <w:rPr>
                <w:rFonts w:ascii="Times New Roman" w:hAnsi="Times New Roman" w:cs="Times New Roman"/>
                <w:color w:val="auto"/>
                <w:sz w:val="22"/>
                <w:szCs w:val="22"/>
              </w:rPr>
            </w:pPr>
            <w:r w:rsidRPr="00A03688">
              <w:rPr>
                <w:rFonts w:ascii="Times New Roman" w:hAnsi="Times New Roman" w:cs="Times New Roman"/>
                <w:color w:val="auto"/>
                <w:sz w:val="22"/>
                <w:szCs w:val="22"/>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4.4.4.1 „prekei &lt;...&gt; tiekti sunaudojama mažiau gamtos išteklių ir (ar) sudėtyje yra pakartotinai panaudotų ir (ar) perdirbtų medžiagų“. </w:t>
            </w:r>
            <w:r>
              <w:rPr>
                <w:rFonts w:ascii="Times New Roman" w:hAnsi="Times New Roman" w:cs="Times New Roman"/>
                <w:color w:val="auto"/>
                <w:sz w:val="22"/>
                <w:szCs w:val="22"/>
              </w:rPr>
              <w:t>Sutarties vykdymo t</w:t>
            </w:r>
            <w:r w:rsidRPr="004625ED">
              <w:rPr>
                <w:rFonts w:ascii="Times New Roman" w:hAnsi="Times New Roman" w:cs="Times New Roman"/>
                <w:color w:val="auto"/>
                <w:sz w:val="22"/>
                <w:szCs w:val="22"/>
              </w:rPr>
              <w:t xml:space="preserve">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w:t>
            </w:r>
            <w:r w:rsidRPr="004625ED">
              <w:rPr>
                <w:rFonts w:ascii="Times New Roman" w:hAnsi="Times New Roman" w:cs="Times New Roman"/>
                <w:color w:val="auto"/>
                <w:sz w:val="22"/>
                <w:szCs w:val="22"/>
              </w:rPr>
              <w:lastRenderedPageBreak/>
              <w:t>kriterijus, patvirtintus Lietuvos Respublikos aplinkos ministro 2011 m. birželio 28 d. įsakymu Nr. D1-508</w:t>
            </w:r>
          </w:p>
        </w:tc>
        <w:tc>
          <w:tcPr>
            <w:tcW w:w="6184" w:type="dxa"/>
          </w:tcPr>
          <w:p w14:paraId="52ABD4E5" w14:textId="77777777" w:rsidR="00D374B2" w:rsidRDefault="00D374B2" w:rsidP="007E1989">
            <w:pPr>
              <w:jc w:val="both"/>
              <w:rPr>
                <w:sz w:val="22"/>
                <w:szCs w:val="22"/>
              </w:rPr>
            </w:pPr>
            <w:r w:rsidRPr="004625ED">
              <w:rPr>
                <w:sz w:val="22"/>
                <w:szCs w:val="22"/>
              </w:rPr>
              <w:lastRenderedPageBreak/>
              <w:t>Atitiktį įrodančių dokumentų pateikti nereikalaujama</w:t>
            </w:r>
            <w:r>
              <w:rPr>
                <w:sz w:val="22"/>
                <w:szCs w:val="22"/>
              </w:rPr>
              <w:t>.</w:t>
            </w:r>
          </w:p>
          <w:p w14:paraId="25133F11" w14:textId="77777777" w:rsidR="00D374B2" w:rsidRPr="00435785" w:rsidRDefault="00D374B2" w:rsidP="007E1989">
            <w:pPr>
              <w:jc w:val="both"/>
              <w:rPr>
                <w:sz w:val="22"/>
                <w:szCs w:val="22"/>
              </w:rPr>
            </w:pPr>
          </w:p>
        </w:tc>
      </w:tr>
    </w:tbl>
    <w:p w14:paraId="33A927B3" w14:textId="77777777" w:rsidR="00D374B2" w:rsidRDefault="00D374B2"/>
    <w:sectPr w:rsidR="00D374B2" w:rsidSect="006B159D">
      <w:pgSz w:w="16838" w:h="11906" w:orient="landscape"/>
      <w:pgMar w:top="1440" w:right="426" w:bottom="1440"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35E9" w14:textId="77777777" w:rsidR="00840C55" w:rsidRDefault="00840C55" w:rsidP="00B24A09">
      <w:pPr>
        <w:spacing w:after="0" w:line="240" w:lineRule="auto"/>
      </w:pPr>
      <w:r>
        <w:separator/>
      </w:r>
    </w:p>
  </w:endnote>
  <w:endnote w:type="continuationSeparator" w:id="0">
    <w:p w14:paraId="06DC3DFD" w14:textId="77777777" w:rsidR="00840C55" w:rsidRDefault="00840C55" w:rsidP="00B2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D43B" w14:textId="77777777" w:rsidR="00840C55" w:rsidRDefault="00840C55" w:rsidP="00B24A09">
      <w:pPr>
        <w:spacing w:after="0" w:line="240" w:lineRule="auto"/>
      </w:pPr>
      <w:r>
        <w:separator/>
      </w:r>
    </w:p>
  </w:footnote>
  <w:footnote w:type="continuationSeparator" w:id="0">
    <w:p w14:paraId="4A8ECEC0" w14:textId="77777777" w:rsidR="00840C55" w:rsidRDefault="00840C55" w:rsidP="00B24A09">
      <w:pPr>
        <w:spacing w:after="0" w:line="240" w:lineRule="auto"/>
      </w:pPr>
      <w:r>
        <w:continuationSeparator/>
      </w:r>
    </w:p>
  </w:footnote>
  <w:footnote w:id="1">
    <w:p w14:paraId="49BD91D0" w14:textId="77777777" w:rsidR="00B24A09" w:rsidRDefault="00B24A09" w:rsidP="00B24A09">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AD5"/>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440D81"/>
    <w:multiLevelType w:val="multilevel"/>
    <w:tmpl w:val="72441522"/>
    <w:lvl w:ilvl="0">
      <w:start w:val="2"/>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2" w15:restartNumberingAfterBreak="0">
    <w:nsid w:val="37771BF1"/>
    <w:multiLevelType w:val="hybridMultilevel"/>
    <w:tmpl w:val="AC70D502"/>
    <w:lvl w:ilvl="0" w:tplc="586A5CA2">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E89515E"/>
    <w:multiLevelType w:val="multilevel"/>
    <w:tmpl w:val="74D4559A"/>
    <w:lvl w:ilvl="0">
      <w:start w:val="1"/>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1215" w:hanging="360"/>
      </w:pPr>
      <w:rPr>
        <w:rFonts w:ascii="Times New Roman" w:eastAsia="Calibri" w:hAnsi="Times New Roman" w:cs="Times New Roman" w:hint="default"/>
        <w:sz w:val="24"/>
      </w:rPr>
    </w:lvl>
    <w:lvl w:ilvl="2">
      <w:start w:val="1"/>
      <w:numFmt w:val="decimal"/>
      <w:lvlText w:val="%1.%2.%3"/>
      <w:lvlJc w:val="left"/>
      <w:pPr>
        <w:ind w:left="2430" w:hanging="720"/>
      </w:pPr>
      <w:rPr>
        <w:rFonts w:ascii="Times New Roman" w:eastAsia="Calibri" w:hAnsi="Times New Roman" w:cs="Times New Roman" w:hint="default"/>
        <w:sz w:val="24"/>
      </w:rPr>
    </w:lvl>
    <w:lvl w:ilvl="3">
      <w:start w:val="1"/>
      <w:numFmt w:val="decimal"/>
      <w:lvlText w:val="%1.%2.%3.%4"/>
      <w:lvlJc w:val="left"/>
      <w:pPr>
        <w:ind w:left="3285" w:hanging="720"/>
      </w:pPr>
      <w:rPr>
        <w:rFonts w:ascii="Times New Roman" w:eastAsia="Calibri" w:hAnsi="Times New Roman" w:cs="Times New Roman" w:hint="default"/>
        <w:sz w:val="24"/>
      </w:rPr>
    </w:lvl>
    <w:lvl w:ilvl="4">
      <w:start w:val="1"/>
      <w:numFmt w:val="decimal"/>
      <w:lvlText w:val="%1.%2.%3.%4.%5"/>
      <w:lvlJc w:val="left"/>
      <w:pPr>
        <w:ind w:left="4500" w:hanging="1080"/>
      </w:pPr>
      <w:rPr>
        <w:rFonts w:ascii="Times New Roman" w:eastAsia="Calibri" w:hAnsi="Times New Roman" w:cs="Times New Roman" w:hint="default"/>
        <w:sz w:val="24"/>
      </w:rPr>
    </w:lvl>
    <w:lvl w:ilvl="5">
      <w:start w:val="1"/>
      <w:numFmt w:val="decimal"/>
      <w:lvlText w:val="%1.%2.%3.%4.%5.%6"/>
      <w:lvlJc w:val="left"/>
      <w:pPr>
        <w:ind w:left="5355" w:hanging="1080"/>
      </w:pPr>
      <w:rPr>
        <w:rFonts w:ascii="Times New Roman" w:eastAsia="Calibri" w:hAnsi="Times New Roman" w:cs="Times New Roman" w:hint="default"/>
        <w:sz w:val="24"/>
      </w:rPr>
    </w:lvl>
    <w:lvl w:ilvl="6">
      <w:start w:val="1"/>
      <w:numFmt w:val="decimal"/>
      <w:lvlText w:val="%1.%2.%3.%4.%5.%6.%7"/>
      <w:lvlJc w:val="left"/>
      <w:pPr>
        <w:ind w:left="6570" w:hanging="1440"/>
      </w:pPr>
      <w:rPr>
        <w:rFonts w:ascii="Times New Roman" w:eastAsia="Calibri" w:hAnsi="Times New Roman" w:cs="Times New Roman" w:hint="default"/>
        <w:sz w:val="24"/>
      </w:rPr>
    </w:lvl>
    <w:lvl w:ilvl="7">
      <w:start w:val="1"/>
      <w:numFmt w:val="decimal"/>
      <w:lvlText w:val="%1.%2.%3.%4.%5.%6.%7.%8"/>
      <w:lvlJc w:val="left"/>
      <w:pPr>
        <w:ind w:left="7425" w:hanging="1440"/>
      </w:pPr>
      <w:rPr>
        <w:rFonts w:ascii="Times New Roman" w:eastAsia="Calibri" w:hAnsi="Times New Roman" w:cs="Times New Roman" w:hint="default"/>
        <w:sz w:val="24"/>
      </w:rPr>
    </w:lvl>
    <w:lvl w:ilvl="8">
      <w:start w:val="1"/>
      <w:numFmt w:val="decimal"/>
      <w:lvlText w:val="%1.%2.%3.%4.%5.%6.%7.%8.%9"/>
      <w:lvlJc w:val="left"/>
      <w:pPr>
        <w:ind w:left="8640" w:hanging="1800"/>
      </w:pPr>
      <w:rPr>
        <w:rFonts w:ascii="Times New Roman" w:eastAsia="Calibri" w:hAnsi="Times New Roman" w:cs="Times New Roman" w:hint="default"/>
        <w:sz w:val="24"/>
      </w:rPr>
    </w:lvl>
  </w:abstractNum>
  <w:abstractNum w:abstractNumId="4"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color w:val="000000"/>
      </w:rPr>
    </w:lvl>
    <w:lvl w:ilvl="4">
      <w:start w:val="1"/>
      <w:numFmt w:val="decimal"/>
      <w:isLgl/>
      <w:lvlText w:val="%1.%2.%3.%4.%5."/>
      <w:lvlJc w:val="left"/>
      <w:pPr>
        <w:ind w:left="1575" w:hanging="1080"/>
      </w:pPr>
      <w:rPr>
        <w:rFonts w:eastAsia="Calibri"/>
        <w:color w:val="000000"/>
      </w:rPr>
    </w:lvl>
    <w:lvl w:ilvl="5">
      <w:start w:val="1"/>
      <w:numFmt w:val="decimal"/>
      <w:isLgl/>
      <w:lvlText w:val="%1.%2.%3.%4.%5.%6."/>
      <w:lvlJc w:val="left"/>
      <w:pPr>
        <w:ind w:left="1575" w:hanging="1080"/>
      </w:pPr>
      <w:rPr>
        <w:rFonts w:eastAsia="Calibri"/>
        <w:color w:val="000000"/>
      </w:rPr>
    </w:lvl>
    <w:lvl w:ilvl="6">
      <w:start w:val="1"/>
      <w:numFmt w:val="decimal"/>
      <w:isLgl/>
      <w:lvlText w:val="%1.%2.%3.%4.%5.%6.%7."/>
      <w:lvlJc w:val="left"/>
      <w:pPr>
        <w:ind w:left="1935" w:hanging="1440"/>
      </w:pPr>
      <w:rPr>
        <w:rFonts w:eastAsia="Calibri"/>
        <w:color w:val="000000"/>
      </w:rPr>
    </w:lvl>
    <w:lvl w:ilvl="7">
      <w:start w:val="1"/>
      <w:numFmt w:val="decimal"/>
      <w:isLgl/>
      <w:lvlText w:val="%1.%2.%3.%4.%5.%6.%7.%8."/>
      <w:lvlJc w:val="left"/>
      <w:pPr>
        <w:ind w:left="1935" w:hanging="1440"/>
      </w:pPr>
      <w:rPr>
        <w:rFonts w:eastAsia="Calibri"/>
        <w:color w:val="000000"/>
      </w:rPr>
    </w:lvl>
    <w:lvl w:ilvl="8">
      <w:start w:val="1"/>
      <w:numFmt w:val="decimal"/>
      <w:isLgl/>
      <w:lvlText w:val="%1.%2.%3.%4.%5.%6.%7.%8.%9."/>
      <w:lvlJc w:val="left"/>
      <w:pPr>
        <w:ind w:left="2295" w:hanging="1800"/>
      </w:pPr>
      <w:rPr>
        <w:rFonts w:eastAsia="Calibri"/>
        <w:color w:val="00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9"/>
    <w:rsid w:val="0011629D"/>
    <w:rsid w:val="001C59E9"/>
    <w:rsid w:val="001E3AC5"/>
    <w:rsid w:val="0031280C"/>
    <w:rsid w:val="00320C6C"/>
    <w:rsid w:val="00327465"/>
    <w:rsid w:val="0035057B"/>
    <w:rsid w:val="00466782"/>
    <w:rsid w:val="004D136B"/>
    <w:rsid w:val="00563147"/>
    <w:rsid w:val="0062552F"/>
    <w:rsid w:val="006B159D"/>
    <w:rsid w:val="006F31D7"/>
    <w:rsid w:val="00713DB8"/>
    <w:rsid w:val="00716C42"/>
    <w:rsid w:val="007D7191"/>
    <w:rsid w:val="008169EA"/>
    <w:rsid w:val="00840C55"/>
    <w:rsid w:val="00847E04"/>
    <w:rsid w:val="009323CE"/>
    <w:rsid w:val="00936DFE"/>
    <w:rsid w:val="00B24A09"/>
    <w:rsid w:val="00B2739B"/>
    <w:rsid w:val="00B313DC"/>
    <w:rsid w:val="00D3468B"/>
    <w:rsid w:val="00D374B2"/>
    <w:rsid w:val="00D42856"/>
    <w:rsid w:val="00D530B3"/>
    <w:rsid w:val="00DE07F8"/>
    <w:rsid w:val="00E55CA3"/>
    <w:rsid w:val="00EE1777"/>
    <w:rsid w:val="00EE5AFA"/>
    <w:rsid w:val="00F42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8A0F"/>
  <w15:chartTrackingRefBased/>
  <w15:docId w15:val="{3090E9E0-E4F9-45AE-AB89-08368D72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09"/>
    <w:rPr>
      <w:rFonts w:eastAsiaTheme="majorEastAsia" w:cstheme="majorBidi"/>
      <w:color w:val="272727" w:themeColor="text1" w:themeTint="D8"/>
    </w:rPr>
  </w:style>
  <w:style w:type="paragraph" w:styleId="Title">
    <w:name w:val="Title"/>
    <w:basedOn w:val="Normal"/>
    <w:next w:val="Normal"/>
    <w:link w:val="TitleChar"/>
    <w:uiPriority w:val="10"/>
    <w:qFormat/>
    <w:rsid w:val="00B2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09"/>
    <w:pPr>
      <w:spacing w:before="160"/>
      <w:jc w:val="center"/>
    </w:pPr>
    <w:rPr>
      <w:i/>
      <w:iCs/>
      <w:color w:val="404040" w:themeColor="text1" w:themeTint="BF"/>
    </w:rPr>
  </w:style>
  <w:style w:type="character" w:customStyle="1" w:styleId="QuoteChar">
    <w:name w:val="Quote Char"/>
    <w:basedOn w:val="DefaultParagraphFont"/>
    <w:link w:val="Quote"/>
    <w:uiPriority w:val="29"/>
    <w:rsid w:val="00B24A09"/>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99"/>
    <w:qFormat/>
    <w:rsid w:val="00B24A09"/>
    <w:pPr>
      <w:ind w:left="720"/>
      <w:contextualSpacing/>
    </w:pPr>
  </w:style>
  <w:style w:type="character" w:styleId="IntenseEmphasis">
    <w:name w:val="Intense Emphasis"/>
    <w:basedOn w:val="DefaultParagraphFont"/>
    <w:uiPriority w:val="21"/>
    <w:qFormat/>
    <w:rsid w:val="00B24A09"/>
    <w:rPr>
      <w:i/>
      <w:iCs/>
      <w:color w:val="0F4761" w:themeColor="accent1" w:themeShade="BF"/>
    </w:rPr>
  </w:style>
  <w:style w:type="paragraph" w:styleId="IntenseQuote">
    <w:name w:val="Intense Quote"/>
    <w:basedOn w:val="Normal"/>
    <w:next w:val="Normal"/>
    <w:link w:val="IntenseQuoteChar"/>
    <w:uiPriority w:val="30"/>
    <w:qFormat/>
    <w:rsid w:val="00B24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09"/>
    <w:rPr>
      <w:i/>
      <w:iCs/>
      <w:color w:val="0F4761" w:themeColor="accent1" w:themeShade="BF"/>
    </w:rPr>
  </w:style>
  <w:style w:type="character" w:styleId="IntenseReference">
    <w:name w:val="Intense Reference"/>
    <w:basedOn w:val="DefaultParagraphFont"/>
    <w:uiPriority w:val="32"/>
    <w:qFormat/>
    <w:rsid w:val="00B24A09"/>
    <w:rPr>
      <w:b/>
      <w:bCs/>
      <w:smallCaps/>
      <w:color w:val="0F4761" w:themeColor="accent1" w:themeShade="BF"/>
      <w:spacing w:val="5"/>
    </w:rPr>
  </w:style>
  <w:style w:type="paragraph" w:styleId="FootnoteText">
    <w:name w:val="footnote text"/>
    <w:basedOn w:val="Normal"/>
    <w:link w:val="FootnoteTextChar"/>
    <w:uiPriority w:val="99"/>
    <w:semiHidden/>
    <w:unhideWhenUsed/>
    <w:rsid w:val="00B24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09"/>
    <w:rPr>
      <w:sz w:val="20"/>
      <w:szCs w:val="20"/>
    </w:rPr>
  </w:style>
  <w:style w:type="character" w:styleId="FootnoteReference">
    <w:name w:val="footnote reference"/>
    <w:uiPriority w:val="99"/>
    <w:semiHidden/>
    <w:unhideWhenUsed/>
    <w:rsid w:val="00B24A09"/>
    <w:rPr>
      <w:vertAlign w:val="superscript"/>
    </w:rPr>
  </w:style>
  <w:style w:type="character" w:styleId="CommentReference">
    <w:name w:val="annotation reference"/>
    <w:basedOn w:val="DefaultParagraphFont"/>
    <w:uiPriority w:val="99"/>
    <w:semiHidden/>
    <w:unhideWhenUsed/>
    <w:rsid w:val="00936DFE"/>
    <w:rPr>
      <w:sz w:val="16"/>
      <w:szCs w:val="16"/>
    </w:rPr>
  </w:style>
  <w:style w:type="paragraph" w:styleId="CommentText">
    <w:name w:val="annotation text"/>
    <w:basedOn w:val="Normal"/>
    <w:link w:val="CommentTextChar"/>
    <w:uiPriority w:val="99"/>
    <w:unhideWhenUsed/>
    <w:rsid w:val="00936DFE"/>
    <w:pPr>
      <w:spacing w:line="240" w:lineRule="auto"/>
    </w:pPr>
    <w:rPr>
      <w:sz w:val="20"/>
      <w:szCs w:val="20"/>
    </w:rPr>
  </w:style>
  <w:style w:type="character" w:customStyle="1" w:styleId="CommentTextChar">
    <w:name w:val="Comment Text Char"/>
    <w:basedOn w:val="DefaultParagraphFont"/>
    <w:link w:val="CommentText"/>
    <w:uiPriority w:val="99"/>
    <w:rsid w:val="00936DFE"/>
    <w:rPr>
      <w:sz w:val="20"/>
      <w:szCs w:val="20"/>
    </w:rPr>
  </w:style>
  <w:style w:type="paragraph" w:styleId="CommentSubject">
    <w:name w:val="annotation subject"/>
    <w:basedOn w:val="CommentText"/>
    <w:next w:val="CommentText"/>
    <w:link w:val="CommentSubjectChar"/>
    <w:uiPriority w:val="99"/>
    <w:semiHidden/>
    <w:unhideWhenUsed/>
    <w:rsid w:val="00936DFE"/>
    <w:rPr>
      <w:b/>
      <w:bCs/>
    </w:rPr>
  </w:style>
  <w:style w:type="character" w:customStyle="1" w:styleId="CommentSubjectChar">
    <w:name w:val="Comment Subject Char"/>
    <w:basedOn w:val="CommentTextChar"/>
    <w:link w:val="CommentSubject"/>
    <w:uiPriority w:val="99"/>
    <w:semiHidden/>
    <w:rsid w:val="00936DFE"/>
    <w:rPr>
      <w:b/>
      <w:bCs/>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99"/>
    <w:qFormat/>
    <w:locked/>
    <w:rsid w:val="00D374B2"/>
  </w:style>
  <w:style w:type="table" w:styleId="TableGrid">
    <w:name w:val="Table Grid"/>
    <w:basedOn w:val="TableNormal"/>
    <w:uiPriority w:val="39"/>
    <w:rsid w:val="00D374B2"/>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4B2"/>
    <w:pPr>
      <w:spacing w:after="0" w:line="240" w:lineRule="auto"/>
    </w:pPr>
    <w:rPr>
      <w:rFonts w:ascii="Arial" w:eastAsia="SimSun" w:hAnsi="Arial" w:cs="Arial"/>
      <w:color w:val="000000"/>
      <w:kern w:val="0"/>
      <w14:ligatures w14:val="none"/>
    </w:rPr>
  </w:style>
  <w:style w:type="paragraph" w:styleId="Revision">
    <w:name w:val="Revision"/>
    <w:hidden/>
    <w:uiPriority w:val="99"/>
    <w:semiHidden/>
    <w:rsid w:val="001E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12119</Words>
  <Characters>6908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Ingrida Vigelė</cp:lastModifiedBy>
  <cp:revision>8</cp:revision>
  <dcterms:created xsi:type="dcterms:W3CDTF">2026-04-30T10:19:00Z</dcterms:created>
  <dcterms:modified xsi:type="dcterms:W3CDTF">2026-05-04T08:18:00Z</dcterms:modified>
</cp:coreProperties>
</file>