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E854" w14:textId="6275378C" w:rsidR="00FE6853" w:rsidRPr="00FE6853" w:rsidRDefault="00FE6853" w:rsidP="00FE6853">
      <w:pPr>
        <w:jc w:val="center"/>
        <w:rPr>
          <w:color w:val="000000"/>
          <w:szCs w:val="24"/>
        </w:rPr>
      </w:pPr>
      <w:r>
        <w:rPr>
          <w:b/>
          <w:bCs/>
          <w:color w:val="000000"/>
          <w:szCs w:val="24"/>
        </w:rPr>
        <w:tab/>
      </w:r>
      <w:r>
        <w:rPr>
          <w:b/>
          <w:bCs/>
          <w:color w:val="000000"/>
          <w:szCs w:val="24"/>
        </w:rPr>
        <w:tab/>
      </w:r>
      <w:r>
        <w:rPr>
          <w:b/>
          <w:bCs/>
          <w:color w:val="000000"/>
          <w:szCs w:val="24"/>
        </w:rPr>
        <w:tab/>
      </w:r>
      <w:r>
        <w:rPr>
          <w:b/>
          <w:bCs/>
          <w:color w:val="000000"/>
          <w:szCs w:val="24"/>
        </w:rPr>
        <w:tab/>
      </w:r>
      <w:r w:rsidR="0001247D">
        <w:rPr>
          <w:b/>
          <w:bCs/>
          <w:color w:val="000000"/>
          <w:szCs w:val="24"/>
        </w:rPr>
        <w:tab/>
      </w:r>
      <w:r w:rsidR="0001247D">
        <w:rPr>
          <w:b/>
          <w:bCs/>
          <w:color w:val="000000"/>
          <w:szCs w:val="24"/>
        </w:rPr>
        <w:tab/>
      </w:r>
      <w:r w:rsidRPr="00FE6853">
        <w:rPr>
          <w:color w:val="000000"/>
          <w:szCs w:val="24"/>
        </w:rPr>
        <w:t>Projektas</w:t>
      </w:r>
    </w:p>
    <w:p w14:paraId="2D5EF4A1" w14:textId="77777777" w:rsidR="00FE6853" w:rsidRDefault="00FE6853" w:rsidP="00FE6853">
      <w:pPr>
        <w:jc w:val="center"/>
        <w:rPr>
          <w:b/>
          <w:bCs/>
          <w:color w:val="000000"/>
          <w:szCs w:val="24"/>
        </w:rPr>
      </w:pPr>
    </w:p>
    <w:p w14:paraId="0549E0DA" w14:textId="4794AA88" w:rsidR="00FE6853" w:rsidRPr="00937826" w:rsidRDefault="00FE6853" w:rsidP="00FE6853">
      <w:pPr>
        <w:jc w:val="center"/>
        <w:rPr>
          <w:b/>
          <w:bCs/>
          <w:color w:val="000000"/>
          <w:szCs w:val="24"/>
        </w:rPr>
      </w:pPr>
      <w:r w:rsidRPr="00937826">
        <w:rPr>
          <w:b/>
          <w:bCs/>
          <w:color w:val="000000"/>
          <w:szCs w:val="24"/>
        </w:rPr>
        <w:t>TIEKĖJŲ KVALIFIKACIJOS REIKALAVIMAI</w:t>
      </w:r>
    </w:p>
    <w:p w14:paraId="7E43B1EE" w14:textId="77777777" w:rsidR="00FE6853" w:rsidRPr="00937826" w:rsidRDefault="00FE6853" w:rsidP="00FE6853">
      <w:pPr>
        <w:rPr>
          <w:b/>
          <w:bCs/>
          <w:color w:val="000000"/>
          <w:szCs w:val="24"/>
        </w:rPr>
      </w:pPr>
    </w:p>
    <w:tbl>
      <w:tblPr>
        <w:tblW w:w="5000" w:type="pct"/>
        <w:tblLayout w:type="fixed"/>
        <w:tblLook w:val="0000" w:firstRow="0" w:lastRow="0" w:firstColumn="0" w:lastColumn="0" w:noHBand="0" w:noVBand="0"/>
      </w:tblPr>
      <w:tblGrid>
        <w:gridCol w:w="571"/>
        <w:gridCol w:w="3019"/>
        <w:gridCol w:w="3019"/>
        <w:gridCol w:w="3019"/>
      </w:tblGrid>
      <w:tr w:rsidR="008873BA" w:rsidRPr="00937826" w14:paraId="33195C25" w14:textId="1D17F21E" w:rsidTr="00A51626">
        <w:tc>
          <w:tcPr>
            <w:tcW w:w="296" w:type="pct"/>
            <w:tcBorders>
              <w:top w:val="single" w:sz="4" w:space="0" w:color="000000" w:themeColor="text1"/>
              <w:left w:val="single" w:sz="4" w:space="0" w:color="000000" w:themeColor="text1"/>
              <w:bottom w:val="single" w:sz="4" w:space="0" w:color="000000" w:themeColor="text1"/>
            </w:tcBorders>
          </w:tcPr>
          <w:p w14:paraId="060DF425" w14:textId="77777777" w:rsidR="008873BA" w:rsidRPr="00937826" w:rsidRDefault="008873BA" w:rsidP="00E51BBF">
            <w:pPr>
              <w:jc w:val="center"/>
              <w:rPr>
                <w:b/>
                <w:color w:val="000000"/>
                <w:szCs w:val="24"/>
              </w:rPr>
            </w:pPr>
            <w:r w:rsidRPr="00937826">
              <w:rPr>
                <w:b/>
                <w:color w:val="000000"/>
                <w:szCs w:val="24"/>
              </w:rPr>
              <w:t>Eil.</w:t>
            </w:r>
          </w:p>
          <w:p w14:paraId="605BEC82" w14:textId="77777777" w:rsidR="008873BA" w:rsidRPr="00937826" w:rsidRDefault="008873BA" w:rsidP="00E51BBF">
            <w:pPr>
              <w:jc w:val="center"/>
              <w:rPr>
                <w:b/>
                <w:color w:val="000000"/>
                <w:szCs w:val="24"/>
              </w:rPr>
            </w:pPr>
            <w:r w:rsidRPr="00937826">
              <w:rPr>
                <w:b/>
                <w:color w:val="000000"/>
                <w:szCs w:val="24"/>
              </w:rPr>
              <w:t>Nr.</w:t>
            </w:r>
          </w:p>
        </w:tc>
        <w:tc>
          <w:tcPr>
            <w:tcW w:w="1568" w:type="pct"/>
            <w:tcBorders>
              <w:top w:val="single" w:sz="4" w:space="0" w:color="000000" w:themeColor="text1"/>
              <w:left w:val="single" w:sz="4" w:space="0" w:color="000000" w:themeColor="text1"/>
              <w:bottom w:val="single" w:sz="4" w:space="0" w:color="000000" w:themeColor="text1"/>
            </w:tcBorders>
          </w:tcPr>
          <w:p w14:paraId="418D127D" w14:textId="77777777" w:rsidR="008873BA" w:rsidRPr="00937826" w:rsidRDefault="008873BA" w:rsidP="00E51BBF">
            <w:pPr>
              <w:jc w:val="center"/>
              <w:rPr>
                <w:b/>
                <w:color w:val="000000"/>
                <w:szCs w:val="24"/>
              </w:rPr>
            </w:pPr>
            <w:r w:rsidRPr="00937826">
              <w:rPr>
                <w:b/>
                <w:color w:val="000000"/>
                <w:szCs w:val="24"/>
              </w:rPr>
              <w:t>Kvalifikacijos reikalavimai</w:t>
            </w: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B2864" w14:textId="00D9CF9A" w:rsidR="008873BA" w:rsidRPr="00937826" w:rsidRDefault="008873BA" w:rsidP="00E51BBF">
            <w:pPr>
              <w:jc w:val="center"/>
              <w:rPr>
                <w:b/>
                <w:color w:val="000000"/>
                <w:szCs w:val="24"/>
              </w:rPr>
            </w:pPr>
            <w:r>
              <w:rPr>
                <w:b/>
                <w:color w:val="000000"/>
                <w:szCs w:val="24"/>
              </w:rPr>
              <w:t xml:space="preserve">Atitiktį įrodantys įrodantys </w:t>
            </w:r>
            <w:r w:rsidRPr="00937826">
              <w:rPr>
                <w:b/>
                <w:color w:val="000000"/>
                <w:szCs w:val="24"/>
              </w:rPr>
              <w:t>dokumentai</w:t>
            </w: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03B18" w14:textId="5B2F8CF2" w:rsidR="008873BA" w:rsidRPr="008873BA" w:rsidRDefault="008873BA" w:rsidP="00E51BBF">
            <w:pPr>
              <w:jc w:val="center"/>
              <w:rPr>
                <w:b/>
                <w:color w:val="000000"/>
                <w:szCs w:val="24"/>
              </w:rPr>
            </w:pPr>
            <w:r w:rsidRPr="008873BA">
              <w:rPr>
                <w:b/>
                <w:bCs/>
                <w:noProof/>
                <w:szCs w:val="24"/>
              </w:rPr>
              <w:t>Subjektas, kuris turi atitikti reikalavimą</w:t>
            </w:r>
            <w:r w:rsidRPr="008873BA">
              <w:rPr>
                <w:noProof/>
                <w:szCs w:val="24"/>
              </w:rPr>
              <w:t> </w:t>
            </w:r>
          </w:p>
        </w:tc>
      </w:tr>
      <w:tr w:rsidR="008873BA" w:rsidRPr="00937826" w14:paraId="064BFBCE" w14:textId="15D7EB87" w:rsidTr="00A51626">
        <w:trPr>
          <w:trHeight w:val="1454"/>
        </w:trPr>
        <w:tc>
          <w:tcPr>
            <w:tcW w:w="296" w:type="pct"/>
            <w:tcBorders>
              <w:top w:val="single" w:sz="4" w:space="0" w:color="000000" w:themeColor="text1"/>
              <w:left w:val="single" w:sz="4" w:space="0" w:color="000000" w:themeColor="text1"/>
            </w:tcBorders>
          </w:tcPr>
          <w:p w14:paraId="0EAB1723" w14:textId="3AE94AE8" w:rsidR="008873BA" w:rsidRPr="00937826" w:rsidRDefault="008873BA" w:rsidP="00FC37EC">
            <w:pPr>
              <w:jc w:val="center"/>
              <w:rPr>
                <w:color w:val="000000"/>
                <w:szCs w:val="24"/>
              </w:rPr>
            </w:pPr>
            <w:r w:rsidRPr="00937826">
              <w:rPr>
                <w:color w:val="000000"/>
                <w:szCs w:val="24"/>
              </w:rPr>
              <w:t>1.</w:t>
            </w:r>
          </w:p>
        </w:tc>
        <w:tc>
          <w:tcPr>
            <w:tcW w:w="1568" w:type="pct"/>
            <w:tcBorders>
              <w:top w:val="single" w:sz="4" w:space="0" w:color="000000" w:themeColor="text1"/>
              <w:left w:val="single" w:sz="4" w:space="0" w:color="000000" w:themeColor="text1"/>
              <w:bottom w:val="single" w:sz="4" w:space="0" w:color="auto"/>
            </w:tcBorders>
          </w:tcPr>
          <w:p w14:paraId="54A365D7" w14:textId="77777777" w:rsidR="008873BA" w:rsidRPr="00937826" w:rsidRDefault="008873BA" w:rsidP="00E51BBF">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szCs w:val="24"/>
              </w:rPr>
            </w:pPr>
            <w:r w:rsidRPr="00937826">
              <w:rPr>
                <w:szCs w:val="24"/>
              </w:rPr>
              <w:t>Tiekėjas turi teisę teikti Lietuvos Respublikoje dokumentų saugojimo paslaugas.</w:t>
            </w:r>
          </w:p>
          <w:p w14:paraId="1B86D7ED" w14:textId="77777777" w:rsidR="008873BA" w:rsidRPr="00937826" w:rsidRDefault="008873BA" w:rsidP="00E51BBF">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szCs w:val="24"/>
              </w:rPr>
            </w:pPr>
          </w:p>
          <w:p w14:paraId="1F166B61" w14:textId="77777777" w:rsidR="008873BA" w:rsidRPr="00937826" w:rsidRDefault="008873BA" w:rsidP="00E51BBF">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szCs w:val="24"/>
              </w:rPr>
            </w:pPr>
          </w:p>
          <w:p w14:paraId="3A221845" w14:textId="77777777" w:rsidR="008873BA" w:rsidRPr="00937826" w:rsidRDefault="008873BA" w:rsidP="00E51BBF">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szCs w:val="24"/>
              </w:rPr>
            </w:pPr>
          </w:p>
          <w:p w14:paraId="4909D31A" w14:textId="77777777" w:rsidR="008873BA" w:rsidRPr="00937826" w:rsidRDefault="008873BA" w:rsidP="00E51BBF">
            <w:pPr>
              <w:jc w:val="both"/>
              <w:rPr>
                <w:szCs w:val="24"/>
              </w:rPr>
            </w:pPr>
          </w:p>
          <w:p w14:paraId="18F46397" w14:textId="77777777" w:rsidR="008873BA" w:rsidRPr="00937826" w:rsidRDefault="008873BA" w:rsidP="00E51BBF">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spacing w:val="-4"/>
                <w:szCs w:val="24"/>
              </w:rPr>
            </w:pPr>
          </w:p>
        </w:tc>
        <w:tc>
          <w:tcPr>
            <w:tcW w:w="1568" w:type="pct"/>
            <w:tcBorders>
              <w:top w:val="single" w:sz="4" w:space="0" w:color="000000" w:themeColor="text1"/>
              <w:left w:val="single" w:sz="4" w:space="0" w:color="000000" w:themeColor="text1"/>
              <w:bottom w:val="single" w:sz="4" w:space="0" w:color="000000" w:themeColor="text1"/>
              <w:right w:val="single" w:sz="4" w:space="0" w:color="auto"/>
            </w:tcBorders>
          </w:tcPr>
          <w:p w14:paraId="729D54D8" w14:textId="22865E84" w:rsidR="008873BA" w:rsidRDefault="008873BA" w:rsidP="00E51BBF">
            <w:pPr>
              <w:jc w:val="both"/>
              <w:rPr>
                <w:szCs w:val="24"/>
              </w:rPr>
            </w:pPr>
            <w:r w:rsidRPr="00937826">
              <w:rPr>
                <w:bCs/>
                <w:szCs w:val="24"/>
              </w:rPr>
              <w:t xml:space="preserve">Perkančioji organizacija neprašo tiekėjo pateikti dokumentus, įrodančius tiekėjo atitiktį šiam kvalifikacijos reikalavimui, nes pati pasitikrins  informaciją </w:t>
            </w:r>
            <w:r w:rsidRPr="00937826">
              <w:rPr>
                <w:szCs w:val="24"/>
              </w:rPr>
              <w:t>Lietuvos Vyriausiojo archyvaro tarnybos Dokumentų saugojimo licencijų turėtojų sąraše:</w:t>
            </w:r>
          </w:p>
          <w:p w14:paraId="18CCDD21" w14:textId="3DBF3D61" w:rsidR="008873BA" w:rsidRPr="00937826" w:rsidRDefault="008873BA" w:rsidP="00A51626">
            <w:pPr>
              <w:jc w:val="both"/>
              <w:rPr>
                <w:i/>
                <w:iCs/>
                <w:szCs w:val="24"/>
              </w:rPr>
            </w:pPr>
            <w:r w:rsidRPr="00FE6853">
              <w:rPr>
                <w:i/>
                <w:iCs/>
                <w:szCs w:val="24"/>
              </w:rPr>
              <w:t>https://archyvai.lrv.lt/lt/licencijavimas-ir-ukio-subjektu-prieziura/dokumentu-saugojimo-licenciju-turetoju-sarasas/</w:t>
            </w:r>
          </w:p>
        </w:tc>
        <w:tc>
          <w:tcPr>
            <w:tcW w:w="1568" w:type="pct"/>
            <w:tcBorders>
              <w:top w:val="single" w:sz="4" w:space="0" w:color="000000" w:themeColor="text1"/>
              <w:left w:val="single" w:sz="4" w:space="0" w:color="000000" w:themeColor="text1"/>
              <w:bottom w:val="single" w:sz="4" w:space="0" w:color="000000" w:themeColor="text1"/>
              <w:right w:val="single" w:sz="4" w:space="0" w:color="auto"/>
            </w:tcBorders>
          </w:tcPr>
          <w:p w14:paraId="31591A41" w14:textId="77777777" w:rsidR="008873BA" w:rsidRPr="008873BA" w:rsidRDefault="008873BA" w:rsidP="008873BA">
            <w:pPr>
              <w:jc w:val="both"/>
              <w:rPr>
                <w:bCs/>
                <w:szCs w:val="24"/>
              </w:rPr>
            </w:pPr>
            <w:r w:rsidRPr="008873BA">
              <w:rPr>
                <w:bCs/>
                <w:szCs w:val="24"/>
              </w:rPr>
              <w:t>Tiekėjas, jeigu pasiūlymą teikia ūkio subjektų grupė – reikalavimą turi atitikti visi ūkio subjektų grupės nariai kartu (ūkio subjektų grupės narių turima patirtis sumuojama), atsižvelgiant į jų prisiimamus įsipareigojimus.</w:t>
            </w:r>
          </w:p>
          <w:p w14:paraId="17734B6C" w14:textId="3F683CB4" w:rsidR="008873BA" w:rsidRPr="00937826" w:rsidRDefault="008873BA" w:rsidP="00A51626">
            <w:pPr>
              <w:jc w:val="both"/>
              <w:rPr>
                <w:bCs/>
                <w:szCs w:val="24"/>
              </w:rPr>
            </w:pPr>
            <w:r w:rsidRPr="008873BA">
              <w:rPr>
                <w:bCs/>
                <w:szCs w:val="24"/>
              </w:rPr>
              <w:t>Tiekėjas gali remtis kitų ūkio subjektų pajėgumais tik tuo atveju, jeigu tie subjektai patys vykdys tą pirkimo sutarties dalį, kuriai reikia jų turimų pajėgumų.</w:t>
            </w:r>
          </w:p>
        </w:tc>
      </w:tr>
      <w:tr w:rsidR="008873BA" w:rsidRPr="00937826" w14:paraId="3E38575A" w14:textId="3D213C9C" w:rsidTr="00A51626">
        <w:tc>
          <w:tcPr>
            <w:tcW w:w="296" w:type="pct"/>
            <w:tcBorders>
              <w:top w:val="single" w:sz="4" w:space="0" w:color="000000" w:themeColor="text1"/>
              <w:left w:val="single" w:sz="4" w:space="0" w:color="000000" w:themeColor="text1"/>
              <w:bottom w:val="single" w:sz="4" w:space="0" w:color="000000" w:themeColor="text1"/>
            </w:tcBorders>
          </w:tcPr>
          <w:p w14:paraId="2C07C5E2" w14:textId="77777777" w:rsidR="008873BA" w:rsidRPr="00937826" w:rsidRDefault="008873BA" w:rsidP="00E51BBF">
            <w:pPr>
              <w:jc w:val="center"/>
              <w:rPr>
                <w:color w:val="000000"/>
                <w:szCs w:val="24"/>
              </w:rPr>
            </w:pPr>
            <w:r w:rsidRPr="00937826">
              <w:rPr>
                <w:color w:val="000000"/>
                <w:szCs w:val="24"/>
              </w:rPr>
              <w:t xml:space="preserve">2. </w:t>
            </w:r>
          </w:p>
        </w:tc>
        <w:tc>
          <w:tcPr>
            <w:tcW w:w="1568" w:type="pct"/>
            <w:tcBorders>
              <w:top w:val="single" w:sz="4" w:space="0" w:color="000000" w:themeColor="text1"/>
              <w:left w:val="single" w:sz="4" w:space="0" w:color="000000" w:themeColor="text1"/>
              <w:bottom w:val="single" w:sz="4" w:space="0" w:color="000000" w:themeColor="text1"/>
            </w:tcBorders>
          </w:tcPr>
          <w:p w14:paraId="413F43D9" w14:textId="1C7C1AFD" w:rsidR="008873BA" w:rsidRPr="00937826" w:rsidRDefault="008873BA" w:rsidP="00E51BBF">
            <w:pPr>
              <w:jc w:val="both"/>
              <w:rPr>
                <w:b/>
                <w:bCs/>
                <w:color w:val="000000"/>
                <w:szCs w:val="24"/>
              </w:rPr>
            </w:pPr>
            <w:r w:rsidRPr="00937826">
              <w:rPr>
                <w:szCs w:val="24"/>
              </w:rPr>
              <w:t xml:space="preserve">Pirkimo sutarčiai vykdyti tiekėjas </w:t>
            </w:r>
            <w:r w:rsidRPr="00937826">
              <w:rPr>
                <w:color w:val="000000" w:themeColor="text1"/>
                <w:szCs w:val="24"/>
              </w:rPr>
              <w:t>turi pasiūlyti</w:t>
            </w:r>
            <w:r w:rsidRPr="00937826">
              <w:rPr>
                <w:b/>
                <w:bCs/>
                <w:color w:val="000000" w:themeColor="text1"/>
                <w:szCs w:val="24"/>
              </w:rPr>
              <w:t xml:space="preserve"> </w:t>
            </w:r>
            <w:r w:rsidRPr="00937826">
              <w:rPr>
                <w:color w:val="000000" w:themeColor="text1"/>
                <w:szCs w:val="24"/>
              </w:rPr>
              <w:t>bent 1 (vieną) specialistą,</w:t>
            </w:r>
            <w:r w:rsidRPr="00937826">
              <w:rPr>
                <w:b/>
                <w:bCs/>
                <w:color w:val="000000" w:themeColor="text1"/>
                <w:szCs w:val="24"/>
              </w:rPr>
              <w:t xml:space="preserve"> </w:t>
            </w:r>
            <w:r w:rsidRPr="00937826">
              <w:rPr>
                <w:szCs w:val="24"/>
              </w:rPr>
              <w:t xml:space="preserve"> kuris turi ne mažesnę nei </w:t>
            </w:r>
            <w:r w:rsidR="00FC37EC">
              <w:rPr>
                <w:szCs w:val="24"/>
              </w:rPr>
              <w:t>3</w:t>
            </w:r>
            <w:r w:rsidRPr="00937826">
              <w:rPr>
                <w:szCs w:val="24"/>
              </w:rPr>
              <w:t xml:space="preserve"> (</w:t>
            </w:r>
            <w:r w:rsidR="00FC37EC">
              <w:rPr>
                <w:szCs w:val="24"/>
              </w:rPr>
              <w:t>trijų</w:t>
            </w:r>
            <w:r w:rsidRPr="00937826">
              <w:rPr>
                <w:szCs w:val="24"/>
              </w:rPr>
              <w:t xml:space="preserve">) metų darbo patirtį (iki pasiūlymų pateikimo termino pabaigos) archyvinių dokumentų administravimo ir (ar) tvarkymo srityje. </w:t>
            </w:r>
          </w:p>
          <w:p w14:paraId="331AA005" w14:textId="77777777" w:rsidR="008873BA" w:rsidRPr="00937826" w:rsidRDefault="008873BA" w:rsidP="00E51BBF">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i/>
                <w:iCs/>
                <w:szCs w:val="24"/>
              </w:rPr>
            </w:pPr>
          </w:p>
          <w:p w14:paraId="1F799E89" w14:textId="77777777" w:rsidR="008873BA" w:rsidRPr="00937826" w:rsidRDefault="008873BA" w:rsidP="00E51BBF">
            <w:pPr>
              <w:tabs>
                <w:tab w:val="left" w:pos="69"/>
              </w:tabs>
              <w:snapToGrid w:val="0"/>
              <w:jc w:val="both"/>
              <w:rPr>
                <w:i/>
                <w:iCs/>
                <w:szCs w:val="24"/>
              </w:rPr>
            </w:pPr>
            <w:r w:rsidRPr="00937826">
              <w:rPr>
                <w:i/>
                <w:iCs/>
                <w:szCs w:val="24"/>
              </w:rPr>
              <w:t>Tiekėjas pirkimo sutarties vykdymui gali pasitelkti ir daugiau specialistų, jeigu tai būtina tinkamam jos įvykdymui užtikrinti.</w:t>
            </w:r>
          </w:p>
          <w:p w14:paraId="17C3A286" w14:textId="77777777" w:rsidR="008873BA" w:rsidRPr="00937826" w:rsidRDefault="008873BA" w:rsidP="00E51BBF">
            <w:pPr>
              <w:tabs>
                <w:tab w:val="left" w:pos="69"/>
              </w:tabs>
              <w:snapToGrid w:val="0"/>
              <w:jc w:val="both"/>
              <w:rPr>
                <w:szCs w:val="24"/>
              </w:rPr>
            </w:pPr>
          </w:p>
          <w:p w14:paraId="473E9D5C" w14:textId="77777777" w:rsidR="008873BA" w:rsidRPr="00937826" w:rsidRDefault="008873BA" w:rsidP="00E51BBF">
            <w:pPr>
              <w:tabs>
                <w:tab w:val="left" w:pos="69"/>
              </w:tabs>
              <w:snapToGrid w:val="0"/>
              <w:jc w:val="both"/>
              <w:rPr>
                <w:szCs w:val="24"/>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7B27B" w14:textId="7C600AF4" w:rsidR="008873BA" w:rsidRDefault="008873BA" w:rsidP="00E51BBF">
            <w:pPr>
              <w:snapToGrid w:val="0"/>
              <w:ind w:right="-57"/>
              <w:jc w:val="both"/>
              <w:rPr>
                <w:color w:val="000000" w:themeColor="text1"/>
                <w:szCs w:val="24"/>
              </w:rPr>
            </w:pPr>
            <w:r w:rsidRPr="00937826">
              <w:rPr>
                <w:color w:val="000000" w:themeColor="text1"/>
                <w:szCs w:val="24"/>
              </w:rPr>
              <w:t xml:space="preserve">Pateikiama tiekėjo </w:t>
            </w:r>
            <w:r w:rsidR="00A51626">
              <w:rPr>
                <w:color w:val="000000" w:themeColor="text1"/>
                <w:szCs w:val="24"/>
              </w:rPr>
              <w:t xml:space="preserve">pasirašyta </w:t>
            </w:r>
            <w:r w:rsidRPr="00937826">
              <w:rPr>
                <w:color w:val="000000" w:themeColor="text1"/>
                <w:szCs w:val="24"/>
              </w:rPr>
              <w:t>laisvos formos pažyma,</w:t>
            </w:r>
            <w:r w:rsidRPr="00937826">
              <w:rPr>
                <w:b/>
                <w:bCs/>
                <w:color w:val="000000" w:themeColor="text1"/>
                <w:szCs w:val="24"/>
              </w:rPr>
              <w:t xml:space="preserve"> </w:t>
            </w:r>
            <w:r w:rsidRPr="00937826">
              <w:rPr>
                <w:color w:val="000000" w:themeColor="text1"/>
                <w:szCs w:val="24"/>
              </w:rPr>
              <w:t>kurioje turi būti nurodyta siūlomo specialisto vardas, pavardė, informacija apie reikalaujamą patirtį mėnesių tikslumu (nuo-iki) ir trumpas patirties nurodytose srityse aprašymas, pridedant siūlomo specialisto CV.</w:t>
            </w:r>
          </w:p>
          <w:p w14:paraId="2E5611D4" w14:textId="0D570CD8" w:rsidR="00A51626" w:rsidRDefault="00A51626" w:rsidP="00A51626">
            <w:pPr>
              <w:snapToGrid w:val="0"/>
              <w:spacing w:before="240"/>
              <w:ind w:right="-57"/>
              <w:jc w:val="both"/>
              <w:rPr>
                <w:color w:val="000000" w:themeColor="text1"/>
                <w:szCs w:val="24"/>
              </w:rPr>
            </w:pPr>
            <w:r w:rsidRPr="00A51626">
              <w:rPr>
                <w:color w:val="000000" w:themeColor="text1"/>
                <w:szCs w:val="24"/>
              </w:rPr>
              <w:t>Jeigu siūlomas specialistas nėra tiekėjo darbuotojas (kvazisubtiekėjas),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0871B7E5" w14:textId="344E65E9" w:rsidR="00A51626" w:rsidRPr="00A51626" w:rsidRDefault="00A51626" w:rsidP="00A51626">
            <w:pPr>
              <w:snapToGrid w:val="0"/>
              <w:spacing w:before="240"/>
              <w:ind w:right="-57"/>
              <w:jc w:val="both"/>
              <w:rPr>
                <w:color w:val="000000" w:themeColor="text1"/>
                <w:szCs w:val="24"/>
              </w:rPr>
            </w:pPr>
            <w:r w:rsidRPr="00A51626">
              <w:rPr>
                <w:color w:val="000000" w:themeColor="text1"/>
                <w:szCs w:val="24"/>
              </w:rPr>
              <w:t xml:space="preserve">Jeigu tiekėjo siūlomas specialistas yra subtiekėjo/ </w:t>
            </w:r>
            <w:r w:rsidRPr="00A51626">
              <w:rPr>
                <w:color w:val="000000" w:themeColor="text1"/>
                <w:szCs w:val="24"/>
              </w:rPr>
              <w:lastRenderedPageBreak/>
              <w:t>ūkio subjekto, kurio pajėgumais tiekėjas remiasi, darbuotojas, privalo būti pateikta dokumento, įrodančio, kad specialistą ir subtiekėją/ ūkio subjektą, kurio pajėgumais tiekėjas remiasi, sieja teisinio pobūdžio ryšiai (t. y., darbo santykiai pagal darbo sutartį), kopija arba kiti dokumentai (pvz., subtiekėjo/ ūkio subjekto, kurio pajėgumais tiekėjas remiasi, pažyma, kad siūlomas specialistas yra jo darbuotojas).</w:t>
            </w:r>
          </w:p>
          <w:p w14:paraId="0DA89001" w14:textId="2DCFB0BE" w:rsidR="00A51626" w:rsidRPr="00A51626" w:rsidRDefault="00A51626" w:rsidP="00A51626">
            <w:pPr>
              <w:snapToGrid w:val="0"/>
              <w:spacing w:before="240"/>
              <w:ind w:right="-57"/>
              <w:jc w:val="both"/>
              <w:rPr>
                <w:color w:val="000000" w:themeColor="text1"/>
                <w:szCs w:val="24"/>
              </w:rPr>
            </w:pPr>
            <w:r w:rsidRPr="00A51626">
              <w:rPr>
                <w:color w:val="000000" w:themeColor="text1"/>
                <w:szCs w:val="24"/>
              </w:rPr>
              <w:t>Jeigu tiekėjo siūlomas specialistas nėra subtiekėjo/ ūkio subjekto, kurio pajėgumais tiekėjas remiasi, darbuotojas (kvazisubtiekėjas), privalo būti pateikta subtiekėjo/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32D8B391" w14:textId="39B3B1F8" w:rsidR="00A51626" w:rsidRDefault="00A51626" w:rsidP="00E51BBF">
            <w:pPr>
              <w:snapToGrid w:val="0"/>
              <w:ind w:right="-57"/>
              <w:jc w:val="both"/>
              <w:rPr>
                <w:color w:val="000000" w:themeColor="text1"/>
                <w:szCs w:val="24"/>
              </w:rPr>
            </w:pPr>
            <w:r w:rsidRPr="00A51626">
              <w:rPr>
                <w:color w:val="000000" w:themeColor="text1"/>
                <w:szCs w:val="24"/>
              </w:rPr>
              <w:t>Pastaba. Perkančioji organizacija, norėdama įsitikinti arba pasitikslinti</w:t>
            </w:r>
            <w:r>
              <w:rPr>
                <w:color w:val="000000" w:themeColor="text1"/>
                <w:szCs w:val="24"/>
              </w:rPr>
              <w:t xml:space="preserve"> </w:t>
            </w:r>
            <w:r w:rsidRPr="00A51626">
              <w:rPr>
                <w:color w:val="000000" w:themeColor="text1"/>
                <w:szCs w:val="24"/>
              </w:rPr>
              <w:t>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p w14:paraId="5E49546A" w14:textId="16EDE544" w:rsidR="008873BA" w:rsidRPr="00937826" w:rsidRDefault="008873BA" w:rsidP="00E51BBF">
            <w:pPr>
              <w:ind w:left="61"/>
              <w:jc w:val="both"/>
              <w:rPr>
                <w:rFonts w:eastAsia="Arial Unicode MS"/>
                <w:color w:val="000000"/>
                <w:szCs w:val="24"/>
              </w:rPr>
            </w:pPr>
            <w:r w:rsidRPr="00937826">
              <w:rPr>
                <w:rFonts w:eastAsia="Arial Unicode MS"/>
                <w:szCs w:val="24"/>
                <w:u w:val="single"/>
                <w:shd w:val="clear" w:color="auto" w:fill="FFFFFF"/>
              </w:rPr>
              <w:lastRenderedPageBreak/>
              <w:t>Pateikiami dokumentai elektroninėje formoje.</w:t>
            </w: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5031B" w14:textId="77777777" w:rsidR="00A51626" w:rsidRPr="00A51626" w:rsidRDefault="00A51626" w:rsidP="00A51626">
            <w:pPr>
              <w:snapToGrid w:val="0"/>
              <w:ind w:right="-57"/>
              <w:jc w:val="both"/>
              <w:rPr>
                <w:color w:val="000000" w:themeColor="text1"/>
                <w:szCs w:val="24"/>
              </w:rPr>
            </w:pPr>
            <w:r w:rsidRPr="00A51626">
              <w:rPr>
                <w:color w:val="000000" w:themeColor="text1"/>
                <w:szCs w:val="24"/>
              </w:rPr>
              <w:lastRenderedPageBreak/>
              <w:t>Tiekėjo arba, jeigu pasiūlymą teikia tiekėjų grupė – reikalavimą turi atitikti tiekėjų grupės nario (-ių) specialistai, atsižvelgiant į jų prisiimamus įsipareigojimus pirkimo sutarčiai vykdyti, arba kitas ūkio subjektas (jo darbuotojas), kurio pajėgumais remiasi tiekėjas, atsižvelgiant į jų prisiimamus įsipareigojimus pirkimo sutarčiai vykdyti.</w:t>
            </w:r>
          </w:p>
          <w:p w14:paraId="67B4EBC9" w14:textId="77777777" w:rsidR="00A51626" w:rsidRPr="00A51626" w:rsidRDefault="00A51626" w:rsidP="00A51626">
            <w:pPr>
              <w:snapToGrid w:val="0"/>
              <w:ind w:right="-57"/>
              <w:jc w:val="both"/>
              <w:rPr>
                <w:color w:val="000000" w:themeColor="text1"/>
                <w:szCs w:val="24"/>
              </w:rPr>
            </w:pPr>
            <w:r w:rsidRPr="00A51626">
              <w:rPr>
                <w:color w:val="000000" w:themeColor="text1"/>
                <w:szCs w:val="24"/>
              </w:rPr>
              <w:t>Tiekėjas gali remtis kitų ūkio subjektų pajėgumais tik tuo atveju, jeigu tie subjektai (jų darbuotojai) patys vykdys tą pirkimo sutarties dalį, kuriai reikia jų turimų pajėgumų.</w:t>
            </w:r>
          </w:p>
          <w:p w14:paraId="22C67B14" w14:textId="77777777" w:rsidR="00A51626" w:rsidRPr="00A51626" w:rsidRDefault="00A51626" w:rsidP="00A51626">
            <w:pPr>
              <w:snapToGrid w:val="0"/>
              <w:ind w:right="-57"/>
              <w:jc w:val="both"/>
              <w:rPr>
                <w:color w:val="000000" w:themeColor="text1"/>
                <w:szCs w:val="24"/>
              </w:rPr>
            </w:pPr>
          </w:p>
          <w:p w14:paraId="3F1F065D" w14:textId="336C67D0" w:rsidR="008873BA" w:rsidRPr="00937826" w:rsidRDefault="00A51626" w:rsidP="00A51626">
            <w:pPr>
              <w:snapToGrid w:val="0"/>
              <w:ind w:right="-57"/>
              <w:jc w:val="both"/>
              <w:rPr>
                <w:color w:val="000000" w:themeColor="text1"/>
                <w:szCs w:val="24"/>
              </w:rPr>
            </w:pPr>
            <w:r w:rsidRPr="00A51626">
              <w:rPr>
                <w:color w:val="000000" w:themeColor="text1"/>
                <w:szCs w:val="24"/>
              </w:rPr>
              <w:t xml:space="preserve">Jei tiekėjas (jo pasitelkiami specialistai) pats atitinka keliamą reikalavimą, tačiau ketina pasitelkti subtiekėjus (jo specialistus), subtiekėjų specialistai privalo atitikti keliamus reikalavimus, jeigu subtiekėjai (jų darbuotojai) </w:t>
            </w:r>
            <w:r w:rsidRPr="00A51626">
              <w:rPr>
                <w:color w:val="000000" w:themeColor="text1"/>
                <w:szCs w:val="24"/>
              </w:rPr>
              <w:lastRenderedPageBreak/>
              <w:t>patys vykdys tą pirkimo sutarties dalį, kuriai reikia nustatytos kvalifikacijos.</w:t>
            </w:r>
          </w:p>
        </w:tc>
      </w:tr>
    </w:tbl>
    <w:p w14:paraId="127BE04E" w14:textId="77777777" w:rsidR="00FE6853" w:rsidRDefault="00FE6853" w:rsidP="00FE6853">
      <w:pPr>
        <w:rPr>
          <w:b/>
          <w:bCs/>
          <w:color w:val="000000"/>
          <w:szCs w:val="24"/>
        </w:rPr>
      </w:pPr>
    </w:p>
    <w:p w14:paraId="08D7C109" w14:textId="77777777" w:rsidR="00E559BC" w:rsidRDefault="00E559BC" w:rsidP="00FE6853">
      <w:pPr>
        <w:rPr>
          <w:b/>
          <w:bCs/>
          <w:color w:val="000000"/>
          <w:szCs w:val="24"/>
        </w:rPr>
      </w:pPr>
    </w:p>
    <w:p w14:paraId="3E9BF9CF" w14:textId="77777777" w:rsidR="00E559BC" w:rsidRDefault="00E559BC" w:rsidP="00FE6853">
      <w:pPr>
        <w:rPr>
          <w:b/>
          <w:bCs/>
          <w:color w:val="000000"/>
          <w:szCs w:val="24"/>
        </w:rPr>
      </w:pPr>
    </w:p>
    <w:p w14:paraId="13FC2E74" w14:textId="3A4CCC28" w:rsidR="00E559BC" w:rsidRDefault="00E559BC" w:rsidP="00FE6853">
      <w:pPr>
        <w:rPr>
          <w:b/>
          <w:bCs/>
          <w:color w:val="000000"/>
          <w:szCs w:val="24"/>
        </w:rPr>
      </w:pPr>
      <w:r w:rsidRPr="00E559BC">
        <w:rPr>
          <w:b/>
          <w:bCs/>
          <w:color w:val="000000"/>
          <w:szCs w:val="24"/>
          <w:highlight w:val="cyan"/>
        </w:rPr>
        <w:t>5 balai - 25 balai patirtis</w:t>
      </w:r>
    </w:p>
    <w:p w14:paraId="6722DDD2" w14:textId="77777777" w:rsidR="00E559BC" w:rsidRPr="00E559BC" w:rsidRDefault="00E559BC" w:rsidP="00E559BC">
      <w:pPr>
        <w:suppressAutoHyphens w:val="0"/>
        <w:spacing w:before="100" w:beforeAutospacing="1" w:after="100" w:afterAutospacing="1" w:line="300" w:lineRule="atLeast"/>
        <w:rPr>
          <w:rFonts w:ascii="Segoe UI" w:hAnsi="Segoe UI" w:cs="Segoe UI"/>
          <w:sz w:val="21"/>
          <w:szCs w:val="21"/>
          <w:highlight w:val="yellow"/>
          <w:lang w:eastAsia="lt-LT"/>
        </w:rPr>
      </w:pPr>
      <w:r w:rsidRPr="00E559BC">
        <w:rPr>
          <w:rFonts w:ascii="Segoe UI" w:hAnsi="Segoe UI" w:cs="Segoe UI"/>
          <w:sz w:val="21"/>
          <w:szCs w:val="21"/>
          <w:highlight w:val="yellow"/>
          <w:lang w:eastAsia="lt-LT"/>
        </w:rPr>
        <w:t xml:space="preserve">Tiekėjas turi būti įdiegęs aplinkosaugos vadybos sistemą, atitinkančią </w:t>
      </w:r>
      <w:r w:rsidRPr="00E559BC">
        <w:rPr>
          <w:rFonts w:ascii="Segoe UI" w:hAnsi="Segoe UI" w:cs="Segoe UI"/>
          <w:b/>
          <w:bCs/>
          <w:sz w:val="21"/>
          <w:szCs w:val="21"/>
          <w:highlight w:val="yellow"/>
          <w:lang w:eastAsia="lt-LT"/>
        </w:rPr>
        <w:t>ISO 14001</w:t>
      </w:r>
      <w:r w:rsidRPr="00E559BC">
        <w:rPr>
          <w:rFonts w:ascii="Segoe UI" w:hAnsi="Segoe UI" w:cs="Segoe UI"/>
          <w:sz w:val="21"/>
          <w:szCs w:val="21"/>
          <w:highlight w:val="yellow"/>
          <w:lang w:eastAsia="lt-LT"/>
        </w:rPr>
        <w:t xml:space="preserve"> standarto reikalavimus arba </w:t>
      </w:r>
      <w:r w:rsidRPr="00E559BC">
        <w:rPr>
          <w:rFonts w:ascii="Segoe UI" w:hAnsi="Segoe UI" w:cs="Segoe UI"/>
          <w:b/>
          <w:bCs/>
          <w:sz w:val="21"/>
          <w:szCs w:val="21"/>
          <w:highlight w:val="yellow"/>
          <w:lang w:eastAsia="lt-LT"/>
        </w:rPr>
        <w:t>jam lygiaverčius aplinkosaugos vadybos reikalavimus</w:t>
      </w:r>
      <w:r w:rsidRPr="00E559BC">
        <w:rPr>
          <w:rFonts w:ascii="Segoe UI" w:hAnsi="Segoe UI" w:cs="Segoe UI"/>
          <w:sz w:val="21"/>
          <w:szCs w:val="21"/>
          <w:highlight w:val="yellow"/>
          <w:lang w:eastAsia="lt-LT"/>
        </w:rPr>
        <w:t>.</w:t>
      </w:r>
    </w:p>
    <w:p w14:paraId="3FA4B02F" w14:textId="77777777" w:rsidR="00E559BC" w:rsidRPr="00E559BC" w:rsidRDefault="00E559BC" w:rsidP="00E559BC">
      <w:pPr>
        <w:suppressAutoHyphens w:val="0"/>
        <w:spacing w:before="100" w:beforeAutospacing="1" w:after="100" w:afterAutospacing="1" w:line="300" w:lineRule="atLeast"/>
        <w:rPr>
          <w:rFonts w:ascii="Segoe UI" w:hAnsi="Segoe UI" w:cs="Segoe UI"/>
          <w:sz w:val="21"/>
          <w:szCs w:val="21"/>
          <w:highlight w:val="yellow"/>
          <w:lang w:eastAsia="lt-LT"/>
        </w:rPr>
      </w:pPr>
      <w:r w:rsidRPr="00E559BC">
        <w:rPr>
          <w:rFonts w:ascii="Segoe UI" w:hAnsi="Segoe UI" w:cs="Segoe UI"/>
          <w:sz w:val="21"/>
          <w:szCs w:val="21"/>
          <w:highlight w:val="yellow"/>
          <w:lang w:eastAsia="lt-LT"/>
        </w:rPr>
        <w:t>Atitiktis gali būti pagrįsta:</w:t>
      </w:r>
    </w:p>
    <w:p w14:paraId="2C07CE52" w14:textId="77777777" w:rsidR="00E559BC" w:rsidRPr="00E559BC" w:rsidRDefault="00E559BC" w:rsidP="00E559BC">
      <w:pPr>
        <w:numPr>
          <w:ilvl w:val="0"/>
          <w:numId w:val="1"/>
        </w:numPr>
        <w:suppressAutoHyphens w:val="0"/>
        <w:spacing w:before="100" w:beforeAutospacing="1" w:after="100" w:afterAutospacing="1" w:line="300" w:lineRule="atLeast"/>
        <w:rPr>
          <w:rFonts w:ascii="Segoe UI" w:hAnsi="Segoe UI" w:cs="Segoe UI"/>
          <w:sz w:val="21"/>
          <w:szCs w:val="21"/>
          <w:highlight w:val="yellow"/>
          <w:lang w:eastAsia="lt-LT"/>
        </w:rPr>
      </w:pPr>
      <w:r w:rsidRPr="00E559BC">
        <w:rPr>
          <w:rFonts w:ascii="Segoe UI" w:hAnsi="Segoe UI" w:cs="Segoe UI"/>
          <w:sz w:val="21"/>
          <w:szCs w:val="21"/>
          <w:highlight w:val="yellow"/>
          <w:lang w:eastAsia="lt-LT"/>
        </w:rPr>
        <w:t xml:space="preserve">galiojančiu ISO 14001 sertifikatu </w:t>
      </w:r>
      <w:r w:rsidRPr="00E559BC">
        <w:rPr>
          <w:rFonts w:ascii="Segoe UI" w:hAnsi="Segoe UI" w:cs="Segoe UI"/>
          <w:b/>
          <w:bCs/>
          <w:sz w:val="21"/>
          <w:szCs w:val="21"/>
          <w:highlight w:val="yellow"/>
          <w:lang w:eastAsia="lt-LT"/>
        </w:rPr>
        <w:t>arba</w:t>
      </w:r>
    </w:p>
    <w:p w14:paraId="4282F20F" w14:textId="065A9F6C" w:rsidR="00E559BC" w:rsidRPr="00E559BC" w:rsidRDefault="00E559BC" w:rsidP="00E559BC">
      <w:pPr>
        <w:numPr>
          <w:ilvl w:val="0"/>
          <w:numId w:val="1"/>
        </w:numPr>
        <w:suppressAutoHyphens w:val="0"/>
        <w:spacing w:before="100" w:beforeAutospacing="1" w:after="100" w:afterAutospacing="1" w:line="300" w:lineRule="atLeast"/>
        <w:rPr>
          <w:rFonts w:ascii="Segoe UI" w:hAnsi="Segoe UI" w:cs="Segoe UI"/>
          <w:sz w:val="21"/>
          <w:szCs w:val="21"/>
          <w:highlight w:val="yellow"/>
          <w:lang w:eastAsia="lt-LT"/>
        </w:rPr>
      </w:pPr>
      <w:r w:rsidRPr="00E559BC">
        <w:rPr>
          <w:rFonts w:ascii="Segoe UI" w:hAnsi="Segoe UI" w:cs="Segoe UI"/>
          <w:sz w:val="21"/>
          <w:szCs w:val="21"/>
          <w:highlight w:val="yellow"/>
          <w:lang w:eastAsia="lt-LT"/>
        </w:rPr>
        <w:t>aplinkosaugos vadybos procedūrų aprašymu ir jų taikymo įrodymais.</w:t>
      </w:r>
      <w:r>
        <w:rPr>
          <w:rFonts w:ascii="Segoe UI" w:hAnsi="Segoe UI" w:cs="Segoe UI"/>
          <w:sz w:val="21"/>
          <w:szCs w:val="21"/>
          <w:highlight w:val="yellow"/>
          <w:lang w:eastAsia="lt-LT"/>
        </w:rPr>
        <w:t xml:space="preserve"> Ar</w:t>
      </w:r>
    </w:p>
    <w:p w14:paraId="1ED8560C" w14:textId="77777777" w:rsidR="00E559BC" w:rsidRDefault="00E559BC" w:rsidP="00FE6853">
      <w:pPr>
        <w:rPr>
          <w:b/>
          <w:bCs/>
          <w:color w:val="000000"/>
          <w:szCs w:val="24"/>
        </w:rPr>
      </w:pPr>
    </w:p>
    <w:p w14:paraId="3081E275" w14:textId="77777777" w:rsidR="00E559BC" w:rsidRDefault="00E559BC" w:rsidP="00FE6853">
      <w:pPr>
        <w:rPr>
          <w:b/>
          <w:bCs/>
          <w:color w:val="000000"/>
          <w:szCs w:val="24"/>
        </w:rPr>
      </w:pPr>
    </w:p>
    <w:p w14:paraId="0DE62044" w14:textId="77777777" w:rsidR="00E559BC" w:rsidRPr="00937826" w:rsidRDefault="00E559BC" w:rsidP="00FE6853">
      <w:pPr>
        <w:rPr>
          <w:b/>
          <w:bCs/>
          <w:color w:val="000000"/>
          <w:szCs w:val="24"/>
        </w:rPr>
      </w:pPr>
    </w:p>
    <w:p w14:paraId="3558C430" w14:textId="77777777" w:rsidR="00FE6853" w:rsidRPr="00937826" w:rsidRDefault="00FE6853" w:rsidP="00FE6853">
      <w:pPr>
        <w:jc w:val="center"/>
        <w:rPr>
          <w:color w:val="000000"/>
          <w:szCs w:val="24"/>
        </w:rPr>
      </w:pPr>
      <w:r w:rsidRPr="00937826">
        <w:rPr>
          <w:color w:val="000000"/>
          <w:szCs w:val="24"/>
        </w:rPr>
        <w:br w:type="page"/>
      </w:r>
    </w:p>
    <w:p w14:paraId="473227F2" w14:textId="77777777" w:rsidR="00C1744F" w:rsidRDefault="00C1744F"/>
    <w:sectPr w:rsidR="00C174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C37"/>
    <w:multiLevelType w:val="multilevel"/>
    <w:tmpl w:val="336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52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3"/>
    <w:rsid w:val="0001247D"/>
    <w:rsid w:val="00280CEE"/>
    <w:rsid w:val="002E61DF"/>
    <w:rsid w:val="00310425"/>
    <w:rsid w:val="00442059"/>
    <w:rsid w:val="00777ACB"/>
    <w:rsid w:val="008873BA"/>
    <w:rsid w:val="008C3880"/>
    <w:rsid w:val="008E6ECE"/>
    <w:rsid w:val="00A51626"/>
    <w:rsid w:val="00C1744F"/>
    <w:rsid w:val="00C2437C"/>
    <w:rsid w:val="00E559BC"/>
    <w:rsid w:val="00FC37EC"/>
    <w:rsid w:val="00FE6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24E6"/>
  <w15:chartTrackingRefBased/>
  <w15:docId w15:val="{202ADBEE-31AE-4387-B81F-B44062E9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53"/>
    <w:pPr>
      <w:suppressAutoHyphens/>
      <w:spacing w:after="0" w:line="240" w:lineRule="auto"/>
    </w:pPr>
    <w:rPr>
      <w:rFonts w:eastAsia="Times New Roman" w:cs="Times New Roman"/>
      <w:kern w:val="0"/>
      <w:szCs w:val="20"/>
      <w:lang w:eastAsia="ar-SA"/>
      <w14:ligatures w14:val="none"/>
    </w:rPr>
  </w:style>
  <w:style w:type="paragraph" w:styleId="Heading1">
    <w:name w:val="heading 1"/>
    <w:basedOn w:val="Normal"/>
    <w:next w:val="Normal"/>
    <w:link w:val="Heading1Char"/>
    <w:uiPriority w:val="9"/>
    <w:qFormat/>
    <w:rsid w:val="00FE6853"/>
    <w:pPr>
      <w:keepNext/>
      <w:keepLines/>
      <w:suppressAutoHyphens w:val="0"/>
      <w:spacing w:before="360" w:after="80" w:line="278" w:lineRule="auto"/>
      <w:outlineLvl w:val="0"/>
    </w:pPr>
    <w:rPr>
      <w:rFonts w:asciiTheme="majorHAnsi" w:eastAsiaTheme="majorEastAsia" w:hAnsiTheme="majorHAnsi" w:cstheme="majorBidi"/>
      <w:noProof/>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E6853"/>
    <w:pPr>
      <w:keepNext/>
      <w:keepLines/>
      <w:suppressAutoHyphens w:val="0"/>
      <w:spacing w:before="160" w:after="80" w:line="278" w:lineRule="auto"/>
      <w:outlineLvl w:val="1"/>
    </w:pPr>
    <w:rPr>
      <w:rFonts w:asciiTheme="majorHAnsi" w:eastAsiaTheme="majorEastAsia" w:hAnsiTheme="majorHAnsi" w:cstheme="majorBidi"/>
      <w:noProof/>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E6853"/>
    <w:pPr>
      <w:keepNext/>
      <w:keepLines/>
      <w:suppressAutoHyphens w:val="0"/>
      <w:spacing w:before="160" w:after="80" w:line="278" w:lineRule="auto"/>
      <w:outlineLvl w:val="2"/>
    </w:pPr>
    <w:rPr>
      <w:rFonts w:asciiTheme="minorHAnsi" w:eastAsiaTheme="majorEastAsia" w:hAnsiTheme="minorHAnsi" w:cstheme="majorBidi"/>
      <w:noProof/>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E6853"/>
    <w:pPr>
      <w:keepNext/>
      <w:keepLines/>
      <w:suppressAutoHyphens w:val="0"/>
      <w:spacing w:before="80" w:after="40" w:line="278" w:lineRule="auto"/>
      <w:outlineLvl w:val="3"/>
    </w:pPr>
    <w:rPr>
      <w:rFonts w:asciiTheme="minorHAnsi" w:eastAsiaTheme="majorEastAsia" w:hAnsiTheme="minorHAnsi" w:cstheme="majorBidi"/>
      <w:i/>
      <w:iCs/>
      <w:noProof/>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FE6853"/>
    <w:pPr>
      <w:keepNext/>
      <w:keepLines/>
      <w:suppressAutoHyphens w:val="0"/>
      <w:spacing w:before="80" w:after="40" w:line="278" w:lineRule="auto"/>
      <w:outlineLvl w:val="4"/>
    </w:pPr>
    <w:rPr>
      <w:rFonts w:asciiTheme="minorHAnsi" w:eastAsiaTheme="majorEastAsia" w:hAnsiTheme="minorHAnsi" w:cstheme="majorBidi"/>
      <w:noProof/>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FE6853"/>
    <w:pPr>
      <w:keepNext/>
      <w:keepLines/>
      <w:suppressAutoHyphens w:val="0"/>
      <w:spacing w:before="40" w:line="278" w:lineRule="auto"/>
      <w:outlineLvl w:val="5"/>
    </w:pPr>
    <w:rPr>
      <w:rFonts w:asciiTheme="minorHAnsi" w:eastAsiaTheme="majorEastAsia" w:hAnsiTheme="minorHAnsi" w:cstheme="majorBidi"/>
      <w:i/>
      <w:iCs/>
      <w:noProof/>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FE6853"/>
    <w:pPr>
      <w:keepNext/>
      <w:keepLines/>
      <w:suppressAutoHyphens w:val="0"/>
      <w:spacing w:before="40" w:line="278" w:lineRule="auto"/>
      <w:outlineLvl w:val="6"/>
    </w:pPr>
    <w:rPr>
      <w:rFonts w:asciiTheme="minorHAnsi" w:eastAsiaTheme="majorEastAsia" w:hAnsiTheme="minorHAnsi" w:cstheme="majorBidi"/>
      <w:noProof/>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FE6853"/>
    <w:pPr>
      <w:keepNext/>
      <w:keepLines/>
      <w:suppressAutoHyphens w:val="0"/>
      <w:spacing w:line="278" w:lineRule="auto"/>
      <w:outlineLvl w:val="7"/>
    </w:pPr>
    <w:rPr>
      <w:rFonts w:asciiTheme="minorHAnsi" w:eastAsiaTheme="majorEastAsia" w:hAnsiTheme="minorHAnsi" w:cstheme="majorBidi"/>
      <w:i/>
      <w:iCs/>
      <w:noProof/>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FE6853"/>
    <w:pPr>
      <w:keepNext/>
      <w:keepLines/>
      <w:suppressAutoHyphens w:val="0"/>
      <w:spacing w:line="278" w:lineRule="auto"/>
      <w:outlineLvl w:val="8"/>
    </w:pPr>
    <w:rPr>
      <w:rFonts w:asciiTheme="minorHAnsi" w:eastAsiaTheme="majorEastAsia" w:hAnsiTheme="minorHAnsi" w:cstheme="majorBidi"/>
      <w:noProof/>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853"/>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FE6853"/>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FE6853"/>
    <w:rPr>
      <w:rFonts w:asciiTheme="minorHAnsi" w:eastAsiaTheme="majorEastAsia" w:hAnsiTheme="minorHAnsi"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FE6853"/>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FE6853"/>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FE6853"/>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FE6853"/>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FE6853"/>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FE6853"/>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FE6853"/>
    <w:pPr>
      <w:suppressAutoHyphens w:val="0"/>
      <w:spacing w:after="80"/>
      <w:contextualSpacing/>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E685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FE6853"/>
    <w:pPr>
      <w:numPr>
        <w:ilvl w:val="1"/>
      </w:numPr>
      <w:suppressAutoHyphens w:val="0"/>
      <w:spacing w:after="160" w:line="278" w:lineRule="auto"/>
    </w:pPr>
    <w:rPr>
      <w:rFonts w:asciiTheme="minorHAnsi" w:eastAsiaTheme="majorEastAsia" w:hAnsiTheme="minorHAnsi" w:cstheme="majorBidi"/>
      <w:noProof/>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E6853"/>
    <w:rPr>
      <w:rFonts w:asciiTheme="minorHAnsi" w:eastAsiaTheme="majorEastAsia" w:hAnsiTheme="minorHAnsi" w:cstheme="majorBidi"/>
      <w:noProof/>
      <w:color w:val="595959" w:themeColor="text1" w:themeTint="A6"/>
      <w:spacing w:val="15"/>
      <w:sz w:val="28"/>
      <w:szCs w:val="28"/>
    </w:rPr>
  </w:style>
  <w:style w:type="paragraph" w:styleId="Quote">
    <w:name w:val="Quote"/>
    <w:basedOn w:val="Normal"/>
    <w:next w:val="Normal"/>
    <w:link w:val="QuoteChar"/>
    <w:uiPriority w:val="29"/>
    <w:qFormat/>
    <w:rsid w:val="00FE6853"/>
    <w:pPr>
      <w:suppressAutoHyphens w:val="0"/>
      <w:spacing w:before="160" w:after="160" w:line="278" w:lineRule="auto"/>
      <w:jc w:val="center"/>
    </w:pPr>
    <w:rPr>
      <w:rFonts w:eastAsiaTheme="minorHAnsi" w:cstheme="minorBidi"/>
      <w:i/>
      <w:iCs/>
      <w:noProof/>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FE6853"/>
    <w:rPr>
      <w:i/>
      <w:iCs/>
      <w:noProof/>
      <w:color w:val="404040" w:themeColor="text1" w:themeTint="BF"/>
    </w:rPr>
  </w:style>
  <w:style w:type="paragraph" w:styleId="ListParagraph">
    <w:name w:val="List Paragraph"/>
    <w:basedOn w:val="Normal"/>
    <w:uiPriority w:val="34"/>
    <w:qFormat/>
    <w:rsid w:val="00FE6853"/>
    <w:pPr>
      <w:suppressAutoHyphens w:val="0"/>
      <w:spacing w:after="160" w:line="278" w:lineRule="auto"/>
      <w:ind w:left="720"/>
      <w:contextualSpacing/>
    </w:pPr>
    <w:rPr>
      <w:rFonts w:eastAsiaTheme="minorHAnsi" w:cstheme="minorBidi"/>
      <w:noProof/>
      <w:kern w:val="2"/>
      <w:szCs w:val="24"/>
      <w:lang w:eastAsia="en-US"/>
      <w14:ligatures w14:val="standardContextual"/>
    </w:rPr>
  </w:style>
  <w:style w:type="character" w:styleId="IntenseEmphasis">
    <w:name w:val="Intense Emphasis"/>
    <w:basedOn w:val="DefaultParagraphFont"/>
    <w:uiPriority w:val="21"/>
    <w:qFormat/>
    <w:rsid w:val="00FE6853"/>
    <w:rPr>
      <w:i/>
      <w:iCs/>
      <w:color w:val="0F4761" w:themeColor="accent1" w:themeShade="BF"/>
    </w:rPr>
  </w:style>
  <w:style w:type="paragraph" w:styleId="IntenseQuote">
    <w:name w:val="Intense Quote"/>
    <w:basedOn w:val="Normal"/>
    <w:next w:val="Normal"/>
    <w:link w:val="IntenseQuoteChar"/>
    <w:uiPriority w:val="30"/>
    <w:qFormat/>
    <w:rsid w:val="00FE6853"/>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cstheme="minorBidi"/>
      <w:i/>
      <w:iCs/>
      <w:noProof/>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FE6853"/>
    <w:rPr>
      <w:i/>
      <w:iCs/>
      <w:noProof/>
      <w:color w:val="0F4761" w:themeColor="accent1" w:themeShade="BF"/>
    </w:rPr>
  </w:style>
  <w:style w:type="character" w:styleId="IntenseReference">
    <w:name w:val="Intense Reference"/>
    <w:basedOn w:val="DefaultParagraphFont"/>
    <w:uiPriority w:val="32"/>
    <w:qFormat/>
    <w:rsid w:val="00FE6853"/>
    <w:rPr>
      <w:b/>
      <w:bCs/>
      <w:smallCaps/>
      <w:color w:val="0F4761" w:themeColor="accent1" w:themeShade="BF"/>
      <w:spacing w:val="5"/>
    </w:rPr>
  </w:style>
  <w:style w:type="character" w:styleId="Hyperlink">
    <w:name w:val="Hyperlink"/>
    <w:aliases w:val="Alna"/>
    <w:uiPriority w:val="99"/>
    <w:rsid w:val="00FE6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2906</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dc:description/>
  <cp:lastModifiedBy>Raminta Vielavičienė</cp:lastModifiedBy>
  <cp:revision>3</cp:revision>
  <dcterms:created xsi:type="dcterms:W3CDTF">2026-05-04T08:52:00Z</dcterms:created>
  <dcterms:modified xsi:type="dcterms:W3CDTF">2026-05-04T08:52:00Z</dcterms:modified>
</cp:coreProperties>
</file>