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0C263B" w:rsidRDefault="00C71538" w:rsidP="00C71538">
      <w:pPr>
        <w:spacing w:after="0" w:line="240" w:lineRule="auto"/>
        <w:jc w:val="both"/>
        <w:rPr>
          <w:rFonts w:ascii="Arial" w:eastAsia="Times New Roman" w:hAnsi="Arial" w:cs="Arial"/>
          <w:b/>
          <w:bCs/>
          <w:lang w:eastAsia="lt-LT"/>
        </w:rPr>
      </w:pPr>
    </w:p>
    <w:p w14:paraId="79BC7D62" w14:textId="072CEF09" w:rsidR="00C71538" w:rsidRPr="000C263B" w:rsidRDefault="00C71538">
      <w:pPr>
        <w:rPr>
          <w:rFonts w:ascii="Arial" w:eastAsia="Calibri" w:hAnsi="Arial" w:cs="Arial"/>
          <w:b/>
          <w:bCs/>
        </w:rPr>
      </w:pPr>
    </w:p>
    <w:p w14:paraId="62D9844E" w14:textId="53DD7EFF" w:rsidR="004A5BDE" w:rsidRPr="000C263B" w:rsidRDefault="00B86484" w:rsidP="00B86484">
      <w:pPr>
        <w:tabs>
          <w:tab w:val="left" w:pos="8137"/>
        </w:tabs>
        <w:spacing w:after="0" w:line="240" w:lineRule="auto"/>
        <w:jc w:val="center"/>
        <w:rPr>
          <w:rFonts w:ascii="Arial" w:eastAsia="Calibri" w:hAnsi="Arial" w:cs="Arial"/>
          <w:b/>
          <w:bCs/>
        </w:rPr>
      </w:pPr>
      <w:r w:rsidRPr="000C263B">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0C263B">
        <w:rPr>
          <w:rFonts w:ascii="Arial" w:hAnsi="Arial" w:cs="Arial"/>
          <w:color w:val="000000"/>
          <w:shd w:val="clear" w:color="auto" w:fill="FFFFFF"/>
        </w:rPr>
        <w:br/>
      </w:r>
    </w:p>
    <w:p w14:paraId="4DB5964D" w14:textId="77777777" w:rsidR="004A0C48" w:rsidRPr="000C263B" w:rsidRDefault="004A0C48" w:rsidP="004A0C48">
      <w:pPr>
        <w:tabs>
          <w:tab w:val="left" w:pos="8137"/>
        </w:tabs>
        <w:spacing w:after="0" w:line="240" w:lineRule="auto"/>
        <w:ind w:firstLine="851"/>
        <w:jc w:val="center"/>
        <w:rPr>
          <w:rFonts w:ascii="Arial" w:eastAsia="Calibri" w:hAnsi="Arial" w:cs="Arial"/>
          <w:b/>
          <w:bCs/>
        </w:rPr>
      </w:pPr>
      <w:r w:rsidRPr="000C263B">
        <w:rPr>
          <w:rFonts w:ascii="Arial" w:eastAsia="Calibri" w:hAnsi="Arial" w:cs="Arial"/>
          <w:b/>
          <w:bCs/>
        </w:rPr>
        <w:t>TECHNINĖ SPECIFIKACIJA</w:t>
      </w:r>
    </w:p>
    <w:p w14:paraId="4A53F7D7" w14:textId="77777777" w:rsidR="004A0C48" w:rsidRPr="000C263B"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0C263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0C263B">
        <w:rPr>
          <w:rFonts w:ascii="Arial" w:eastAsia="Calibri" w:hAnsi="Arial" w:cs="Arial"/>
          <w:b/>
        </w:rPr>
        <w:t>SĄVOKOS IR SUTRUMPINIMAI</w:t>
      </w:r>
      <w:r w:rsidR="00B12E41" w:rsidRPr="000C263B">
        <w:rPr>
          <w:rFonts w:ascii="Arial" w:eastAsia="Calibri" w:hAnsi="Arial" w:cs="Arial"/>
          <w:b/>
        </w:rPr>
        <w:t>/ BENDRA INFORMACIJA</w:t>
      </w:r>
    </w:p>
    <w:p w14:paraId="4E75050A" w14:textId="0FAC7B8F" w:rsidR="004A0C48" w:rsidRPr="000C263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0C263B">
        <w:rPr>
          <w:rFonts w:ascii="Arial" w:eastAsia="Calibri" w:hAnsi="Arial" w:cs="Arial"/>
          <w:b/>
        </w:rPr>
        <w:t>Pirkėjas / P</w:t>
      </w:r>
      <w:r w:rsidR="00682323" w:rsidRPr="000C263B">
        <w:rPr>
          <w:rFonts w:ascii="Arial" w:eastAsia="Calibri" w:hAnsi="Arial" w:cs="Arial"/>
          <w:b/>
        </w:rPr>
        <w:t>erkančioji organizacija</w:t>
      </w:r>
      <w:r w:rsidRPr="000C263B">
        <w:rPr>
          <w:rFonts w:ascii="Arial" w:eastAsia="Calibri" w:hAnsi="Arial" w:cs="Arial"/>
          <w:b/>
        </w:rPr>
        <w:t xml:space="preserve"> –</w:t>
      </w:r>
      <w:r w:rsidR="00D42220" w:rsidRPr="000C263B">
        <w:rPr>
          <w:rFonts w:ascii="Arial" w:eastAsia="Calibri" w:hAnsi="Arial" w:cs="Arial"/>
          <w:b/>
        </w:rPr>
        <w:t xml:space="preserve"> </w:t>
      </w:r>
      <w:r w:rsidR="00B06A26" w:rsidRPr="000C263B">
        <w:rPr>
          <w:rFonts w:ascii="Arial" w:eastAsia="Calibri" w:hAnsi="Arial" w:cs="Arial"/>
          <w:b/>
        </w:rPr>
        <w:t>Vilniaus universitetas</w:t>
      </w:r>
      <w:r w:rsidR="00E733C2" w:rsidRPr="000C263B">
        <w:rPr>
          <w:rFonts w:ascii="Arial" w:eastAsia="Calibri" w:hAnsi="Arial" w:cs="Arial"/>
          <w:b/>
        </w:rPr>
        <w:t>.</w:t>
      </w:r>
    </w:p>
    <w:p w14:paraId="7A4F4046" w14:textId="77777777" w:rsidR="004A0C48" w:rsidRPr="000C263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0C263B">
        <w:rPr>
          <w:rFonts w:ascii="Arial" w:eastAsia="Calibri" w:hAnsi="Arial" w:cs="Arial"/>
          <w:b/>
          <w:bCs/>
        </w:rPr>
        <w:t>Tiekėjas</w:t>
      </w:r>
      <w:r w:rsidRPr="000C263B">
        <w:rPr>
          <w:rFonts w:ascii="Arial" w:eastAsia="Calibri" w:hAnsi="Arial" w:cs="Arial"/>
          <w:bCs/>
        </w:rPr>
        <w:t xml:space="preserve"> –</w:t>
      </w:r>
      <w:r w:rsidR="00F83FAA" w:rsidRPr="000C263B">
        <w:rPr>
          <w:rFonts w:ascii="Arial" w:eastAsia="Calibri" w:hAnsi="Arial" w:cs="Arial"/>
          <w:bCs/>
        </w:rPr>
        <w:t xml:space="preserve"> </w:t>
      </w:r>
      <w:r w:rsidR="009A4D65" w:rsidRPr="000C263B">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0C263B">
        <w:rPr>
          <w:rFonts w:ascii="Arial" w:eastAsia="Calibri" w:hAnsi="Arial" w:cs="Arial"/>
        </w:rPr>
        <w:t>su kuriuo Pirkėjas sudarys šio Pirkimo</w:t>
      </w:r>
      <w:r w:rsidRPr="000C263B">
        <w:rPr>
          <w:rFonts w:ascii="Arial" w:eastAsia="Calibri" w:hAnsi="Arial" w:cs="Arial"/>
        </w:rPr>
        <w:t xml:space="preserve"> sutartį.</w:t>
      </w:r>
      <w:r w:rsidR="009A4D65" w:rsidRPr="000C263B">
        <w:rPr>
          <w:rFonts w:ascii="Arial" w:hAnsi="Arial" w:cs="Arial"/>
          <w:color w:val="000000"/>
        </w:rPr>
        <w:t xml:space="preserve"> </w:t>
      </w:r>
    </w:p>
    <w:p w14:paraId="4D61AFFF" w14:textId="77777777" w:rsidR="004A0C48" w:rsidRPr="000C263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0C263B">
        <w:rPr>
          <w:rFonts w:ascii="Arial" w:eastAsia="Calibri" w:hAnsi="Arial" w:cs="Arial"/>
          <w:b/>
        </w:rPr>
        <w:t>Sutartis</w:t>
      </w:r>
      <w:r w:rsidRPr="000C263B">
        <w:rPr>
          <w:rFonts w:ascii="Arial" w:eastAsia="Calibri" w:hAnsi="Arial" w:cs="Arial"/>
        </w:rPr>
        <w:t xml:space="preserve"> – </w:t>
      </w:r>
      <w:r w:rsidR="009A4D65" w:rsidRPr="000C263B">
        <w:rPr>
          <w:rFonts w:ascii="Arial" w:eastAsia="Calibri" w:hAnsi="Arial" w:cs="Arial"/>
        </w:rPr>
        <w:t>P</w:t>
      </w:r>
      <w:r w:rsidRPr="000C263B">
        <w:rPr>
          <w:rFonts w:ascii="Arial" w:eastAsia="Calibri" w:hAnsi="Arial" w:cs="Arial"/>
        </w:rPr>
        <w:t>irkimo sutartis, sudaroma tarp Tiekėjo ir Pirkėjo dėl šio Pirkimo objekto.</w:t>
      </w:r>
    </w:p>
    <w:p w14:paraId="0064A2D8" w14:textId="77777777" w:rsidR="002C4223" w:rsidRPr="000C263B"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0C263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0C263B">
        <w:rPr>
          <w:rFonts w:ascii="Arial" w:eastAsia="Calibri" w:hAnsi="Arial" w:cs="Arial"/>
          <w:b/>
          <w:shd w:val="clear" w:color="auto" w:fill="D9D9D9" w:themeFill="background1" w:themeFillShade="D9"/>
        </w:rPr>
        <w:t>PIRKIMO OBJEKTAS</w:t>
      </w:r>
    </w:p>
    <w:p w14:paraId="229F8101" w14:textId="24E7C835" w:rsidR="004A0C48" w:rsidRPr="000C263B" w:rsidRDefault="004A0C48" w:rsidP="001F2B82">
      <w:pPr>
        <w:pStyle w:val="ListParagraph"/>
        <w:numPr>
          <w:ilvl w:val="1"/>
          <w:numId w:val="2"/>
        </w:numPr>
        <w:tabs>
          <w:tab w:val="left" w:pos="567"/>
        </w:tabs>
        <w:spacing w:after="0" w:line="240" w:lineRule="auto"/>
        <w:ind w:left="0" w:firstLine="0"/>
        <w:jc w:val="both"/>
        <w:rPr>
          <w:rFonts w:ascii="Arial" w:hAnsi="Arial" w:cs="Arial"/>
        </w:rPr>
      </w:pPr>
      <w:r w:rsidRPr="000C263B">
        <w:rPr>
          <w:rFonts w:ascii="Arial" w:hAnsi="Arial" w:cs="Arial"/>
        </w:rPr>
        <w:t xml:space="preserve">Pirkimo objektas – </w:t>
      </w:r>
      <w:r w:rsidR="00D55CF1">
        <w:rPr>
          <w:rFonts w:ascii="Arial" w:hAnsi="Arial" w:cs="Arial"/>
        </w:rPr>
        <w:t>d</w:t>
      </w:r>
      <w:r w:rsidR="00D55CF1" w:rsidRPr="000C263B">
        <w:rPr>
          <w:rFonts w:ascii="Arial" w:hAnsi="Arial" w:cs="Arial"/>
        </w:rPr>
        <w:t xml:space="preserve">uomenų </w:t>
      </w:r>
      <w:r w:rsidR="001F2B82" w:rsidRPr="000C263B">
        <w:rPr>
          <w:rFonts w:ascii="Arial" w:hAnsi="Arial" w:cs="Arial"/>
        </w:rPr>
        <w:t>bazių valdymo sistemų (</w:t>
      </w:r>
      <w:proofErr w:type="spellStart"/>
      <w:r w:rsidR="001F2B82" w:rsidRPr="000C263B">
        <w:rPr>
          <w:rFonts w:ascii="Arial" w:hAnsi="Arial" w:cs="Arial"/>
        </w:rPr>
        <w:t>Oracle</w:t>
      </w:r>
      <w:proofErr w:type="spellEnd"/>
      <w:r w:rsidR="001F2B82" w:rsidRPr="000C263B">
        <w:rPr>
          <w:rFonts w:ascii="Arial" w:hAnsi="Arial" w:cs="Arial"/>
        </w:rPr>
        <w:t xml:space="preserve"> </w:t>
      </w:r>
      <w:proofErr w:type="spellStart"/>
      <w:r w:rsidR="001F2B82" w:rsidRPr="000C263B">
        <w:rPr>
          <w:rFonts w:ascii="Arial" w:hAnsi="Arial" w:cs="Arial"/>
        </w:rPr>
        <w:t>Database</w:t>
      </w:r>
      <w:proofErr w:type="spellEnd"/>
      <w:r w:rsidR="001F2B82" w:rsidRPr="000C263B">
        <w:rPr>
          <w:rFonts w:ascii="Arial" w:hAnsi="Arial" w:cs="Arial"/>
        </w:rPr>
        <w:t xml:space="preserve"> Standard Edition) (VU IS ir EPAS) techninis palaikymas</w:t>
      </w:r>
      <w:r w:rsidR="00167683">
        <w:rPr>
          <w:rFonts w:ascii="Arial" w:hAnsi="Arial" w:cs="Arial"/>
        </w:rPr>
        <w:t xml:space="preserve"> (</w:t>
      </w:r>
      <w:r w:rsidR="009E668A">
        <w:rPr>
          <w:rFonts w:ascii="Arial" w:hAnsi="Arial" w:cs="Arial"/>
        </w:rPr>
        <w:t>licencijos</w:t>
      </w:r>
      <w:r w:rsidR="00167683">
        <w:rPr>
          <w:rFonts w:ascii="Arial" w:hAnsi="Arial" w:cs="Arial"/>
        </w:rPr>
        <w:t>, nurodytos šios techninės specifikacijos 2 lentelėje)</w:t>
      </w:r>
      <w:r w:rsidR="00167683">
        <w:rPr>
          <w:rStyle w:val="FootnoteReference"/>
          <w:rFonts w:ascii="Arial" w:hAnsi="Arial" w:cs="Arial"/>
        </w:rPr>
        <w:t xml:space="preserve"> </w:t>
      </w:r>
      <w:r w:rsidR="00AC3846">
        <w:rPr>
          <w:rStyle w:val="FootnoteReference"/>
          <w:rFonts w:ascii="Arial" w:hAnsi="Arial" w:cs="Arial"/>
        </w:rPr>
        <w:footnoteReference w:id="2"/>
      </w:r>
      <w:r w:rsidRPr="000C263B">
        <w:rPr>
          <w:rFonts w:ascii="Arial" w:hAnsi="Arial" w:cs="Arial"/>
        </w:rPr>
        <w:t xml:space="preserve"> (toliau – prekės).</w:t>
      </w:r>
    </w:p>
    <w:p w14:paraId="5C24D0C3" w14:textId="46E3BF2E" w:rsidR="004A0C48" w:rsidRPr="000C263B"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0C263B">
        <w:rPr>
          <w:rFonts w:ascii="Arial" w:hAnsi="Arial" w:cs="Arial"/>
        </w:rPr>
        <w:t>Pirkimo objektas į pirkimo objekto dalis neskaidomas</w:t>
      </w:r>
      <w:r w:rsidR="00212FAB" w:rsidRPr="000C263B">
        <w:rPr>
          <w:rFonts w:ascii="Arial" w:hAnsi="Arial" w:cs="Arial"/>
        </w:rPr>
        <w:t>, todėl Tiekėjas privalo teikti pasiūlymą visai žemiau nurodytai pirkimo objekto apimčiai</w:t>
      </w:r>
      <w:r w:rsidR="00B1566B">
        <w:rPr>
          <w:rFonts w:ascii="Arial" w:hAnsi="Arial" w:cs="Arial"/>
        </w:rPr>
        <w:t xml:space="preserve"> ir (ar) kiekiui</w:t>
      </w:r>
      <w:r w:rsidR="00212FAB" w:rsidRPr="000C263B">
        <w:rPr>
          <w:rFonts w:ascii="Arial" w:hAnsi="Arial" w:cs="Arial"/>
        </w:rPr>
        <w:t>.</w:t>
      </w:r>
    </w:p>
    <w:p w14:paraId="240746CA" w14:textId="10791976" w:rsidR="00314040" w:rsidRDefault="00C73886" w:rsidP="008D5B7C">
      <w:pPr>
        <w:pStyle w:val="ListParagraph"/>
        <w:numPr>
          <w:ilvl w:val="1"/>
          <w:numId w:val="2"/>
        </w:numPr>
        <w:tabs>
          <w:tab w:val="left" w:pos="567"/>
        </w:tabs>
        <w:spacing w:after="0" w:line="240" w:lineRule="auto"/>
        <w:ind w:left="0" w:firstLine="0"/>
        <w:jc w:val="both"/>
        <w:rPr>
          <w:rFonts w:ascii="Arial" w:hAnsi="Arial" w:cs="Arial"/>
        </w:rPr>
      </w:pPr>
      <w:r w:rsidRPr="000C263B">
        <w:rPr>
          <w:rFonts w:ascii="Arial" w:hAnsi="Arial" w:cs="Arial"/>
        </w:rPr>
        <w:t>Prekių pristatymo</w:t>
      </w:r>
      <w:r w:rsidR="003D4EE1" w:rsidRPr="000C263B">
        <w:rPr>
          <w:rFonts w:ascii="Arial" w:hAnsi="Arial" w:cs="Arial"/>
        </w:rPr>
        <w:t xml:space="preserve"> vieta </w:t>
      </w:r>
      <w:r w:rsidR="00314040" w:rsidRPr="000C263B">
        <w:rPr>
          <w:rFonts w:ascii="Arial" w:hAnsi="Arial" w:cs="Arial"/>
        </w:rPr>
        <w:t xml:space="preserve"> – </w:t>
      </w:r>
      <w:r w:rsidR="0095744D">
        <w:rPr>
          <w:rStyle w:val="normaltextrun"/>
          <w:rFonts w:ascii="Arial" w:hAnsi="Arial" w:cs="Arial"/>
          <w:color w:val="000000"/>
          <w:shd w:val="clear" w:color="auto" w:fill="FFFFFF"/>
        </w:rPr>
        <w:t>administravimo aplinka internete (prekės suteikiamos nuotoliniu būdu)</w:t>
      </w:r>
      <w:r w:rsidR="008552E3">
        <w:rPr>
          <w:rFonts w:ascii="Arial" w:hAnsi="Arial" w:cs="Arial"/>
        </w:rPr>
        <w:t>.</w:t>
      </w:r>
    </w:p>
    <w:p w14:paraId="336F2E35" w14:textId="53FCF931" w:rsidR="008552E3" w:rsidRPr="000C263B" w:rsidRDefault="00B40107" w:rsidP="008D5B7C">
      <w:pPr>
        <w:pStyle w:val="ListParagraph"/>
        <w:numPr>
          <w:ilvl w:val="1"/>
          <w:numId w:val="2"/>
        </w:numPr>
        <w:tabs>
          <w:tab w:val="left" w:pos="567"/>
        </w:tabs>
        <w:spacing w:after="0" w:line="240" w:lineRule="auto"/>
        <w:ind w:left="0" w:firstLine="0"/>
        <w:jc w:val="both"/>
        <w:rPr>
          <w:rFonts w:ascii="Arial" w:hAnsi="Arial" w:cs="Arial"/>
        </w:rPr>
      </w:pPr>
      <w:r>
        <w:rPr>
          <w:rFonts w:ascii="Arial" w:hAnsi="Arial" w:cs="Arial"/>
        </w:rPr>
        <w:t>Prekių kiekiai ir (ar) apimtys</w:t>
      </w:r>
      <w:r w:rsidR="009223E2">
        <w:rPr>
          <w:rFonts w:ascii="Arial" w:hAnsi="Arial" w:cs="Arial"/>
        </w:rPr>
        <w:t>:</w:t>
      </w:r>
    </w:p>
    <w:p w14:paraId="555B0A83" w14:textId="138AF25C" w:rsidR="004A0C48" w:rsidRPr="000C263B" w:rsidRDefault="00CC3B99" w:rsidP="004A0C48">
      <w:pPr>
        <w:spacing w:after="0" w:line="240" w:lineRule="auto"/>
        <w:jc w:val="right"/>
        <w:rPr>
          <w:rFonts w:ascii="Arial" w:hAnsi="Arial" w:cs="Arial"/>
          <w:b/>
        </w:rPr>
      </w:pPr>
      <w:r w:rsidRPr="000C263B">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936"/>
        <w:gridCol w:w="2140"/>
        <w:gridCol w:w="1898"/>
        <w:gridCol w:w="1378"/>
        <w:gridCol w:w="1329"/>
        <w:gridCol w:w="2173"/>
      </w:tblGrid>
      <w:tr w:rsidR="0043073D" w:rsidRPr="000C263B" w14:paraId="6DB4DB1C" w14:textId="77777777" w:rsidTr="00AF1996">
        <w:trPr>
          <w:trHeight w:val="20"/>
          <w:jc w:val="center"/>
        </w:trPr>
        <w:tc>
          <w:tcPr>
            <w:tcW w:w="936" w:type="dxa"/>
            <w:vMerge w:val="restart"/>
            <w:vAlign w:val="center"/>
          </w:tcPr>
          <w:p w14:paraId="20AF3209" w14:textId="77777777" w:rsidR="004D7ECA" w:rsidRPr="000C263B" w:rsidRDefault="004D7ECA" w:rsidP="00890D1D">
            <w:pPr>
              <w:jc w:val="center"/>
              <w:rPr>
                <w:rFonts w:ascii="Arial" w:hAnsi="Arial" w:cs="Arial"/>
                <w:b/>
                <w:sz w:val="22"/>
                <w:szCs w:val="22"/>
              </w:rPr>
            </w:pPr>
            <w:r w:rsidRPr="000C263B">
              <w:rPr>
                <w:rFonts w:ascii="Arial" w:hAnsi="Arial" w:cs="Arial"/>
                <w:b/>
                <w:sz w:val="22"/>
                <w:szCs w:val="22"/>
              </w:rPr>
              <w:t>Eil. Nr.</w:t>
            </w:r>
          </w:p>
        </w:tc>
        <w:tc>
          <w:tcPr>
            <w:tcW w:w="2140" w:type="dxa"/>
            <w:vMerge w:val="restart"/>
            <w:vAlign w:val="center"/>
          </w:tcPr>
          <w:p w14:paraId="7C1F5311" w14:textId="1DE030D8" w:rsidR="004D7ECA" w:rsidRPr="000C263B" w:rsidRDefault="004D7ECA" w:rsidP="00890D1D">
            <w:pPr>
              <w:jc w:val="center"/>
              <w:rPr>
                <w:rFonts w:ascii="Arial" w:hAnsi="Arial" w:cs="Arial"/>
                <w:b/>
                <w:sz w:val="22"/>
                <w:szCs w:val="22"/>
              </w:rPr>
            </w:pPr>
            <w:r w:rsidRPr="000C263B">
              <w:rPr>
                <w:rFonts w:ascii="Arial" w:hAnsi="Arial" w:cs="Arial"/>
                <w:b/>
                <w:sz w:val="22"/>
                <w:szCs w:val="22"/>
              </w:rPr>
              <w:t>Prek</w:t>
            </w:r>
            <w:r w:rsidR="00481261" w:rsidRPr="000C263B">
              <w:rPr>
                <w:rFonts w:ascii="Arial" w:hAnsi="Arial" w:cs="Arial"/>
                <w:b/>
                <w:sz w:val="22"/>
                <w:szCs w:val="22"/>
              </w:rPr>
              <w:t>ių</w:t>
            </w:r>
            <w:r w:rsidRPr="000C263B">
              <w:rPr>
                <w:rFonts w:ascii="Arial" w:hAnsi="Arial" w:cs="Arial"/>
                <w:b/>
                <w:sz w:val="22"/>
                <w:szCs w:val="22"/>
              </w:rPr>
              <w:t xml:space="preserve"> pavadinimas</w:t>
            </w:r>
          </w:p>
        </w:tc>
        <w:tc>
          <w:tcPr>
            <w:tcW w:w="1898" w:type="dxa"/>
            <w:vMerge w:val="restart"/>
            <w:vAlign w:val="center"/>
          </w:tcPr>
          <w:p w14:paraId="58C29E2C" w14:textId="2C298DF3" w:rsidR="004D7ECA" w:rsidRPr="000C263B" w:rsidRDefault="00EE3FB9" w:rsidP="00890D1D">
            <w:pPr>
              <w:jc w:val="center"/>
              <w:rPr>
                <w:rFonts w:ascii="Arial" w:hAnsi="Arial" w:cs="Arial"/>
                <w:b/>
                <w:sz w:val="22"/>
                <w:szCs w:val="22"/>
              </w:rPr>
            </w:pPr>
            <w:r>
              <w:rPr>
                <w:rFonts w:ascii="Arial" w:hAnsi="Arial" w:cs="Arial"/>
                <w:b/>
                <w:sz w:val="22"/>
                <w:szCs w:val="22"/>
              </w:rPr>
              <w:t>Maksimalus</w:t>
            </w:r>
            <w:r w:rsidR="00FB35E0">
              <w:rPr>
                <w:rFonts w:ascii="Arial" w:hAnsi="Arial" w:cs="Arial"/>
                <w:b/>
                <w:sz w:val="22"/>
                <w:szCs w:val="22"/>
              </w:rPr>
              <w:t xml:space="preserve"> p</w:t>
            </w:r>
            <w:r w:rsidR="004D7ECA" w:rsidRPr="000C263B">
              <w:rPr>
                <w:rFonts w:ascii="Arial" w:hAnsi="Arial" w:cs="Arial"/>
                <w:b/>
                <w:sz w:val="22"/>
                <w:szCs w:val="22"/>
              </w:rPr>
              <w:t xml:space="preserve">rekių </w:t>
            </w:r>
            <w:r w:rsidR="004A5BDE" w:rsidRPr="000C263B">
              <w:rPr>
                <w:rFonts w:ascii="Arial" w:hAnsi="Arial" w:cs="Arial"/>
                <w:b/>
                <w:sz w:val="22"/>
                <w:szCs w:val="22"/>
              </w:rPr>
              <w:t xml:space="preserve">kiekis </w:t>
            </w:r>
            <w:r w:rsidR="00F03619" w:rsidRPr="000C263B">
              <w:rPr>
                <w:rFonts w:ascii="Arial" w:hAnsi="Arial" w:cs="Arial"/>
                <w:b/>
                <w:sz w:val="22"/>
                <w:szCs w:val="22"/>
              </w:rPr>
              <w:t xml:space="preserve">ir </w:t>
            </w:r>
            <w:r w:rsidR="0008076C">
              <w:rPr>
                <w:rFonts w:ascii="Arial" w:hAnsi="Arial" w:cs="Arial"/>
                <w:b/>
                <w:sz w:val="22"/>
                <w:szCs w:val="22"/>
              </w:rPr>
              <w:t xml:space="preserve">(ar) apimtys bei </w:t>
            </w:r>
            <w:r w:rsidR="00F03619" w:rsidRPr="000C263B">
              <w:rPr>
                <w:rFonts w:ascii="Arial" w:hAnsi="Arial" w:cs="Arial"/>
                <w:b/>
                <w:sz w:val="22"/>
                <w:szCs w:val="22"/>
              </w:rPr>
              <w:t xml:space="preserve">mato vnt. </w:t>
            </w:r>
          </w:p>
        </w:tc>
        <w:tc>
          <w:tcPr>
            <w:tcW w:w="2707" w:type="dxa"/>
            <w:gridSpan w:val="2"/>
            <w:tcBorders>
              <w:bottom w:val="single" w:sz="4" w:space="0" w:color="auto"/>
            </w:tcBorders>
            <w:vAlign w:val="center"/>
          </w:tcPr>
          <w:p w14:paraId="3D3AE683" w14:textId="77777777" w:rsidR="004D7ECA" w:rsidRPr="000C263B" w:rsidRDefault="004D7ECA" w:rsidP="00890D1D">
            <w:pPr>
              <w:jc w:val="center"/>
              <w:rPr>
                <w:rFonts w:ascii="Arial" w:hAnsi="Arial" w:cs="Arial"/>
                <w:b/>
                <w:sz w:val="22"/>
                <w:szCs w:val="22"/>
              </w:rPr>
            </w:pPr>
            <w:r w:rsidRPr="000C263B">
              <w:rPr>
                <w:rFonts w:ascii="Arial" w:hAnsi="Arial" w:cs="Arial"/>
                <w:b/>
                <w:sz w:val="22"/>
                <w:szCs w:val="22"/>
              </w:rPr>
              <w:t>Užsakymų teikimas</w:t>
            </w:r>
          </w:p>
        </w:tc>
        <w:tc>
          <w:tcPr>
            <w:tcW w:w="2173" w:type="dxa"/>
            <w:vMerge w:val="restart"/>
            <w:vAlign w:val="center"/>
          </w:tcPr>
          <w:p w14:paraId="17A9F1FB" w14:textId="41E3BEBE" w:rsidR="004D7ECA" w:rsidRPr="000C263B" w:rsidRDefault="004D7ECA" w:rsidP="00020CA8">
            <w:pPr>
              <w:jc w:val="center"/>
              <w:rPr>
                <w:rFonts w:ascii="Arial" w:hAnsi="Arial" w:cs="Arial"/>
                <w:b/>
                <w:sz w:val="22"/>
                <w:szCs w:val="22"/>
              </w:rPr>
            </w:pPr>
            <w:r w:rsidRPr="000C263B">
              <w:rPr>
                <w:rFonts w:ascii="Arial" w:hAnsi="Arial" w:cs="Arial"/>
                <w:b/>
                <w:sz w:val="22"/>
                <w:szCs w:val="22"/>
              </w:rPr>
              <w:t>Prekių pristatymo</w:t>
            </w:r>
            <w:r w:rsidR="005B21AE" w:rsidRPr="000C263B">
              <w:rPr>
                <w:rFonts w:ascii="Arial" w:hAnsi="Arial" w:cs="Arial"/>
                <w:b/>
                <w:sz w:val="22"/>
                <w:szCs w:val="22"/>
              </w:rPr>
              <w:t>/tiekimo</w:t>
            </w:r>
            <w:r w:rsidRPr="000C263B">
              <w:rPr>
                <w:rFonts w:ascii="Arial" w:hAnsi="Arial" w:cs="Arial"/>
                <w:b/>
                <w:sz w:val="22"/>
                <w:szCs w:val="22"/>
              </w:rPr>
              <w:t xml:space="preserve"> </w:t>
            </w:r>
            <w:r w:rsidRPr="006054D4">
              <w:rPr>
                <w:rFonts w:ascii="Arial" w:hAnsi="Arial" w:cs="Arial"/>
                <w:b/>
                <w:sz w:val="22"/>
                <w:szCs w:val="22"/>
              </w:rPr>
              <w:t xml:space="preserve">terminas  nuo </w:t>
            </w:r>
            <w:r w:rsidR="00020CA8" w:rsidRPr="006054D4">
              <w:rPr>
                <w:rFonts w:ascii="Arial" w:hAnsi="Arial" w:cs="Arial"/>
                <w:b/>
                <w:sz w:val="22"/>
                <w:szCs w:val="22"/>
              </w:rPr>
              <w:t>užsakymo</w:t>
            </w:r>
            <w:r w:rsidR="00171BE3" w:rsidRPr="006054D4">
              <w:rPr>
                <w:rFonts w:ascii="Arial" w:hAnsi="Arial" w:cs="Arial"/>
                <w:b/>
                <w:sz w:val="22"/>
                <w:szCs w:val="22"/>
              </w:rPr>
              <w:t xml:space="preserve"> pateikimo</w:t>
            </w:r>
          </w:p>
        </w:tc>
      </w:tr>
      <w:tr w:rsidR="0043073D" w:rsidRPr="000C263B" w14:paraId="05E1D5A6" w14:textId="77777777" w:rsidTr="00AF1996">
        <w:trPr>
          <w:trHeight w:val="2044"/>
          <w:jc w:val="center"/>
        </w:trPr>
        <w:tc>
          <w:tcPr>
            <w:tcW w:w="936" w:type="dxa"/>
            <w:vMerge/>
            <w:vAlign w:val="center"/>
          </w:tcPr>
          <w:p w14:paraId="4E46B277" w14:textId="77777777" w:rsidR="004D7ECA" w:rsidRPr="000C263B" w:rsidRDefault="004D7ECA" w:rsidP="00890D1D">
            <w:pPr>
              <w:jc w:val="center"/>
              <w:rPr>
                <w:rFonts w:ascii="Arial" w:hAnsi="Arial" w:cs="Arial"/>
                <w:sz w:val="22"/>
                <w:szCs w:val="22"/>
              </w:rPr>
            </w:pPr>
          </w:p>
        </w:tc>
        <w:tc>
          <w:tcPr>
            <w:tcW w:w="2140" w:type="dxa"/>
            <w:vMerge/>
            <w:vAlign w:val="center"/>
          </w:tcPr>
          <w:p w14:paraId="09394B49" w14:textId="77777777" w:rsidR="004D7ECA" w:rsidRPr="000C263B" w:rsidRDefault="004D7ECA" w:rsidP="00890D1D">
            <w:pPr>
              <w:jc w:val="center"/>
              <w:rPr>
                <w:rFonts w:ascii="Arial" w:hAnsi="Arial" w:cs="Arial"/>
                <w:sz w:val="22"/>
                <w:szCs w:val="22"/>
              </w:rPr>
            </w:pPr>
          </w:p>
        </w:tc>
        <w:tc>
          <w:tcPr>
            <w:tcW w:w="1898" w:type="dxa"/>
            <w:vMerge/>
            <w:vAlign w:val="center"/>
          </w:tcPr>
          <w:p w14:paraId="7609F101" w14:textId="77777777" w:rsidR="004D7ECA" w:rsidRPr="000C263B"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739A51F0" w:rsidR="004D7ECA" w:rsidRPr="000C263B" w:rsidRDefault="004D7ECA" w:rsidP="00DC79E6">
            <w:pPr>
              <w:jc w:val="center"/>
              <w:rPr>
                <w:rFonts w:ascii="Arial" w:hAnsi="Arial" w:cs="Arial"/>
                <w:b/>
                <w:sz w:val="22"/>
                <w:szCs w:val="22"/>
              </w:rPr>
            </w:pPr>
            <w:r w:rsidRPr="000C263B">
              <w:rPr>
                <w:rFonts w:ascii="Arial" w:hAnsi="Arial" w:cs="Arial"/>
                <w:b/>
                <w:sz w:val="22"/>
                <w:szCs w:val="22"/>
              </w:rPr>
              <w:t>Taip</w:t>
            </w:r>
            <w:r w:rsidR="00094A35" w:rsidRPr="000C263B">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02464F57" w:rsidR="004D7ECA" w:rsidRPr="000C263B" w:rsidRDefault="004D7ECA" w:rsidP="00094A35">
            <w:pPr>
              <w:jc w:val="center"/>
              <w:rPr>
                <w:rFonts w:ascii="Arial" w:hAnsi="Arial" w:cs="Arial"/>
                <w:b/>
                <w:sz w:val="22"/>
                <w:szCs w:val="22"/>
              </w:rPr>
            </w:pPr>
            <w:r w:rsidRPr="000C263B">
              <w:rPr>
                <w:rFonts w:ascii="Arial" w:hAnsi="Arial" w:cs="Arial"/>
                <w:b/>
                <w:sz w:val="22"/>
                <w:szCs w:val="22"/>
              </w:rPr>
              <w:t>Ne</w:t>
            </w:r>
            <w:r w:rsidR="00094A35" w:rsidRPr="000C263B">
              <w:rPr>
                <w:rFonts w:ascii="Arial" w:hAnsi="Arial" w:cs="Arial"/>
                <w:b/>
                <w:sz w:val="22"/>
                <w:szCs w:val="22"/>
              </w:rPr>
              <w:t xml:space="preserve"> (žymėti, jei </w:t>
            </w:r>
            <w:r w:rsidR="0043073D" w:rsidRPr="000C263B">
              <w:rPr>
                <w:rFonts w:ascii="Arial" w:hAnsi="Arial" w:cs="Arial"/>
                <w:b/>
                <w:sz w:val="22"/>
                <w:szCs w:val="22"/>
              </w:rPr>
              <w:t>nurodytu laiku bus pristatytas visas perkamas prekių kiekis</w:t>
            </w:r>
            <w:r w:rsidR="00094A35" w:rsidRPr="000C263B">
              <w:rPr>
                <w:rFonts w:ascii="Arial" w:hAnsi="Arial" w:cs="Arial"/>
                <w:b/>
                <w:sz w:val="22"/>
                <w:szCs w:val="22"/>
              </w:rPr>
              <w:t>)</w:t>
            </w:r>
          </w:p>
        </w:tc>
        <w:tc>
          <w:tcPr>
            <w:tcW w:w="2173" w:type="dxa"/>
            <w:vMerge/>
            <w:vAlign w:val="center"/>
          </w:tcPr>
          <w:p w14:paraId="52A45871" w14:textId="77777777" w:rsidR="004D7ECA" w:rsidRPr="000C263B" w:rsidRDefault="004D7ECA" w:rsidP="00890D1D">
            <w:pPr>
              <w:jc w:val="center"/>
              <w:rPr>
                <w:rFonts w:ascii="Arial" w:hAnsi="Arial" w:cs="Arial"/>
                <w:sz w:val="22"/>
                <w:szCs w:val="22"/>
              </w:rPr>
            </w:pPr>
          </w:p>
        </w:tc>
      </w:tr>
      <w:tr w:rsidR="0047442E" w:rsidRPr="000C263B" w14:paraId="40C1A461" w14:textId="77777777" w:rsidTr="00F27215">
        <w:trPr>
          <w:trHeight w:val="1265"/>
          <w:jc w:val="center"/>
        </w:trPr>
        <w:tc>
          <w:tcPr>
            <w:tcW w:w="936" w:type="dxa"/>
            <w:vAlign w:val="center"/>
          </w:tcPr>
          <w:p w14:paraId="41F717C5" w14:textId="041BF477" w:rsidR="0047442E" w:rsidRPr="00F27215" w:rsidRDefault="0047442E" w:rsidP="00F27215">
            <w:pPr>
              <w:ind w:firstLine="313"/>
              <w:jc w:val="center"/>
              <w:rPr>
                <w:rFonts w:ascii="Arial" w:hAnsi="Arial" w:cs="Arial"/>
                <w:sz w:val="22"/>
                <w:szCs w:val="22"/>
              </w:rPr>
            </w:pPr>
            <w:r w:rsidRPr="00F27215">
              <w:rPr>
                <w:rFonts w:ascii="Arial" w:hAnsi="Arial" w:cs="Arial"/>
                <w:sz w:val="22"/>
                <w:szCs w:val="22"/>
              </w:rPr>
              <w:t>1.</w:t>
            </w:r>
          </w:p>
        </w:tc>
        <w:tc>
          <w:tcPr>
            <w:tcW w:w="2140" w:type="dxa"/>
            <w:vAlign w:val="center"/>
          </w:tcPr>
          <w:p w14:paraId="3F57BA55" w14:textId="086AD99B" w:rsidR="0047442E" w:rsidRPr="00F27215" w:rsidRDefault="0047442E" w:rsidP="00D92407">
            <w:pPr>
              <w:ind w:hanging="38"/>
              <w:jc w:val="center"/>
              <w:rPr>
                <w:rFonts w:ascii="Arial" w:hAnsi="Arial" w:cs="Arial"/>
                <w:sz w:val="22"/>
                <w:szCs w:val="22"/>
              </w:rPr>
            </w:pPr>
            <w:r w:rsidRPr="00F27215">
              <w:rPr>
                <w:rFonts w:ascii="Arial" w:hAnsi="Arial" w:cs="Arial"/>
                <w:noProof/>
                <w:sz w:val="22"/>
                <w:szCs w:val="22"/>
                <w:lang w:val="en-US" w:eastAsia="lt-LT"/>
              </w:rPr>
              <w:t>Licencija 1 kalendoriniams metams</w:t>
            </w:r>
            <w:r w:rsidRPr="00F27215">
              <w:rPr>
                <w:rFonts w:ascii="Arial" w:hAnsi="Arial" w:cs="Arial"/>
                <w:noProof/>
                <w:sz w:val="22"/>
                <w:szCs w:val="22"/>
                <w:lang w:val="en-US"/>
              </w:rPr>
              <w:t xml:space="preserve">  - Oracle Database Standard Edition - Processor Perpetual 15398151 FULL USE</w:t>
            </w:r>
          </w:p>
        </w:tc>
        <w:tc>
          <w:tcPr>
            <w:tcW w:w="1898" w:type="dxa"/>
            <w:vAlign w:val="center"/>
          </w:tcPr>
          <w:p w14:paraId="23941996" w14:textId="04A02D5C" w:rsidR="0047442E" w:rsidRPr="00F27215" w:rsidRDefault="0047442E" w:rsidP="00D92407">
            <w:pPr>
              <w:ind w:hanging="16"/>
              <w:jc w:val="center"/>
              <w:rPr>
                <w:rFonts w:ascii="Arial" w:hAnsi="Arial" w:cs="Arial"/>
                <w:sz w:val="22"/>
                <w:szCs w:val="22"/>
              </w:rPr>
            </w:pPr>
            <w:r w:rsidRPr="00F27215">
              <w:rPr>
                <w:rFonts w:ascii="Arial" w:hAnsi="Arial" w:cs="Arial"/>
                <w:sz w:val="22"/>
                <w:szCs w:val="22"/>
              </w:rPr>
              <w:t>3</w:t>
            </w:r>
            <w:r w:rsidR="00D92407" w:rsidRPr="00F27215">
              <w:rPr>
                <w:rFonts w:ascii="Arial" w:hAnsi="Arial" w:cs="Arial"/>
                <w:sz w:val="22"/>
                <w:szCs w:val="22"/>
              </w:rPr>
              <w:t xml:space="preserve"> vnt.</w:t>
            </w:r>
          </w:p>
        </w:tc>
        <w:sdt>
          <w:sdtPr>
            <w:rPr>
              <w:rFonts w:ascii="Arial" w:hAnsi="Arial" w:cs="Arial"/>
              <w:sz w:val="22"/>
              <w:szCs w:val="22"/>
            </w:rPr>
            <w:id w:val="998306895"/>
            <w14:checkbox>
              <w14:checked w14:val="1"/>
              <w14:checkedState w14:val="2612" w14:font="MS Gothic"/>
              <w14:uncheckedState w14:val="2610" w14:font="MS Gothic"/>
            </w14:checkbox>
          </w:sdtPr>
          <w:sdtEndPr/>
          <w:sdtContent>
            <w:tc>
              <w:tcPr>
                <w:tcW w:w="1378" w:type="dxa"/>
                <w:tcBorders>
                  <w:right w:val="single" w:sz="4" w:space="0" w:color="auto"/>
                </w:tcBorders>
                <w:vAlign w:val="center"/>
              </w:tcPr>
              <w:p w14:paraId="03A646A5" w14:textId="2BA6AF23" w:rsidR="0047442E" w:rsidRPr="00F27215" w:rsidRDefault="0047442E" w:rsidP="00D92407">
                <w:pPr>
                  <w:jc w:val="center"/>
                  <w:rPr>
                    <w:rFonts w:ascii="Arial" w:hAnsi="Arial" w:cs="Arial"/>
                    <w:sz w:val="22"/>
                    <w:szCs w:val="22"/>
                  </w:rPr>
                </w:pPr>
                <w:r w:rsidRPr="00F27215">
                  <w:rPr>
                    <w:rFonts w:ascii="Segoe UI Symbol" w:eastAsia="MS Gothic" w:hAnsi="Segoe UI Symbol" w:cs="Segoe UI Symbol"/>
                    <w:sz w:val="22"/>
                    <w:szCs w:val="22"/>
                  </w:rPr>
                  <w:t>☒</w:t>
                </w:r>
              </w:p>
            </w:tc>
          </w:sdtContent>
        </w:sdt>
        <w:sdt>
          <w:sdtPr>
            <w:rPr>
              <w:rFonts w:ascii="Arial" w:hAnsi="Arial" w:cs="Arial"/>
              <w:sz w:val="22"/>
              <w:szCs w:val="22"/>
            </w:rPr>
            <w:id w:val="-408619063"/>
            <w14:checkbox>
              <w14:checked w14:val="0"/>
              <w14:checkedState w14:val="2612" w14:font="MS Gothic"/>
              <w14:uncheckedState w14:val="2610" w14:font="MS Gothic"/>
            </w14:checkbox>
          </w:sdtPr>
          <w:sdtEndPr/>
          <w:sdtContent>
            <w:tc>
              <w:tcPr>
                <w:tcW w:w="1329" w:type="dxa"/>
                <w:tcBorders>
                  <w:left w:val="single" w:sz="4" w:space="0" w:color="auto"/>
                </w:tcBorders>
                <w:vAlign w:val="center"/>
              </w:tcPr>
              <w:p w14:paraId="1CF0CF6E" w14:textId="3499A051" w:rsidR="0047442E" w:rsidRPr="00F27215" w:rsidRDefault="0047442E" w:rsidP="00D92407">
                <w:pPr>
                  <w:jc w:val="center"/>
                  <w:rPr>
                    <w:rFonts w:ascii="Arial" w:hAnsi="Arial" w:cs="Arial"/>
                    <w:sz w:val="22"/>
                    <w:szCs w:val="22"/>
                  </w:rPr>
                </w:pPr>
                <w:r w:rsidRPr="00F27215">
                  <w:rPr>
                    <w:rFonts w:ascii="Segoe UI Symbol" w:eastAsia="MS Gothic" w:hAnsi="Segoe UI Symbol" w:cs="Segoe UI Symbol"/>
                    <w:sz w:val="22"/>
                    <w:szCs w:val="22"/>
                  </w:rPr>
                  <w:t>☐</w:t>
                </w:r>
              </w:p>
            </w:tc>
          </w:sdtContent>
        </w:sdt>
        <w:tc>
          <w:tcPr>
            <w:tcW w:w="2173" w:type="dxa"/>
            <w:vAlign w:val="center"/>
          </w:tcPr>
          <w:p w14:paraId="5D527E3C" w14:textId="152FE488" w:rsidR="0047442E" w:rsidRPr="00F27215" w:rsidRDefault="0019041A" w:rsidP="00AF4E28">
            <w:pPr>
              <w:ind w:hanging="16"/>
              <w:jc w:val="center"/>
              <w:rPr>
                <w:rFonts w:ascii="Arial" w:hAnsi="Arial" w:cs="Arial"/>
                <w:i/>
                <w:iCs/>
                <w:sz w:val="22"/>
                <w:szCs w:val="22"/>
              </w:rPr>
            </w:pPr>
            <w:r w:rsidRPr="00F27215">
              <w:rPr>
                <w:rFonts w:ascii="Arial" w:hAnsi="Arial" w:cs="Arial"/>
                <w:i/>
                <w:iCs/>
                <w:sz w:val="22"/>
                <w:szCs w:val="22"/>
              </w:rPr>
              <w:t xml:space="preserve">3 </w:t>
            </w:r>
            <w:proofErr w:type="spellStart"/>
            <w:r w:rsidRPr="00F27215">
              <w:rPr>
                <w:rFonts w:ascii="Arial" w:hAnsi="Arial" w:cs="Arial"/>
                <w:i/>
                <w:iCs/>
                <w:sz w:val="22"/>
                <w:szCs w:val="22"/>
              </w:rPr>
              <w:t>k.d</w:t>
            </w:r>
            <w:proofErr w:type="spellEnd"/>
            <w:r w:rsidRPr="00F27215">
              <w:rPr>
                <w:rFonts w:ascii="Arial" w:hAnsi="Arial" w:cs="Arial"/>
                <w:i/>
                <w:iCs/>
                <w:sz w:val="22"/>
                <w:szCs w:val="22"/>
              </w:rPr>
              <w:t>.</w:t>
            </w:r>
          </w:p>
        </w:tc>
      </w:tr>
      <w:tr w:rsidR="00D92407" w:rsidRPr="000C263B" w14:paraId="58D3813F" w14:textId="77777777" w:rsidTr="00F27215">
        <w:trPr>
          <w:trHeight w:val="1265"/>
          <w:jc w:val="center"/>
        </w:trPr>
        <w:tc>
          <w:tcPr>
            <w:tcW w:w="936" w:type="dxa"/>
            <w:vAlign w:val="center"/>
          </w:tcPr>
          <w:p w14:paraId="71C44069" w14:textId="662CD16F" w:rsidR="00D92407" w:rsidRPr="00F27215" w:rsidRDefault="00D92407" w:rsidP="00F27215">
            <w:pPr>
              <w:ind w:firstLine="313"/>
              <w:jc w:val="center"/>
              <w:rPr>
                <w:rFonts w:ascii="Arial" w:hAnsi="Arial" w:cs="Arial"/>
                <w:sz w:val="22"/>
                <w:szCs w:val="22"/>
              </w:rPr>
            </w:pPr>
            <w:r w:rsidRPr="00F27215">
              <w:rPr>
                <w:rFonts w:ascii="Arial" w:hAnsi="Arial" w:cs="Arial"/>
                <w:sz w:val="22"/>
                <w:szCs w:val="22"/>
              </w:rPr>
              <w:lastRenderedPageBreak/>
              <w:t>2.</w:t>
            </w:r>
          </w:p>
        </w:tc>
        <w:tc>
          <w:tcPr>
            <w:tcW w:w="2140" w:type="dxa"/>
            <w:vAlign w:val="center"/>
          </w:tcPr>
          <w:p w14:paraId="10E7F3F5" w14:textId="2168DC72" w:rsidR="00D92407" w:rsidRPr="00F27215" w:rsidRDefault="00D92407" w:rsidP="00D92407">
            <w:pPr>
              <w:ind w:hanging="38"/>
              <w:jc w:val="center"/>
              <w:rPr>
                <w:rFonts w:ascii="Arial" w:hAnsi="Arial" w:cs="Arial"/>
                <w:sz w:val="22"/>
                <w:szCs w:val="22"/>
              </w:rPr>
            </w:pPr>
            <w:r w:rsidRPr="00F27215">
              <w:rPr>
                <w:rFonts w:ascii="Arial" w:hAnsi="Arial" w:cs="Arial"/>
                <w:noProof/>
                <w:sz w:val="22"/>
                <w:szCs w:val="22"/>
                <w:lang w:val="en-US" w:eastAsia="lt-LT"/>
              </w:rPr>
              <w:t>Licencija 1 kalendoriniams metams</w:t>
            </w:r>
            <w:r w:rsidRPr="00F27215">
              <w:rPr>
                <w:rFonts w:ascii="Arial" w:hAnsi="Arial" w:cs="Arial"/>
                <w:noProof/>
                <w:sz w:val="22"/>
                <w:szCs w:val="22"/>
                <w:lang w:val="en-US"/>
              </w:rPr>
              <w:t xml:space="preserve">  - Oracle Database Standard Edition - Processor Perpetual 15398151 FULL USE 3 vnt.</w:t>
            </w:r>
          </w:p>
        </w:tc>
        <w:tc>
          <w:tcPr>
            <w:tcW w:w="1898" w:type="dxa"/>
            <w:vAlign w:val="center"/>
          </w:tcPr>
          <w:p w14:paraId="2D86C291" w14:textId="466DAD1B" w:rsidR="00D92407" w:rsidRPr="00F27215" w:rsidRDefault="00D92407" w:rsidP="00D92407">
            <w:pPr>
              <w:ind w:hanging="16"/>
              <w:jc w:val="center"/>
              <w:rPr>
                <w:rFonts w:ascii="Arial" w:hAnsi="Arial" w:cs="Arial"/>
                <w:sz w:val="22"/>
                <w:szCs w:val="22"/>
              </w:rPr>
            </w:pPr>
            <w:r w:rsidRPr="00F27215">
              <w:rPr>
                <w:rFonts w:ascii="Arial" w:hAnsi="Arial" w:cs="Arial"/>
                <w:sz w:val="22"/>
                <w:szCs w:val="22"/>
              </w:rPr>
              <w:t>3 vnt.</w:t>
            </w:r>
          </w:p>
        </w:tc>
        <w:sdt>
          <w:sdtPr>
            <w:rPr>
              <w:rFonts w:ascii="Arial" w:hAnsi="Arial" w:cs="Arial"/>
              <w:sz w:val="22"/>
              <w:szCs w:val="22"/>
            </w:rPr>
            <w:id w:val="156269479"/>
            <w14:checkbox>
              <w14:checked w14:val="1"/>
              <w14:checkedState w14:val="2612" w14:font="MS Gothic"/>
              <w14:uncheckedState w14:val="2610" w14:font="MS Gothic"/>
            </w14:checkbox>
          </w:sdtPr>
          <w:sdtEndPr/>
          <w:sdtContent>
            <w:tc>
              <w:tcPr>
                <w:tcW w:w="1378" w:type="dxa"/>
                <w:tcBorders>
                  <w:right w:val="single" w:sz="4" w:space="0" w:color="auto"/>
                </w:tcBorders>
                <w:vAlign w:val="center"/>
              </w:tcPr>
              <w:p w14:paraId="25E2EFDF" w14:textId="0A8786F6" w:rsidR="00D92407" w:rsidRPr="00F27215" w:rsidRDefault="00D92407" w:rsidP="00D92407">
                <w:pPr>
                  <w:jc w:val="center"/>
                  <w:rPr>
                    <w:rFonts w:ascii="Arial" w:hAnsi="Arial" w:cs="Arial"/>
                    <w:sz w:val="22"/>
                    <w:szCs w:val="22"/>
                  </w:rPr>
                </w:pPr>
                <w:r w:rsidRPr="00F27215">
                  <w:rPr>
                    <w:rFonts w:ascii="Segoe UI Symbol" w:eastAsia="MS Gothic" w:hAnsi="Segoe UI Symbol" w:cs="Segoe UI Symbol"/>
                    <w:sz w:val="22"/>
                    <w:szCs w:val="22"/>
                  </w:rPr>
                  <w:t>☒</w:t>
                </w:r>
              </w:p>
            </w:tc>
          </w:sdtContent>
        </w:sdt>
        <w:sdt>
          <w:sdtPr>
            <w:rPr>
              <w:rFonts w:ascii="Arial" w:hAnsi="Arial" w:cs="Arial"/>
              <w:sz w:val="22"/>
              <w:szCs w:val="22"/>
            </w:rPr>
            <w:id w:val="413289577"/>
            <w14:checkbox>
              <w14:checked w14:val="0"/>
              <w14:checkedState w14:val="2612" w14:font="MS Gothic"/>
              <w14:uncheckedState w14:val="2610" w14:font="MS Gothic"/>
            </w14:checkbox>
          </w:sdtPr>
          <w:sdtEndPr/>
          <w:sdtContent>
            <w:tc>
              <w:tcPr>
                <w:tcW w:w="1329" w:type="dxa"/>
                <w:tcBorders>
                  <w:left w:val="single" w:sz="4" w:space="0" w:color="auto"/>
                </w:tcBorders>
                <w:vAlign w:val="center"/>
              </w:tcPr>
              <w:p w14:paraId="0E190486" w14:textId="54D591F1" w:rsidR="00D92407" w:rsidRPr="00F27215" w:rsidRDefault="00D92407" w:rsidP="00D92407">
                <w:pPr>
                  <w:jc w:val="center"/>
                  <w:rPr>
                    <w:rFonts w:ascii="Arial" w:hAnsi="Arial" w:cs="Arial"/>
                    <w:sz w:val="22"/>
                    <w:szCs w:val="22"/>
                  </w:rPr>
                </w:pPr>
                <w:r w:rsidRPr="00F27215">
                  <w:rPr>
                    <w:rFonts w:ascii="Segoe UI Symbol" w:eastAsia="MS Gothic" w:hAnsi="Segoe UI Symbol" w:cs="Segoe UI Symbol"/>
                    <w:sz w:val="22"/>
                    <w:szCs w:val="22"/>
                  </w:rPr>
                  <w:t>☐</w:t>
                </w:r>
              </w:p>
            </w:tc>
          </w:sdtContent>
        </w:sdt>
        <w:tc>
          <w:tcPr>
            <w:tcW w:w="2173" w:type="dxa"/>
            <w:vAlign w:val="center"/>
          </w:tcPr>
          <w:p w14:paraId="70CF393B" w14:textId="137B7072" w:rsidR="00D92407" w:rsidRPr="00F27215" w:rsidRDefault="00D92407" w:rsidP="00C26A34">
            <w:pPr>
              <w:ind w:hanging="16"/>
              <w:jc w:val="center"/>
              <w:rPr>
                <w:rFonts w:ascii="Arial" w:hAnsi="Arial" w:cs="Arial"/>
                <w:i/>
                <w:iCs/>
                <w:sz w:val="22"/>
                <w:szCs w:val="22"/>
              </w:rPr>
            </w:pPr>
            <w:r w:rsidRPr="00F27215">
              <w:rPr>
                <w:rFonts w:ascii="Arial" w:hAnsi="Arial" w:cs="Arial"/>
                <w:i/>
                <w:iCs/>
                <w:sz w:val="22"/>
                <w:szCs w:val="22"/>
              </w:rPr>
              <w:t xml:space="preserve">3 </w:t>
            </w:r>
            <w:proofErr w:type="spellStart"/>
            <w:r w:rsidRPr="00F27215">
              <w:rPr>
                <w:rFonts w:ascii="Arial" w:hAnsi="Arial" w:cs="Arial"/>
                <w:i/>
                <w:iCs/>
                <w:sz w:val="22"/>
                <w:szCs w:val="22"/>
              </w:rPr>
              <w:t>k.d</w:t>
            </w:r>
            <w:proofErr w:type="spellEnd"/>
            <w:r w:rsidRPr="00F27215">
              <w:rPr>
                <w:rFonts w:ascii="Arial" w:hAnsi="Arial" w:cs="Arial"/>
                <w:i/>
                <w:iCs/>
                <w:sz w:val="22"/>
                <w:szCs w:val="22"/>
              </w:rPr>
              <w:t>.</w:t>
            </w:r>
          </w:p>
        </w:tc>
      </w:tr>
      <w:tr w:rsidR="00D92407" w:rsidRPr="000C263B" w14:paraId="30095615" w14:textId="77777777" w:rsidTr="00F27215">
        <w:trPr>
          <w:trHeight w:val="1265"/>
          <w:jc w:val="center"/>
        </w:trPr>
        <w:tc>
          <w:tcPr>
            <w:tcW w:w="936" w:type="dxa"/>
            <w:vAlign w:val="center"/>
          </w:tcPr>
          <w:p w14:paraId="3AA355A7" w14:textId="1582CCDA" w:rsidR="00D92407" w:rsidRPr="00F27215" w:rsidRDefault="00D92407" w:rsidP="00F27215">
            <w:pPr>
              <w:ind w:firstLine="313"/>
              <w:jc w:val="center"/>
              <w:rPr>
                <w:rFonts w:ascii="Arial" w:hAnsi="Arial" w:cs="Arial"/>
                <w:sz w:val="22"/>
                <w:szCs w:val="22"/>
              </w:rPr>
            </w:pPr>
            <w:r w:rsidRPr="00F27215">
              <w:rPr>
                <w:rFonts w:ascii="Arial" w:hAnsi="Arial" w:cs="Arial"/>
                <w:sz w:val="22"/>
                <w:szCs w:val="22"/>
              </w:rPr>
              <w:t>3.</w:t>
            </w:r>
          </w:p>
        </w:tc>
        <w:tc>
          <w:tcPr>
            <w:tcW w:w="2140" w:type="dxa"/>
            <w:vAlign w:val="center"/>
          </w:tcPr>
          <w:p w14:paraId="2719AA81" w14:textId="4EDDBB68" w:rsidR="00D92407" w:rsidRPr="00F27215" w:rsidRDefault="00D92407" w:rsidP="00D92407">
            <w:pPr>
              <w:ind w:hanging="38"/>
              <w:jc w:val="center"/>
              <w:rPr>
                <w:rFonts w:ascii="Arial" w:hAnsi="Arial" w:cs="Arial"/>
                <w:sz w:val="22"/>
                <w:szCs w:val="22"/>
              </w:rPr>
            </w:pPr>
            <w:r w:rsidRPr="00F27215">
              <w:rPr>
                <w:rFonts w:ascii="Arial" w:hAnsi="Arial" w:cs="Arial"/>
                <w:noProof/>
                <w:sz w:val="22"/>
                <w:szCs w:val="22"/>
                <w:lang w:val="en-US" w:eastAsia="lt-LT"/>
              </w:rPr>
              <w:t>Licencija 1 kalendoriniams metams</w:t>
            </w:r>
            <w:r w:rsidRPr="00F27215">
              <w:rPr>
                <w:rFonts w:ascii="Arial" w:hAnsi="Arial" w:cs="Arial"/>
                <w:noProof/>
                <w:sz w:val="22"/>
                <w:szCs w:val="22"/>
                <w:lang w:val="en-US"/>
              </w:rPr>
              <w:t xml:space="preserve">  - Oracle Database Standard Edition One - Processor Perpetual 17747583 FULL USE</w:t>
            </w:r>
          </w:p>
        </w:tc>
        <w:tc>
          <w:tcPr>
            <w:tcW w:w="1898" w:type="dxa"/>
            <w:vAlign w:val="center"/>
          </w:tcPr>
          <w:p w14:paraId="1EAEF19B" w14:textId="4A3C568E" w:rsidR="00D92407" w:rsidRPr="00F27215" w:rsidRDefault="00D92407" w:rsidP="00D92407">
            <w:pPr>
              <w:ind w:hanging="16"/>
              <w:jc w:val="center"/>
              <w:rPr>
                <w:rFonts w:ascii="Arial" w:hAnsi="Arial" w:cs="Arial"/>
                <w:sz w:val="22"/>
                <w:szCs w:val="22"/>
              </w:rPr>
            </w:pPr>
            <w:r w:rsidRPr="00F27215">
              <w:rPr>
                <w:rFonts w:ascii="Arial" w:hAnsi="Arial" w:cs="Arial"/>
                <w:sz w:val="22"/>
                <w:szCs w:val="22"/>
              </w:rPr>
              <w:t>3 vnt.</w:t>
            </w:r>
          </w:p>
        </w:tc>
        <w:sdt>
          <w:sdtPr>
            <w:rPr>
              <w:rFonts w:ascii="Arial" w:hAnsi="Arial" w:cs="Arial"/>
              <w:sz w:val="22"/>
              <w:szCs w:val="22"/>
            </w:rPr>
            <w:id w:val="1083799229"/>
            <w14:checkbox>
              <w14:checked w14:val="1"/>
              <w14:checkedState w14:val="2612" w14:font="MS Gothic"/>
              <w14:uncheckedState w14:val="2610" w14:font="MS Gothic"/>
            </w14:checkbox>
          </w:sdtPr>
          <w:sdtEndPr/>
          <w:sdtContent>
            <w:tc>
              <w:tcPr>
                <w:tcW w:w="1378" w:type="dxa"/>
                <w:tcBorders>
                  <w:right w:val="single" w:sz="4" w:space="0" w:color="auto"/>
                </w:tcBorders>
                <w:vAlign w:val="center"/>
              </w:tcPr>
              <w:p w14:paraId="38777983" w14:textId="3FD399B3" w:rsidR="00D92407" w:rsidRPr="00F27215" w:rsidRDefault="00D92407" w:rsidP="00D92407">
                <w:pPr>
                  <w:jc w:val="center"/>
                  <w:rPr>
                    <w:rFonts w:ascii="Arial" w:hAnsi="Arial" w:cs="Arial"/>
                    <w:sz w:val="22"/>
                    <w:szCs w:val="22"/>
                  </w:rPr>
                </w:pPr>
                <w:r w:rsidRPr="00F27215">
                  <w:rPr>
                    <w:rFonts w:ascii="Segoe UI Symbol" w:eastAsia="MS Gothic" w:hAnsi="Segoe UI Symbol" w:cs="Segoe UI Symbol"/>
                    <w:sz w:val="22"/>
                    <w:szCs w:val="22"/>
                  </w:rPr>
                  <w:t>☒</w:t>
                </w:r>
              </w:p>
            </w:tc>
          </w:sdtContent>
        </w:sdt>
        <w:sdt>
          <w:sdtPr>
            <w:rPr>
              <w:rFonts w:ascii="Arial" w:hAnsi="Arial" w:cs="Arial"/>
              <w:sz w:val="22"/>
              <w:szCs w:val="22"/>
            </w:rPr>
            <w:id w:val="1735963447"/>
            <w14:checkbox>
              <w14:checked w14:val="0"/>
              <w14:checkedState w14:val="2612" w14:font="MS Gothic"/>
              <w14:uncheckedState w14:val="2610" w14:font="MS Gothic"/>
            </w14:checkbox>
          </w:sdtPr>
          <w:sdtEndPr/>
          <w:sdtContent>
            <w:tc>
              <w:tcPr>
                <w:tcW w:w="1329" w:type="dxa"/>
                <w:tcBorders>
                  <w:left w:val="single" w:sz="4" w:space="0" w:color="auto"/>
                </w:tcBorders>
                <w:vAlign w:val="center"/>
              </w:tcPr>
              <w:p w14:paraId="5A7D64E3" w14:textId="5602749F" w:rsidR="00D92407" w:rsidRPr="00F27215" w:rsidRDefault="00D92407" w:rsidP="00D92407">
                <w:pPr>
                  <w:jc w:val="center"/>
                  <w:rPr>
                    <w:rFonts w:ascii="Arial" w:hAnsi="Arial" w:cs="Arial"/>
                    <w:sz w:val="22"/>
                    <w:szCs w:val="22"/>
                  </w:rPr>
                </w:pPr>
                <w:r w:rsidRPr="00F27215">
                  <w:rPr>
                    <w:rFonts w:ascii="Segoe UI Symbol" w:eastAsia="MS Gothic" w:hAnsi="Segoe UI Symbol" w:cs="Segoe UI Symbol"/>
                    <w:sz w:val="22"/>
                    <w:szCs w:val="22"/>
                  </w:rPr>
                  <w:t>☐</w:t>
                </w:r>
              </w:p>
            </w:tc>
          </w:sdtContent>
        </w:sdt>
        <w:tc>
          <w:tcPr>
            <w:tcW w:w="2173" w:type="dxa"/>
            <w:vAlign w:val="center"/>
          </w:tcPr>
          <w:p w14:paraId="1794518D" w14:textId="6D88FBF3" w:rsidR="00D92407" w:rsidRPr="00F27215" w:rsidRDefault="00D92407" w:rsidP="00C26A34">
            <w:pPr>
              <w:ind w:hanging="16"/>
              <w:jc w:val="center"/>
              <w:rPr>
                <w:rFonts w:ascii="Arial" w:hAnsi="Arial" w:cs="Arial"/>
                <w:i/>
                <w:iCs/>
                <w:sz w:val="22"/>
                <w:szCs w:val="22"/>
              </w:rPr>
            </w:pPr>
            <w:r w:rsidRPr="00F27215">
              <w:rPr>
                <w:rFonts w:ascii="Arial" w:hAnsi="Arial" w:cs="Arial"/>
                <w:i/>
                <w:iCs/>
                <w:sz w:val="22"/>
                <w:szCs w:val="22"/>
              </w:rPr>
              <w:t xml:space="preserve">3 </w:t>
            </w:r>
            <w:proofErr w:type="spellStart"/>
            <w:r w:rsidRPr="00F27215">
              <w:rPr>
                <w:rFonts w:ascii="Arial" w:hAnsi="Arial" w:cs="Arial"/>
                <w:i/>
                <w:iCs/>
                <w:sz w:val="22"/>
                <w:szCs w:val="22"/>
              </w:rPr>
              <w:t>k.d</w:t>
            </w:r>
            <w:proofErr w:type="spellEnd"/>
            <w:r w:rsidRPr="00F27215">
              <w:rPr>
                <w:rFonts w:ascii="Arial" w:hAnsi="Arial" w:cs="Arial"/>
                <w:i/>
                <w:iCs/>
                <w:sz w:val="22"/>
                <w:szCs w:val="22"/>
              </w:rPr>
              <w:t>.</w:t>
            </w:r>
          </w:p>
        </w:tc>
      </w:tr>
      <w:tr w:rsidR="00D92407" w:rsidRPr="000C263B" w14:paraId="27FB63C3" w14:textId="77777777" w:rsidTr="00F27215">
        <w:trPr>
          <w:trHeight w:val="1265"/>
          <w:jc w:val="center"/>
        </w:trPr>
        <w:tc>
          <w:tcPr>
            <w:tcW w:w="936" w:type="dxa"/>
            <w:vAlign w:val="center"/>
          </w:tcPr>
          <w:p w14:paraId="7B143E06" w14:textId="61A42A78" w:rsidR="00D92407" w:rsidRPr="00F27215" w:rsidRDefault="00D92407" w:rsidP="00F27215">
            <w:pPr>
              <w:ind w:firstLine="313"/>
              <w:jc w:val="center"/>
              <w:rPr>
                <w:rFonts w:ascii="Arial" w:hAnsi="Arial" w:cs="Arial"/>
                <w:sz w:val="22"/>
                <w:szCs w:val="22"/>
              </w:rPr>
            </w:pPr>
            <w:r w:rsidRPr="00F27215">
              <w:rPr>
                <w:rFonts w:ascii="Arial" w:hAnsi="Arial" w:cs="Arial"/>
                <w:sz w:val="22"/>
                <w:szCs w:val="22"/>
              </w:rPr>
              <w:t>4.</w:t>
            </w:r>
          </w:p>
        </w:tc>
        <w:tc>
          <w:tcPr>
            <w:tcW w:w="2140" w:type="dxa"/>
            <w:vAlign w:val="center"/>
          </w:tcPr>
          <w:p w14:paraId="529C6B8F" w14:textId="3B369B81" w:rsidR="00D92407" w:rsidRPr="00F27215" w:rsidRDefault="00D92407" w:rsidP="00D92407">
            <w:pPr>
              <w:ind w:hanging="38"/>
              <w:jc w:val="center"/>
              <w:rPr>
                <w:rFonts w:ascii="Arial" w:hAnsi="Arial" w:cs="Arial"/>
                <w:sz w:val="22"/>
                <w:szCs w:val="22"/>
              </w:rPr>
            </w:pPr>
            <w:r w:rsidRPr="00F27215">
              <w:rPr>
                <w:rFonts w:ascii="Arial" w:hAnsi="Arial" w:cs="Arial"/>
                <w:noProof/>
                <w:sz w:val="22"/>
                <w:szCs w:val="22"/>
                <w:lang w:val="en-US" w:eastAsia="lt-LT"/>
              </w:rPr>
              <w:t>Licencija 1 kalendoriniams metams</w:t>
            </w:r>
            <w:r w:rsidRPr="00F27215">
              <w:rPr>
                <w:rFonts w:ascii="Arial" w:hAnsi="Arial" w:cs="Arial"/>
                <w:noProof/>
                <w:sz w:val="22"/>
                <w:szCs w:val="22"/>
                <w:lang w:val="en-US"/>
              </w:rPr>
              <w:t xml:space="preserve">  - Oracle Database Standard Edition - Processor Perpetual 19157370 FULL USE</w:t>
            </w:r>
          </w:p>
        </w:tc>
        <w:tc>
          <w:tcPr>
            <w:tcW w:w="1898" w:type="dxa"/>
            <w:vAlign w:val="center"/>
          </w:tcPr>
          <w:p w14:paraId="55D71EB2" w14:textId="052CF6F3" w:rsidR="00D92407" w:rsidRPr="00F27215" w:rsidRDefault="00D92407" w:rsidP="00D92407">
            <w:pPr>
              <w:ind w:hanging="16"/>
              <w:jc w:val="center"/>
              <w:rPr>
                <w:rFonts w:ascii="Arial" w:hAnsi="Arial" w:cs="Arial"/>
                <w:sz w:val="22"/>
                <w:szCs w:val="22"/>
              </w:rPr>
            </w:pPr>
            <w:r w:rsidRPr="00F27215">
              <w:rPr>
                <w:rFonts w:ascii="Arial" w:hAnsi="Arial" w:cs="Arial"/>
                <w:sz w:val="22"/>
                <w:szCs w:val="22"/>
              </w:rPr>
              <w:t>3 vnt.</w:t>
            </w:r>
          </w:p>
        </w:tc>
        <w:sdt>
          <w:sdtPr>
            <w:rPr>
              <w:rFonts w:ascii="Arial" w:hAnsi="Arial" w:cs="Arial"/>
              <w:sz w:val="22"/>
              <w:szCs w:val="22"/>
            </w:rPr>
            <w:id w:val="1853986908"/>
            <w14:checkbox>
              <w14:checked w14:val="1"/>
              <w14:checkedState w14:val="2612" w14:font="MS Gothic"/>
              <w14:uncheckedState w14:val="2610" w14:font="MS Gothic"/>
            </w14:checkbox>
          </w:sdtPr>
          <w:sdtEndPr/>
          <w:sdtContent>
            <w:tc>
              <w:tcPr>
                <w:tcW w:w="1378" w:type="dxa"/>
                <w:tcBorders>
                  <w:right w:val="single" w:sz="4" w:space="0" w:color="auto"/>
                </w:tcBorders>
                <w:vAlign w:val="center"/>
              </w:tcPr>
              <w:p w14:paraId="38C17306" w14:textId="37705FED" w:rsidR="00D92407" w:rsidRPr="00F27215" w:rsidRDefault="00D92407" w:rsidP="00D92407">
                <w:pPr>
                  <w:jc w:val="center"/>
                  <w:rPr>
                    <w:rFonts w:ascii="Arial" w:hAnsi="Arial" w:cs="Arial"/>
                    <w:sz w:val="22"/>
                    <w:szCs w:val="22"/>
                  </w:rPr>
                </w:pPr>
                <w:r w:rsidRPr="00F27215">
                  <w:rPr>
                    <w:rFonts w:ascii="Segoe UI Symbol" w:eastAsia="MS Gothic" w:hAnsi="Segoe UI Symbol" w:cs="Segoe UI Symbol"/>
                    <w:sz w:val="22"/>
                    <w:szCs w:val="22"/>
                  </w:rPr>
                  <w:t>☒</w:t>
                </w:r>
              </w:p>
            </w:tc>
          </w:sdtContent>
        </w:sdt>
        <w:sdt>
          <w:sdtPr>
            <w:rPr>
              <w:rFonts w:ascii="Arial" w:hAnsi="Arial" w:cs="Arial"/>
              <w:sz w:val="22"/>
              <w:szCs w:val="22"/>
            </w:rPr>
            <w:id w:val="-633859431"/>
            <w14:checkbox>
              <w14:checked w14:val="0"/>
              <w14:checkedState w14:val="2612" w14:font="MS Gothic"/>
              <w14:uncheckedState w14:val="2610" w14:font="MS Gothic"/>
            </w14:checkbox>
          </w:sdtPr>
          <w:sdtEndPr/>
          <w:sdtContent>
            <w:tc>
              <w:tcPr>
                <w:tcW w:w="1329" w:type="dxa"/>
                <w:tcBorders>
                  <w:left w:val="single" w:sz="4" w:space="0" w:color="auto"/>
                </w:tcBorders>
                <w:vAlign w:val="center"/>
              </w:tcPr>
              <w:p w14:paraId="70667748" w14:textId="6430CFF8" w:rsidR="00D92407" w:rsidRPr="00F27215" w:rsidRDefault="00D92407" w:rsidP="00D92407">
                <w:pPr>
                  <w:jc w:val="center"/>
                  <w:rPr>
                    <w:rFonts w:ascii="Arial" w:hAnsi="Arial" w:cs="Arial"/>
                    <w:sz w:val="22"/>
                    <w:szCs w:val="22"/>
                  </w:rPr>
                </w:pPr>
                <w:r w:rsidRPr="00F27215">
                  <w:rPr>
                    <w:rFonts w:ascii="Segoe UI Symbol" w:eastAsia="MS Gothic" w:hAnsi="Segoe UI Symbol" w:cs="Segoe UI Symbol"/>
                    <w:sz w:val="22"/>
                    <w:szCs w:val="22"/>
                  </w:rPr>
                  <w:t>☐</w:t>
                </w:r>
              </w:p>
            </w:tc>
          </w:sdtContent>
        </w:sdt>
        <w:tc>
          <w:tcPr>
            <w:tcW w:w="2173" w:type="dxa"/>
            <w:vAlign w:val="center"/>
          </w:tcPr>
          <w:p w14:paraId="25FAF7A6" w14:textId="04431D17" w:rsidR="00D92407" w:rsidRPr="00F27215" w:rsidRDefault="00D92407" w:rsidP="00C26A34">
            <w:pPr>
              <w:ind w:hanging="16"/>
              <w:jc w:val="center"/>
              <w:rPr>
                <w:rFonts w:ascii="Arial" w:hAnsi="Arial" w:cs="Arial"/>
                <w:i/>
                <w:iCs/>
                <w:sz w:val="22"/>
                <w:szCs w:val="22"/>
              </w:rPr>
            </w:pPr>
            <w:r w:rsidRPr="00F27215">
              <w:rPr>
                <w:rFonts w:ascii="Arial" w:hAnsi="Arial" w:cs="Arial"/>
                <w:i/>
                <w:iCs/>
                <w:sz w:val="22"/>
                <w:szCs w:val="22"/>
              </w:rPr>
              <w:t xml:space="preserve">3 </w:t>
            </w:r>
            <w:proofErr w:type="spellStart"/>
            <w:r w:rsidRPr="00F27215">
              <w:rPr>
                <w:rFonts w:ascii="Arial" w:hAnsi="Arial" w:cs="Arial"/>
                <w:i/>
                <w:iCs/>
                <w:sz w:val="22"/>
                <w:szCs w:val="22"/>
              </w:rPr>
              <w:t>k.d</w:t>
            </w:r>
            <w:proofErr w:type="spellEnd"/>
            <w:r w:rsidRPr="00F27215">
              <w:rPr>
                <w:rFonts w:ascii="Arial" w:hAnsi="Arial" w:cs="Arial"/>
                <w:i/>
                <w:iCs/>
                <w:sz w:val="22"/>
                <w:szCs w:val="22"/>
              </w:rPr>
              <w:t>.</w:t>
            </w:r>
          </w:p>
        </w:tc>
      </w:tr>
      <w:tr w:rsidR="00D92407" w:rsidRPr="000C263B" w14:paraId="4E9BC6DC" w14:textId="77777777" w:rsidTr="00F27215">
        <w:trPr>
          <w:trHeight w:val="1265"/>
          <w:jc w:val="center"/>
        </w:trPr>
        <w:tc>
          <w:tcPr>
            <w:tcW w:w="936" w:type="dxa"/>
            <w:vAlign w:val="center"/>
          </w:tcPr>
          <w:p w14:paraId="5F5BC162" w14:textId="3FAFC2A3" w:rsidR="00D92407" w:rsidRPr="00F27215" w:rsidRDefault="00D92407" w:rsidP="00F27215">
            <w:pPr>
              <w:ind w:firstLine="313"/>
              <w:jc w:val="center"/>
              <w:rPr>
                <w:rFonts w:ascii="Arial" w:hAnsi="Arial" w:cs="Arial"/>
                <w:sz w:val="22"/>
                <w:szCs w:val="22"/>
              </w:rPr>
            </w:pPr>
            <w:r w:rsidRPr="00F27215">
              <w:rPr>
                <w:rFonts w:ascii="Arial" w:hAnsi="Arial" w:cs="Arial"/>
                <w:sz w:val="22"/>
                <w:szCs w:val="22"/>
              </w:rPr>
              <w:t>5.</w:t>
            </w:r>
          </w:p>
        </w:tc>
        <w:tc>
          <w:tcPr>
            <w:tcW w:w="2140" w:type="dxa"/>
            <w:vAlign w:val="center"/>
          </w:tcPr>
          <w:p w14:paraId="5E16BBDE" w14:textId="1DBFBF3E" w:rsidR="00D92407" w:rsidRPr="00F27215" w:rsidRDefault="00D92407" w:rsidP="00D92407">
            <w:pPr>
              <w:ind w:hanging="38"/>
              <w:jc w:val="center"/>
              <w:rPr>
                <w:rFonts w:ascii="Arial" w:hAnsi="Arial" w:cs="Arial"/>
                <w:sz w:val="22"/>
                <w:szCs w:val="22"/>
              </w:rPr>
            </w:pPr>
            <w:r w:rsidRPr="00F27215">
              <w:rPr>
                <w:rFonts w:ascii="Arial" w:hAnsi="Arial" w:cs="Arial"/>
                <w:noProof/>
                <w:sz w:val="22"/>
                <w:szCs w:val="22"/>
                <w:lang w:val="en-US" w:eastAsia="lt-LT"/>
              </w:rPr>
              <w:t>Licencija 1 kalendoriniams metams</w:t>
            </w:r>
            <w:r w:rsidRPr="00F27215">
              <w:rPr>
                <w:rFonts w:ascii="Arial" w:hAnsi="Arial" w:cs="Arial"/>
                <w:noProof/>
                <w:sz w:val="22"/>
                <w:szCs w:val="22"/>
                <w:lang w:val="en-US"/>
              </w:rPr>
              <w:t xml:space="preserve">  - Oracle Database Standard Edition - Processor Perpetual 19159815 FULL USE</w:t>
            </w:r>
          </w:p>
        </w:tc>
        <w:tc>
          <w:tcPr>
            <w:tcW w:w="1898" w:type="dxa"/>
            <w:vAlign w:val="center"/>
          </w:tcPr>
          <w:p w14:paraId="293229BD" w14:textId="0F718CDC" w:rsidR="00D92407" w:rsidRPr="00F27215" w:rsidRDefault="00D92407" w:rsidP="00D92407">
            <w:pPr>
              <w:ind w:hanging="16"/>
              <w:jc w:val="center"/>
              <w:rPr>
                <w:rFonts w:ascii="Arial" w:hAnsi="Arial" w:cs="Arial"/>
                <w:sz w:val="22"/>
                <w:szCs w:val="22"/>
              </w:rPr>
            </w:pPr>
            <w:r w:rsidRPr="00F27215">
              <w:rPr>
                <w:rFonts w:ascii="Arial" w:hAnsi="Arial" w:cs="Arial"/>
                <w:sz w:val="22"/>
                <w:szCs w:val="22"/>
              </w:rPr>
              <w:t>3 vnt.</w:t>
            </w:r>
          </w:p>
        </w:tc>
        <w:sdt>
          <w:sdtPr>
            <w:rPr>
              <w:rFonts w:ascii="Arial" w:hAnsi="Arial" w:cs="Arial"/>
              <w:sz w:val="22"/>
              <w:szCs w:val="22"/>
            </w:rPr>
            <w:id w:val="2135827486"/>
            <w14:checkbox>
              <w14:checked w14:val="1"/>
              <w14:checkedState w14:val="2612" w14:font="MS Gothic"/>
              <w14:uncheckedState w14:val="2610" w14:font="MS Gothic"/>
            </w14:checkbox>
          </w:sdtPr>
          <w:sdtEndPr/>
          <w:sdtContent>
            <w:tc>
              <w:tcPr>
                <w:tcW w:w="1378" w:type="dxa"/>
                <w:tcBorders>
                  <w:right w:val="single" w:sz="4" w:space="0" w:color="auto"/>
                </w:tcBorders>
                <w:vAlign w:val="center"/>
              </w:tcPr>
              <w:p w14:paraId="0477F555" w14:textId="6A2455C7" w:rsidR="00D92407" w:rsidRPr="00F27215" w:rsidRDefault="00D92407" w:rsidP="00D92407">
                <w:pPr>
                  <w:jc w:val="center"/>
                  <w:rPr>
                    <w:rFonts w:ascii="Arial" w:hAnsi="Arial" w:cs="Arial"/>
                    <w:sz w:val="22"/>
                    <w:szCs w:val="22"/>
                  </w:rPr>
                </w:pPr>
                <w:r w:rsidRPr="00F27215">
                  <w:rPr>
                    <w:rFonts w:ascii="Segoe UI Symbol" w:eastAsia="MS Gothic" w:hAnsi="Segoe UI Symbol" w:cs="Segoe UI Symbol"/>
                    <w:sz w:val="22"/>
                    <w:szCs w:val="22"/>
                  </w:rPr>
                  <w:t>☒</w:t>
                </w:r>
              </w:p>
            </w:tc>
          </w:sdtContent>
        </w:sdt>
        <w:sdt>
          <w:sdtPr>
            <w:rPr>
              <w:rFonts w:ascii="Arial" w:hAnsi="Arial" w:cs="Arial"/>
              <w:sz w:val="22"/>
              <w:szCs w:val="22"/>
            </w:rPr>
            <w:id w:val="502777953"/>
            <w14:checkbox>
              <w14:checked w14:val="0"/>
              <w14:checkedState w14:val="2612" w14:font="MS Gothic"/>
              <w14:uncheckedState w14:val="2610" w14:font="MS Gothic"/>
            </w14:checkbox>
          </w:sdtPr>
          <w:sdtEndPr/>
          <w:sdtContent>
            <w:tc>
              <w:tcPr>
                <w:tcW w:w="1329" w:type="dxa"/>
                <w:tcBorders>
                  <w:left w:val="single" w:sz="4" w:space="0" w:color="auto"/>
                </w:tcBorders>
                <w:vAlign w:val="center"/>
              </w:tcPr>
              <w:p w14:paraId="090B5DCD" w14:textId="4AB43EB2" w:rsidR="00D92407" w:rsidRPr="00F27215" w:rsidRDefault="00D92407" w:rsidP="00D92407">
                <w:pPr>
                  <w:jc w:val="center"/>
                  <w:rPr>
                    <w:rFonts w:ascii="Arial" w:hAnsi="Arial" w:cs="Arial"/>
                    <w:sz w:val="22"/>
                    <w:szCs w:val="22"/>
                  </w:rPr>
                </w:pPr>
                <w:r w:rsidRPr="00F27215">
                  <w:rPr>
                    <w:rFonts w:ascii="Segoe UI Symbol" w:eastAsia="MS Gothic" w:hAnsi="Segoe UI Symbol" w:cs="Segoe UI Symbol"/>
                    <w:sz w:val="22"/>
                    <w:szCs w:val="22"/>
                  </w:rPr>
                  <w:t>☐</w:t>
                </w:r>
              </w:p>
            </w:tc>
          </w:sdtContent>
        </w:sdt>
        <w:tc>
          <w:tcPr>
            <w:tcW w:w="2173" w:type="dxa"/>
            <w:vAlign w:val="center"/>
          </w:tcPr>
          <w:p w14:paraId="141A437D" w14:textId="057678B6" w:rsidR="00D92407" w:rsidRPr="00F27215" w:rsidRDefault="00D92407" w:rsidP="00C26A34">
            <w:pPr>
              <w:ind w:hanging="16"/>
              <w:jc w:val="center"/>
              <w:rPr>
                <w:rFonts w:ascii="Arial" w:hAnsi="Arial" w:cs="Arial"/>
                <w:i/>
                <w:iCs/>
                <w:sz w:val="22"/>
                <w:szCs w:val="22"/>
              </w:rPr>
            </w:pPr>
            <w:r w:rsidRPr="00F27215">
              <w:rPr>
                <w:rFonts w:ascii="Arial" w:hAnsi="Arial" w:cs="Arial"/>
                <w:i/>
                <w:iCs/>
                <w:sz w:val="22"/>
                <w:szCs w:val="22"/>
              </w:rPr>
              <w:t xml:space="preserve">3 </w:t>
            </w:r>
            <w:proofErr w:type="spellStart"/>
            <w:r w:rsidRPr="00F27215">
              <w:rPr>
                <w:rFonts w:ascii="Arial" w:hAnsi="Arial" w:cs="Arial"/>
                <w:i/>
                <w:iCs/>
                <w:sz w:val="22"/>
                <w:szCs w:val="22"/>
              </w:rPr>
              <w:t>k.d</w:t>
            </w:r>
            <w:proofErr w:type="spellEnd"/>
            <w:r w:rsidRPr="00F27215">
              <w:rPr>
                <w:rFonts w:ascii="Arial" w:hAnsi="Arial" w:cs="Arial"/>
                <w:i/>
                <w:iCs/>
                <w:sz w:val="22"/>
                <w:szCs w:val="22"/>
              </w:rPr>
              <w:t>.</w:t>
            </w:r>
          </w:p>
        </w:tc>
      </w:tr>
    </w:tbl>
    <w:p w14:paraId="69B8FEFB" w14:textId="77777777" w:rsidR="004A0C48" w:rsidRPr="000C263B" w:rsidRDefault="004A0C48" w:rsidP="004A0C48">
      <w:pPr>
        <w:spacing w:after="0" w:line="240" w:lineRule="auto"/>
        <w:ind w:firstLine="851"/>
        <w:jc w:val="both"/>
        <w:rPr>
          <w:rFonts w:ascii="Arial" w:hAnsi="Arial" w:cs="Arial"/>
        </w:rPr>
      </w:pPr>
    </w:p>
    <w:p w14:paraId="1CF4EFEB" w14:textId="73CD90CD" w:rsidR="00020CA8" w:rsidRPr="000C263B" w:rsidRDefault="00AF4E28" w:rsidP="00020CA8">
      <w:pPr>
        <w:pStyle w:val="ListParagraph"/>
        <w:numPr>
          <w:ilvl w:val="1"/>
          <w:numId w:val="11"/>
        </w:numPr>
        <w:tabs>
          <w:tab w:val="left" w:pos="426"/>
        </w:tabs>
        <w:spacing w:after="0" w:line="240" w:lineRule="auto"/>
        <w:ind w:left="0" w:firstLine="0"/>
        <w:jc w:val="both"/>
        <w:rPr>
          <w:rFonts w:ascii="Arial" w:hAnsi="Arial" w:cs="Arial"/>
          <w:color w:val="00B0F0"/>
        </w:rPr>
      </w:pPr>
      <w:r w:rsidRPr="00F27215">
        <w:rPr>
          <w:rFonts w:ascii="Arial" w:hAnsi="Arial" w:cs="Arial"/>
        </w:rPr>
        <w:t>Aukščiau esančioje lentelėje nurodytas prekių kiekis yra maksimalus. Pirkėjas neįsipareigoja nupirkti nurodyto maksimalaus prekių kiekio</w:t>
      </w:r>
    </w:p>
    <w:p w14:paraId="7E91CBC5" w14:textId="77777777" w:rsidR="00020CA8" w:rsidRPr="000C263B" w:rsidRDefault="00020CA8" w:rsidP="00020CA8">
      <w:pPr>
        <w:spacing w:after="0" w:line="240" w:lineRule="auto"/>
        <w:jc w:val="both"/>
        <w:rPr>
          <w:rFonts w:ascii="Arial" w:hAnsi="Arial" w:cs="Arial"/>
        </w:rPr>
      </w:pPr>
      <w:r w:rsidRPr="000C263B">
        <w:rPr>
          <w:rFonts w:ascii="Arial" w:hAnsi="Arial" w:cs="Arial"/>
        </w:rPr>
        <w:t>2.6. Užsakymų teikimo tvarka:</w:t>
      </w:r>
    </w:p>
    <w:p w14:paraId="3A4345AB" w14:textId="77777777" w:rsidR="00020CA8" w:rsidRPr="000C263B" w:rsidRDefault="00020CA8" w:rsidP="00020CA8">
      <w:pPr>
        <w:spacing w:after="0" w:line="240" w:lineRule="auto"/>
        <w:jc w:val="both"/>
        <w:rPr>
          <w:rFonts w:ascii="Arial" w:hAnsi="Arial" w:cs="Arial"/>
        </w:rPr>
      </w:pPr>
      <w:r w:rsidRPr="000C263B">
        <w:rPr>
          <w:rFonts w:ascii="Arial" w:hAnsi="Arial" w:cs="Arial"/>
        </w:rPr>
        <w:t>2.6.1. Sutarties galiojimo laikotarpiu prekių pristatymui teikiami užsakymai pagal Pirkėjo poreikį.</w:t>
      </w:r>
    </w:p>
    <w:p w14:paraId="63C1A391" w14:textId="5CC59D9E" w:rsidR="004A0C48" w:rsidRPr="000C263B"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C263B">
        <w:rPr>
          <w:rFonts w:ascii="Arial" w:eastAsia="Calibri" w:hAnsi="Arial" w:cs="Arial"/>
          <w:b/>
        </w:rPr>
        <w:t>REIKALAVIMAI PREKĖMS</w:t>
      </w:r>
    </w:p>
    <w:p w14:paraId="16ACE7EA" w14:textId="0E6B8CF9" w:rsidR="00C344D3" w:rsidRDefault="002D5BBD" w:rsidP="002D5BBD">
      <w:pPr>
        <w:spacing w:after="0" w:line="240" w:lineRule="auto"/>
        <w:jc w:val="both"/>
        <w:rPr>
          <w:rFonts w:ascii="Arial" w:eastAsia="Calibri" w:hAnsi="Arial" w:cs="Arial"/>
        </w:rPr>
      </w:pPr>
      <w:r w:rsidRPr="000C263B">
        <w:rPr>
          <w:rFonts w:ascii="Arial" w:eastAsia="Calibri" w:hAnsi="Arial" w:cs="Arial"/>
        </w:rPr>
        <w:t>3.1. Jei pirkimo dokumentuose naudojami konkretūs modeliai ar šaltiniai, konkretūs procesai ar prekės ženklai, patentai, tipai, konkreti kilmė ar gamyba</w:t>
      </w:r>
      <w:r w:rsidR="00FB23F4">
        <w:rPr>
          <w:rFonts w:ascii="Arial" w:eastAsia="Calibri" w:hAnsi="Arial" w:cs="Arial"/>
        </w:rPr>
        <w:t>, standartai</w:t>
      </w:r>
      <w:r w:rsidRPr="000C263B">
        <w:rPr>
          <w:rFonts w:ascii="Arial" w:eastAsia="Calibri" w:hAnsi="Arial" w:cs="Arial"/>
        </w:rPr>
        <w:t xml:space="preserve"> ir pan., jie gali būti pakeisti lygiaverčiais</w:t>
      </w:r>
      <w:r w:rsidR="00455D3D" w:rsidRPr="000C263B">
        <w:rPr>
          <w:rStyle w:val="FootnoteReference"/>
          <w:rFonts w:ascii="Arial" w:eastAsia="Calibri" w:hAnsi="Arial" w:cs="Arial"/>
        </w:rPr>
        <w:footnoteReference w:id="3"/>
      </w:r>
      <w:r w:rsidR="00586AEC">
        <w:rPr>
          <w:rFonts w:ascii="Arial" w:eastAsia="Calibri" w:hAnsi="Arial" w:cs="Arial"/>
        </w:rPr>
        <w:t xml:space="preserve">. </w:t>
      </w:r>
      <w:r w:rsidR="00553E30" w:rsidRPr="008025E2">
        <w:rPr>
          <w:rFonts w:ascii="Arial" w:eastAsia="Calibri" w:hAnsi="Arial" w:cs="Arial"/>
        </w:rPr>
        <w:t>Lygiavertiškumo įrodymas yra Tiekėjo pareiga, o lygiavertiškumo dokumentai privalo būti pateikti kartu su pateikiamu pasiūlymu.</w:t>
      </w:r>
    </w:p>
    <w:p w14:paraId="1F8067A3" w14:textId="5E026BA3" w:rsidR="002B5E89" w:rsidRDefault="002B5E89" w:rsidP="002D5BBD">
      <w:pPr>
        <w:spacing w:after="0" w:line="240" w:lineRule="auto"/>
        <w:jc w:val="both"/>
        <w:rPr>
          <w:rFonts w:ascii="Arial" w:eastAsia="Calibri" w:hAnsi="Arial" w:cs="Arial"/>
        </w:rPr>
      </w:pPr>
      <w:r w:rsidRPr="008025E2">
        <w:rPr>
          <w:rFonts w:ascii="Arial" w:eastAsia="Calibri" w:hAnsi="Arial" w:cs="Arial"/>
        </w:rPr>
        <w:t>3.2. Techninėje specifikacijoje yra išdėstyti minimalūs reikalavimai prekėms. Kiekviena prekė turi atitikti minimalius kokybės ir techninius reikalavimus arba juos viršyti.</w:t>
      </w:r>
    </w:p>
    <w:p w14:paraId="48CD92D8" w14:textId="56678D90" w:rsidR="00AA7BDD" w:rsidRPr="000C263B" w:rsidRDefault="00AA7BDD" w:rsidP="002D5BBD">
      <w:pPr>
        <w:spacing w:after="0" w:line="240" w:lineRule="auto"/>
        <w:jc w:val="both"/>
        <w:rPr>
          <w:rFonts w:ascii="Arial" w:eastAsia="Calibri" w:hAnsi="Arial" w:cs="Arial"/>
        </w:rPr>
      </w:pPr>
      <w:r>
        <w:rPr>
          <w:rFonts w:ascii="Arial" w:eastAsia="Calibri" w:hAnsi="Arial" w:cs="Arial"/>
        </w:rPr>
        <w:t xml:space="preserve">3.3. </w:t>
      </w:r>
      <w:r w:rsidR="001B7041">
        <w:rPr>
          <w:rFonts w:ascii="Arial" w:eastAsia="Calibri" w:hAnsi="Arial" w:cs="Arial"/>
        </w:rPr>
        <w:t xml:space="preserve">Turi būti </w:t>
      </w:r>
      <w:r w:rsidR="00D34266">
        <w:rPr>
          <w:rFonts w:ascii="Arial" w:eastAsia="Calibri" w:hAnsi="Arial" w:cs="Arial"/>
        </w:rPr>
        <w:t>užtikrinama g</w:t>
      </w:r>
      <w:r w:rsidRPr="00AA7BDD">
        <w:rPr>
          <w:rFonts w:ascii="Arial" w:eastAsia="Calibri" w:hAnsi="Arial" w:cs="Arial"/>
        </w:rPr>
        <w:t xml:space="preserve">alimybė </w:t>
      </w:r>
      <w:r w:rsidR="00D34266">
        <w:rPr>
          <w:rFonts w:ascii="Arial" w:eastAsia="Calibri" w:hAnsi="Arial" w:cs="Arial"/>
        </w:rPr>
        <w:t>įsigytų licencijų</w:t>
      </w:r>
      <w:r w:rsidR="00955A53">
        <w:rPr>
          <w:rFonts w:ascii="Arial" w:eastAsia="Calibri" w:hAnsi="Arial" w:cs="Arial"/>
        </w:rPr>
        <w:t xml:space="preserve"> </w:t>
      </w:r>
      <w:r w:rsidRPr="00AA7BDD">
        <w:rPr>
          <w:rFonts w:ascii="Arial" w:eastAsia="Calibri" w:hAnsi="Arial" w:cs="Arial"/>
        </w:rPr>
        <w:t>galiojimo terminu, Pirkėjui pastebėjus klaidas, užregistruoti klaidų pranešimus elektroninėmis priemonėmis</w:t>
      </w:r>
      <w:r w:rsidR="007020D2">
        <w:rPr>
          <w:rFonts w:ascii="Arial" w:eastAsia="Calibri" w:hAnsi="Arial" w:cs="Arial"/>
        </w:rPr>
        <w:t xml:space="preserve"> ir </w:t>
      </w:r>
      <w:r w:rsidR="007020D2" w:rsidRPr="00AA7BDD">
        <w:rPr>
          <w:rFonts w:ascii="Arial" w:eastAsia="Calibri" w:hAnsi="Arial" w:cs="Arial"/>
        </w:rPr>
        <w:t>tiesiogiai</w:t>
      </w:r>
      <w:r w:rsidR="00955A53">
        <w:rPr>
          <w:rFonts w:ascii="Arial" w:eastAsia="Calibri" w:hAnsi="Arial" w:cs="Arial"/>
        </w:rPr>
        <w:t xml:space="preserve"> </w:t>
      </w:r>
      <w:r w:rsidRPr="00AA7BDD">
        <w:rPr>
          <w:rFonts w:ascii="Arial" w:eastAsia="Calibri" w:hAnsi="Arial" w:cs="Arial"/>
        </w:rPr>
        <w:t xml:space="preserve">perduoti licencijos </w:t>
      </w:r>
      <w:r w:rsidRPr="00AA7BDD">
        <w:rPr>
          <w:rFonts w:ascii="Arial" w:eastAsia="Calibri" w:hAnsi="Arial" w:cs="Arial"/>
        </w:rPr>
        <w:lastRenderedPageBreak/>
        <w:t>gamintojui, su kuriuo kiekvienu konkrečiu atveju susitariama dėl techninės problemos sprendimo ir konkretaus abiem šalims priimtino sprendimo termino</w:t>
      </w:r>
      <w:r>
        <w:rPr>
          <w:rFonts w:ascii="Arial" w:eastAsia="Calibri" w:hAnsi="Arial" w:cs="Arial"/>
        </w:rPr>
        <w:t>.</w:t>
      </w:r>
    </w:p>
    <w:p w14:paraId="639B898E" w14:textId="4EAD4F3D" w:rsidR="007249E8" w:rsidRPr="000C263B"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0C263B" w:rsidRDefault="00CC3B99" w:rsidP="004A0C48">
      <w:pPr>
        <w:spacing w:after="0" w:line="240" w:lineRule="auto"/>
        <w:ind w:firstLine="851"/>
        <w:jc w:val="right"/>
        <w:rPr>
          <w:rFonts w:ascii="Arial" w:eastAsia="Calibri" w:hAnsi="Arial" w:cs="Arial"/>
          <w:b/>
        </w:rPr>
      </w:pPr>
      <w:r w:rsidRPr="000C263B">
        <w:rPr>
          <w:rFonts w:ascii="Arial" w:eastAsia="Calibri" w:hAnsi="Arial" w:cs="Arial"/>
          <w:b/>
        </w:rPr>
        <w:t>2 lentelė</w:t>
      </w:r>
      <w:r w:rsidR="00DB7B5F" w:rsidRPr="000C263B">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098"/>
        <w:gridCol w:w="6204"/>
      </w:tblGrid>
      <w:tr w:rsidR="00D52A85" w:rsidRPr="000C263B" w14:paraId="3DBC9E19" w14:textId="045F32DE" w:rsidTr="00D52A85">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D52A85" w:rsidRPr="000C263B" w:rsidRDefault="00D52A85" w:rsidP="00890D1D">
            <w:pPr>
              <w:jc w:val="center"/>
              <w:rPr>
                <w:rFonts w:ascii="Arial" w:hAnsi="Arial" w:cs="Arial"/>
                <w:b/>
                <w:color w:val="000000"/>
              </w:rPr>
            </w:pPr>
            <w:r w:rsidRPr="000C263B">
              <w:rPr>
                <w:rFonts w:ascii="Arial" w:hAnsi="Arial" w:cs="Arial"/>
                <w:b/>
                <w:color w:val="000000"/>
              </w:rPr>
              <w:t>Eil.</w:t>
            </w:r>
          </w:p>
          <w:p w14:paraId="0BE78152" w14:textId="77777777" w:rsidR="00D52A85" w:rsidRPr="000C263B" w:rsidRDefault="00D52A85" w:rsidP="00890D1D">
            <w:pPr>
              <w:tabs>
                <w:tab w:val="left" w:pos="567"/>
              </w:tabs>
              <w:jc w:val="center"/>
              <w:rPr>
                <w:rFonts w:ascii="Arial" w:hAnsi="Arial" w:cs="Arial"/>
                <w:b/>
                <w:color w:val="000000"/>
              </w:rPr>
            </w:pPr>
            <w:r w:rsidRPr="000C263B">
              <w:rPr>
                <w:rFonts w:ascii="Arial" w:hAnsi="Arial" w:cs="Arial"/>
                <w:b/>
                <w:color w:val="000000"/>
              </w:rPr>
              <w:t>Nr.</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70C940D3" w:rsidR="00D52A85" w:rsidRPr="000C263B" w:rsidRDefault="00D52A85" w:rsidP="00F558F0">
            <w:pPr>
              <w:jc w:val="center"/>
              <w:rPr>
                <w:rFonts w:ascii="Arial" w:hAnsi="Arial" w:cs="Arial"/>
                <w:b/>
                <w:color w:val="000000"/>
              </w:rPr>
            </w:pPr>
            <w:r w:rsidRPr="000C263B">
              <w:rPr>
                <w:rFonts w:ascii="Arial" w:hAnsi="Arial" w:cs="Arial"/>
                <w:b/>
                <w:color w:val="000000"/>
              </w:rPr>
              <w:t>Parametras</w:t>
            </w:r>
          </w:p>
        </w:tc>
        <w:tc>
          <w:tcPr>
            <w:tcW w:w="3148" w:type="pct"/>
            <w:tcBorders>
              <w:top w:val="single" w:sz="4" w:space="0" w:color="auto"/>
              <w:left w:val="single" w:sz="4" w:space="0" w:color="auto"/>
              <w:bottom w:val="single" w:sz="4" w:space="0" w:color="auto"/>
              <w:right w:val="single" w:sz="4" w:space="0" w:color="auto"/>
            </w:tcBorders>
            <w:shd w:val="clear" w:color="auto" w:fill="FFFFFF"/>
            <w:vAlign w:val="center"/>
          </w:tcPr>
          <w:p w14:paraId="13AB50E1" w14:textId="77777777" w:rsidR="00D52A85" w:rsidRPr="000C263B" w:rsidRDefault="00D52A85" w:rsidP="00AC561C">
            <w:pPr>
              <w:spacing w:after="0" w:line="240" w:lineRule="auto"/>
              <w:jc w:val="center"/>
              <w:rPr>
                <w:rFonts w:ascii="Arial" w:hAnsi="Arial" w:cs="Arial"/>
                <w:b/>
                <w:color w:val="000000"/>
              </w:rPr>
            </w:pPr>
            <w:r w:rsidRPr="000C263B">
              <w:rPr>
                <w:rFonts w:ascii="Arial" w:hAnsi="Arial" w:cs="Arial"/>
                <w:b/>
                <w:color w:val="000000"/>
              </w:rPr>
              <w:t>Reikalaujama reikšmė</w:t>
            </w:r>
            <w:r w:rsidRPr="000C263B">
              <w:rPr>
                <w:rFonts w:ascii="Arial" w:hAnsi="Arial" w:cs="Arial"/>
                <w:bCs/>
                <w:i/>
                <w:iCs/>
                <w:color w:val="000000"/>
              </w:rPr>
              <w:t xml:space="preserve"> </w:t>
            </w:r>
          </w:p>
          <w:p w14:paraId="532F3382" w14:textId="347D7CF2" w:rsidR="00D52A85" w:rsidRPr="000C263B" w:rsidRDefault="00D52A85" w:rsidP="00F63246">
            <w:pPr>
              <w:spacing w:after="0" w:line="240" w:lineRule="auto"/>
              <w:jc w:val="center"/>
              <w:rPr>
                <w:rFonts w:ascii="Arial" w:hAnsi="Arial" w:cs="Arial"/>
                <w:bCs/>
                <w:i/>
                <w:iCs/>
                <w:color w:val="000000"/>
              </w:rPr>
            </w:pPr>
          </w:p>
        </w:tc>
      </w:tr>
      <w:tr w:rsidR="007008CC" w:rsidRPr="000C263B" w14:paraId="2380005E" w14:textId="54D7D94B" w:rsidTr="00F23F4F">
        <w:trPr>
          <w:trHeight w:val="359"/>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7B7EEA1" w14:textId="657BB7D7" w:rsidR="007008CC" w:rsidRPr="000C263B" w:rsidRDefault="001F2B82" w:rsidP="00F2412D">
            <w:pPr>
              <w:jc w:val="center"/>
              <w:rPr>
                <w:rFonts w:ascii="Arial" w:hAnsi="Arial" w:cs="Arial"/>
                <w:noProof/>
                <w:color w:val="000000"/>
                <w:lang w:val="en-US" w:eastAsia="lt-LT"/>
              </w:rPr>
            </w:pPr>
            <w:r w:rsidRPr="000C263B">
              <w:rPr>
                <w:rFonts w:ascii="Arial" w:hAnsi="Arial" w:cs="Arial"/>
                <w:noProof/>
                <w:lang w:val="en-US"/>
              </w:rPr>
              <w:t>Duomenų bazių valdymo sistemų (Oracle Database Standard Edition) (VU IS ir EPAS) techninis palaikymas</w:t>
            </w:r>
          </w:p>
        </w:tc>
      </w:tr>
      <w:tr w:rsidR="00D52A85" w:rsidRPr="000C263B" w14:paraId="2D531950" w14:textId="664A9544" w:rsidTr="00D52A85">
        <w:tc>
          <w:tcPr>
            <w:tcW w:w="280" w:type="pct"/>
            <w:tcBorders>
              <w:top w:val="single" w:sz="4" w:space="0" w:color="auto"/>
              <w:left w:val="single" w:sz="4" w:space="0" w:color="auto"/>
              <w:bottom w:val="single" w:sz="4" w:space="0" w:color="auto"/>
              <w:right w:val="single" w:sz="4" w:space="0" w:color="auto"/>
            </w:tcBorders>
          </w:tcPr>
          <w:p w14:paraId="009AE7F9" w14:textId="390BFB80" w:rsidR="00D52A85" w:rsidRPr="000C263B" w:rsidRDefault="00D52A85" w:rsidP="00890D1D">
            <w:pPr>
              <w:jc w:val="center"/>
              <w:rPr>
                <w:rFonts w:ascii="Arial" w:hAnsi="Arial" w:cs="Arial"/>
                <w:color w:val="000000"/>
              </w:rPr>
            </w:pPr>
            <w:r w:rsidRPr="000C263B">
              <w:rPr>
                <w:rFonts w:ascii="Arial" w:hAnsi="Arial" w:cs="Arial"/>
              </w:rPr>
              <w:t>1.</w:t>
            </w:r>
          </w:p>
        </w:tc>
        <w:tc>
          <w:tcPr>
            <w:tcW w:w="1572" w:type="pct"/>
            <w:tcBorders>
              <w:top w:val="single" w:sz="4" w:space="0" w:color="auto"/>
              <w:left w:val="single" w:sz="4" w:space="0" w:color="auto"/>
              <w:bottom w:val="single" w:sz="4" w:space="0" w:color="auto"/>
              <w:right w:val="single" w:sz="4" w:space="0" w:color="auto"/>
            </w:tcBorders>
          </w:tcPr>
          <w:p w14:paraId="51C1FC6B" w14:textId="3B14552E" w:rsidR="00D52A85" w:rsidRPr="000C263B" w:rsidRDefault="00D52A85" w:rsidP="008A49ED">
            <w:pPr>
              <w:jc w:val="both"/>
              <w:rPr>
                <w:rFonts w:ascii="Arial" w:hAnsi="Arial" w:cs="Arial"/>
                <w:i/>
                <w:iCs/>
                <w:noProof/>
                <w:color w:val="FF0000"/>
                <w:lang w:val="en-US" w:eastAsia="lt-LT"/>
              </w:rPr>
            </w:pPr>
            <w:r w:rsidRPr="000C263B">
              <w:rPr>
                <w:rFonts w:ascii="Arial" w:hAnsi="Arial" w:cs="Arial"/>
                <w:noProof/>
                <w:lang w:val="en-US"/>
              </w:rPr>
              <w:t>Oracle Database Standard Edition - Processor Perpetual</w:t>
            </w:r>
            <w:r>
              <w:rPr>
                <w:rFonts w:ascii="Arial" w:hAnsi="Arial" w:cs="Arial"/>
                <w:noProof/>
                <w:lang w:val="en-US"/>
              </w:rPr>
              <w:t xml:space="preserve"> </w:t>
            </w:r>
            <w:r w:rsidRPr="000C263B">
              <w:rPr>
                <w:rFonts w:ascii="Arial" w:hAnsi="Arial" w:cs="Arial"/>
                <w:noProof/>
                <w:lang w:val="en-US"/>
              </w:rPr>
              <w:t>15398151 FULL USE</w:t>
            </w:r>
          </w:p>
        </w:tc>
        <w:tc>
          <w:tcPr>
            <w:tcW w:w="3148" w:type="pct"/>
            <w:tcBorders>
              <w:top w:val="single" w:sz="4" w:space="0" w:color="auto"/>
              <w:left w:val="single" w:sz="4" w:space="0" w:color="auto"/>
              <w:bottom w:val="single" w:sz="4" w:space="0" w:color="auto"/>
              <w:right w:val="single" w:sz="4" w:space="0" w:color="auto"/>
            </w:tcBorders>
          </w:tcPr>
          <w:p w14:paraId="564D386E" w14:textId="3ACA14EB" w:rsidR="00D52A85" w:rsidRPr="000C263B" w:rsidRDefault="00D52A85" w:rsidP="00890D1D">
            <w:pPr>
              <w:rPr>
                <w:rFonts w:ascii="Arial" w:hAnsi="Arial" w:cs="Arial"/>
                <w:noProof/>
                <w:color w:val="000000"/>
                <w:lang w:val="en-US" w:eastAsia="lt-LT"/>
              </w:rPr>
            </w:pPr>
            <w:r w:rsidRPr="000C263B">
              <w:rPr>
                <w:rFonts w:ascii="Arial" w:hAnsi="Arial" w:cs="Arial"/>
                <w:i/>
                <w:iCs/>
                <w:noProof/>
                <w:lang w:val="en-US" w:eastAsia="lt-LT"/>
              </w:rPr>
              <w:t>Licencija 1 kalendoriniams metams</w:t>
            </w:r>
          </w:p>
        </w:tc>
      </w:tr>
      <w:tr w:rsidR="00D52A85" w:rsidRPr="000C263B" w14:paraId="50C860D8" w14:textId="6B7AAEEC" w:rsidTr="00D52A85">
        <w:tc>
          <w:tcPr>
            <w:tcW w:w="280" w:type="pct"/>
            <w:tcBorders>
              <w:top w:val="single" w:sz="4" w:space="0" w:color="auto"/>
              <w:left w:val="single" w:sz="4" w:space="0" w:color="auto"/>
              <w:bottom w:val="single" w:sz="4" w:space="0" w:color="auto"/>
              <w:right w:val="single" w:sz="4" w:space="0" w:color="auto"/>
            </w:tcBorders>
          </w:tcPr>
          <w:p w14:paraId="67FECEFA" w14:textId="1B2E8C80" w:rsidR="00D52A85" w:rsidRPr="000C263B" w:rsidRDefault="00D52A85" w:rsidP="00890D1D">
            <w:pPr>
              <w:jc w:val="center"/>
              <w:rPr>
                <w:rFonts w:ascii="Arial" w:hAnsi="Arial" w:cs="Arial"/>
                <w:color w:val="000000"/>
              </w:rPr>
            </w:pPr>
            <w:r w:rsidRPr="000C263B">
              <w:rPr>
                <w:rFonts w:ascii="Arial" w:hAnsi="Arial" w:cs="Arial"/>
              </w:rPr>
              <w:t>2.</w:t>
            </w:r>
          </w:p>
        </w:tc>
        <w:tc>
          <w:tcPr>
            <w:tcW w:w="1572" w:type="pct"/>
            <w:tcBorders>
              <w:top w:val="single" w:sz="4" w:space="0" w:color="auto"/>
              <w:left w:val="single" w:sz="4" w:space="0" w:color="auto"/>
              <w:bottom w:val="single" w:sz="4" w:space="0" w:color="auto"/>
              <w:right w:val="single" w:sz="4" w:space="0" w:color="auto"/>
            </w:tcBorders>
          </w:tcPr>
          <w:p w14:paraId="35574083" w14:textId="5863FD08" w:rsidR="00D52A85" w:rsidRPr="000C263B" w:rsidRDefault="00D52A85" w:rsidP="008A49ED">
            <w:pPr>
              <w:jc w:val="both"/>
              <w:rPr>
                <w:rFonts w:ascii="Arial" w:hAnsi="Arial" w:cs="Arial"/>
                <w:i/>
                <w:iCs/>
                <w:noProof/>
                <w:color w:val="FF0000"/>
                <w:lang w:val="en-US"/>
              </w:rPr>
            </w:pPr>
            <w:r w:rsidRPr="000C263B">
              <w:rPr>
                <w:rFonts w:ascii="Arial" w:hAnsi="Arial" w:cs="Arial"/>
                <w:noProof/>
                <w:lang w:val="en-US"/>
              </w:rPr>
              <w:t>Oracle Database Standard Edition - Processor Perpetual</w:t>
            </w:r>
            <w:r>
              <w:rPr>
                <w:rFonts w:ascii="Arial" w:hAnsi="Arial" w:cs="Arial"/>
                <w:noProof/>
                <w:lang w:val="en-US"/>
              </w:rPr>
              <w:t xml:space="preserve"> </w:t>
            </w:r>
            <w:r w:rsidRPr="000C263B">
              <w:rPr>
                <w:rFonts w:ascii="Arial" w:hAnsi="Arial" w:cs="Arial"/>
                <w:noProof/>
                <w:lang w:val="en-US"/>
              </w:rPr>
              <w:t>15398151 FULL USE 3 vnt.</w:t>
            </w:r>
          </w:p>
        </w:tc>
        <w:tc>
          <w:tcPr>
            <w:tcW w:w="3148" w:type="pct"/>
            <w:tcBorders>
              <w:top w:val="single" w:sz="4" w:space="0" w:color="auto"/>
              <w:left w:val="single" w:sz="4" w:space="0" w:color="auto"/>
              <w:bottom w:val="single" w:sz="4" w:space="0" w:color="auto"/>
              <w:right w:val="single" w:sz="4" w:space="0" w:color="auto"/>
            </w:tcBorders>
          </w:tcPr>
          <w:p w14:paraId="5C958134" w14:textId="40DEA8C7" w:rsidR="00D52A85" w:rsidRPr="000C263B" w:rsidRDefault="00D52A85" w:rsidP="00890D1D">
            <w:pPr>
              <w:rPr>
                <w:rFonts w:ascii="Arial" w:hAnsi="Arial" w:cs="Arial"/>
                <w:noProof/>
                <w:color w:val="000000"/>
                <w:lang w:val="en-US"/>
              </w:rPr>
            </w:pPr>
            <w:r w:rsidRPr="000C263B">
              <w:rPr>
                <w:rFonts w:ascii="Arial" w:hAnsi="Arial" w:cs="Arial"/>
                <w:i/>
                <w:iCs/>
                <w:noProof/>
                <w:lang w:val="en-US" w:eastAsia="lt-LT"/>
              </w:rPr>
              <w:t>Licencija 1 kalendoriniams metams</w:t>
            </w:r>
          </w:p>
        </w:tc>
      </w:tr>
      <w:tr w:rsidR="00D52A85" w:rsidRPr="000C263B" w14:paraId="581BB471" w14:textId="6E8A9043" w:rsidTr="00D52A85">
        <w:tc>
          <w:tcPr>
            <w:tcW w:w="280" w:type="pct"/>
            <w:tcBorders>
              <w:top w:val="single" w:sz="4" w:space="0" w:color="auto"/>
              <w:left w:val="single" w:sz="4" w:space="0" w:color="auto"/>
              <w:bottom w:val="single" w:sz="4" w:space="0" w:color="auto"/>
              <w:right w:val="single" w:sz="4" w:space="0" w:color="auto"/>
            </w:tcBorders>
          </w:tcPr>
          <w:p w14:paraId="32381B02" w14:textId="59CA34DA" w:rsidR="00D52A85" w:rsidRPr="000C263B" w:rsidRDefault="00D52A85" w:rsidP="00890D1D">
            <w:pPr>
              <w:jc w:val="center"/>
              <w:rPr>
                <w:rFonts w:ascii="Arial" w:hAnsi="Arial" w:cs="Arial"/>
                <w:color w:val="000000"/>
              </w:rPr>
            </w:pPr>
            <w:r w:rsidRPr="000C263B">
              <w:rPr>
                <w:rFonts w:ascii="Arial" w:hAnsi="Arial" w:cs="Arial"/>
              </w:rPr>
              <w:t>3.</w:t>
            </w:r>
          </w:p>
        </w:tc>
        <w:tc>
          <w:tcPr>
            <w:tcW w:w="1572" w:type="pct"/>
            <w:tcBorders>
              <w:top w:val="single" w:sz="4" w:space="0" w:color="auto"/>
              <w:left w:val="single" w:sz="4" w:space="0" w:color="auto"/>
              <w:bottom w:val="single" w:sz="4" w:space="0" w:color="auto"/>
              <w:right w:val="single" w:sz="4" w:space="0" w:color="auto"/>
            </w:tcBorders>
          </w:tcPr>
          <w:p w14:paraId="2D70DBB7" w14:textId="0EEF125F" w:rsidR="00D52A85" w:rsidRPr="000C263B" w:rsidRDefault="00D52A85" w:rsidP="008A49ED">
            <w:pPr>
              <w:jc w:val="both"/>
              <w:rPr>
                <w:rFonts w:ascii="Arial" w:hAnsi="Arial" w:cs="Arial"/>
                <w:i/>
                <w:iCs/>
                <w:noProof/>
                <w:color w:val="FF0000"/>
                <w:lang w:val="en-US"/>
              </w:rPr>
            </w:pPr>
            <w:r w:rsidRPr="000C263B">
              <w:rPr>
                <w:rFonts w:ascii="Arial" w:hAnsi="Arial" w:cs="Arial"/>
                <w:noProof/>
                <w:lang w:val="en-US"/>
              </w:rPr>
              <w:t>Oracle Database Standard Edition One - Processor Perpetual 17747583 FULL USE</w:t>
            </w:r>
          </w:p>
        </w:tc>
        <w:tc>
          <w:tcPr>
            <w:tcW w:w="3148" w:type="pct"/>
            <w:tcBorders>
              <w:top w:val="single" w:sz="4" w:space="0" w:color="auto"/>
              <w:left w:val="single" w:sz="4" w:space="0" w:color="auto"/>
              <w:bottom w:val="single" w:sz="4" w:space="0" w:color="auto"/>
              <w:right w:val="single" w:sz="4" w:space="0" w:color="auto"/>
            </w:tcBorders>
          </w:tcPr>
          <w:p w14:paraId="54CD5B84" w14:textId="1621A789" w:rsidR="00D52A85" w:rsidRPr="000C263B" w:rsidRDefault="00D52A85" w:rsidP="00890D1D">
            <w:pPr>
              <w:rPr>
                <w:rFonts w:ascii="Arial" w:hAnsi="Arial" w:cs="Arial"/>
                <w:noProof/>
                <w:color w:val="000000"/>
                <w:lang w:val="en-US"/>
              </w:rPr>
            </w:pPr>
            <w:r w:rsidRPr="000C263B">
              <w:rPr>
                <w:rFonts w:ascii="Arial" w:hAnsi="Arial" w:cs="Arial"/>
                <w:i/>
                <w:iCs/>
                <w:noProof/>
                <w:lang w:val="en-US" w:eastAsia="lt-LT"/>
              </w:rPr>
              <w:t>Licencija 1 kalendoriniams metams</w:t>
            </w:r>
          </w:p>
        </w:tc>
      </w:tr>
      <w:tr w:rsidR="00D52A85" w:rsidRPr="000C263B" w14:paraId="0F0A8888" w14:textId="77777777" w:rsidTr="00D52A85">
        <w:tc>
          <w:tcPr>
            <w:tcW w:w="280" w:type="pct"/>
            <w:tcBorders>
              <w:top w:val="single" w:sz="4" w:space="0" w:color="auto"/>
              <w:left w:val="single" w:sz="4" w:space="0" w:color="auto"/>
              <w:bottom w:val="single" w:sz="4" w:space="0" w:color="auto"/>
              <w:right w:val="single" w:sz="4" w:space="0" w:color="auto"/>
            </w:tcBorders>
          </w:tcPr>
          <w:p w14:paraId="7F874F2D" w14:textId="313182D6" w:rsidR="00D52A85" w:rsidRPr="000C263B" w:rsidRDefault="00D52A85" w:rsidP="00890D1D">
            <w:pPr>
              <w:jc w:val="center"/>
              <w:rPr>
                <w:rFonts w:ascii="Arial" w:hAnsi="Arial" w:cs="Arial"/>
              </w:rPr>
            </w:pPr>
            <w:r w:rsidRPr="000C263B">
              <w:rPr>
                <w:rFonts w:ascii="Arial" w:hAnsi="Arial" w:cs="Arial"/>
              </w:rPr>
              <w:t>4.</w:t>
            </w:r>
          </w:p>
        </w:tc>
        <w:tc>
          <w:tcPr>
            <w:tcW w:w="1572" w:type="pct"/>
            <w:tcBorders>
              <w:top w:val="single" w:sz="4" w:space="0" w:color="auto"/>
              <w:left w:val="single" w:sz="4" w:space="0" w:color="auto"/>
              <w:bottom w:val="single" w:sz="4" w:space="0" w:color="auto"/>
              <w:right w:val="single" w:sz="4" w:space="0" w:color="auto"/>
            </w:tcBorders>
          </w:tcPr>
          <w:p w14:paraId="04F57E97" w14:textId="1D8FE5DC" w:rsidR="00D52A85" w:rsidRPr="000C263B" w:rsidRDefault="00D52A85" w:rsidP="008A49ED">
            <w:pPr>
              <w:jc w:val="both"/>
              <w:rPr>
                <w:rFonts w:ascii="Arial" w:hAnsi="Arial" w:cs="Arial"/>
                <w:noProof/>
                <w:lang w:val="en-US"/>
              </w:rPr>
            </w:pPr>
            <w:r w:rsidRPr="000C263B">
              <w:rPr>
                <w:rFonts w:ascii="Arial" w:hAnsi="Arial" w:cs="Arial"/>
                <w:noProof/>
                <w:lang w:val="en-US"/>
              </w:rPr>
              <w:t>Oracle Database Standard Edition - Processor Perpetual</w:t>
            </w:r>
            <w:r>
              <w:rPr>
                <w:rFonts w:ascii="Arial" w:hAnsi="Arial" w:cs="Arial"/>
                <w:noProof/>
                <w:lang w:val="en-US"/>
              </w:rPr>
              <w:t xml:space="preserve"> </w:t>
            </w:r>
            <w:r w:rsidRPr="000C263B">
              <w:rPr>
                <w:rFonts w:ascii="Arial" w:hAnsi="Arial" w:cs="Arial"/>
                <w:noProof/>
                <w:lang w:val="en-US"/>
              </w:rPr>
              <w:t xml:space="preserve">19157370 FULL USE </w:t>
            </w:r>
          </w:p>
        </w:tc>
        <w:tc>
          <w:tcPr>
            <w:tcW w:w="3148" w:type="pct"/>
            <w:tcBorders>
              <w:top w:val="single" w:sz="4" w:space="0" w:color="auto"/>
              <w:left w:val="single" w:sz="4" w:space="0" w:color="auto"/>
              <w:bottom w:val="single" w:sz="4" w:space="0" w:color="auto"/>
              <w:right w:val="single" w:sz="4" w:space="0" w:color="auto"/>
            </w:tcBorders>
          </w:tcPr>
          <w:p w14:paraId="5C71A66D" w14:textId="0DC79BAA" w:rsidR="00D52A85" w:rsidRPr="000C263B" w:rsidRDefault="00D52A85" w:rsidP="00890D1D">
            <w:pPr>
              <w:rPr>
                <w:rFonts w:ascii="Arial" w:hAnsi="Arial" w:cs="Arial"/>
                <w:noProof/>
                <w:color w:val="000000"/>
                <w:lang w:val="en-US"/>
              </w:rPr>
            </w:pPr>
            <w:r w:rsidRPr="000C263B">
              <w:rPr>
                <w:rFonts w:ascii="Arial" w:hAnsi="Arial" w:cs="Arial"/>
                <w:i/>
                <w:iCs/>
                <w:noProof/>
                <w:lang w:val="en-US" w:eastAsia="lt-LT"/>
              </w:rPr>
              <w:t>Licencija 1 kalendoriniams metams</w:t>
            </w:r>
          </w:p>
        </w:tc>
      </w:tr>
      <w:tr w:rsidR="00D52A85" w:rsidRPr="000C263B" w14:paraId="639A4AB9" w14:textId="77777777" w:rsidTr="00D52A85">
        <w:tc>
          <w:tcPr>
            <w:tcW w:w="280" w:type="pct"/>
            <w:tcBorders>
              <w:top w:val="single" w:sz="4" w:space="0" w:color="auto"/>
              <w:left w:val="single" w:sz="4" w:space="0" w:color="auto"/>
              <w:bottom w:val="single" w:sz="4" w:space="0" w:color="auto"/>
              <w:right w:val="single" w:sz="4" w:space="0" w:color="auto"/>
            </w:tcBorders>
          </w:tcPr>
          <w:p w14:paraId="0B6F03D9" w14:textId="5375073C" w:rsidR="00D52A85" w:rsidRPr="000C263B" w:rsidRDefault="00D52A85" w:rsidP="00890D1D">
            <w:pPr>
              <w:jc w:val="center"/>
              <w:rPr>
                <w:rFonts w:ascii="Arial" w:hAnsi="Arial" w:cs="Arial"/>
              </w:rPr>
            </w:pPr>
            <w:r w:rsidRPr="000C263B">
              <w:rPr>
                <w:rFonts w:ascii="Arial" w:hAnsi="Arial" w:cs="Arial"/>
              </w:rPr>
              <w:t>5.</w:t>
            </w:r>
          </w:p>
        </w:tc>
        <w:tc>
          <w:tcPr>
            <w:tcW w:w="1572" w:type="pct"/>
            <w:tcBorders>
              <w:top w:val="single" w:sz="4" w:space="0" w:color="auto"/>
              <w:left w:val="single" w:sz="4" w:space="0" w:color="auto"/>
              <w:bottom w:val="single" w:sz="4" w:space="0" w:color="auto"/>
              <w:right w:val="single" w:sz="4" w:space="0" w:color="auto"/>
            </w:tcBorders>
          </w:tcPr>
          <w:p w14:paraId="3CF35F0B" w14:textId="3471F3C7" w:rsidR="00D52A85" w:rsidRPr="000C263B" w:rsidRDefault="00D52A85" w:rsidP="008A49ED">
            <w:pPr>
              <w:jc w:val="both"/>
              <w:rPr>
                <w:rFonts w:ascii="Arial" w:hAnsi="Arial" w:cs="Arial"/>
                <w:noProof/>
                <w:lang w:val="en-US"/>
              </w:rPr>
            </w:pPr>
            <w:r w:rsidRPr="000C263B">
              <w:rPr>
                <w:rFonts w:ascii="Arial" w:hAnsi="Arial" w:cs="Arial"/>
                <w:noProof/>
                <w:lang w:val="en-US"/>
              </w:rPr>
              <w:t>Oracle Database Standard Edition - Processor Perpetual</w:t>
            </w:r>
            <w:r>
              <w:rPr>
                <w:rFonts w:ascii="Arial" w:hAnsi="Arial" w:cs="Arial"/>
                <w:noProof/>
                <w:lang w:val="en-US"/>
              </w:rPr>
              <w:t xml:space="preserve"> </w:t>
            </w:r>
            <w:r w:rsidRPr="000C263B">
              <w:rPr>
                <w:rFonts w:ascii="Arial" w:hAnsi="Arial" w:cs="Arial"/>
                <w:noProof/>
                <w:lang w:val="en-US"/>
              </w:rPr>
              <w:t xml:space="preserve">19159815 FULL USE </w:t>
            </w:r>
          </w:p>
        </w:tc>
        <w:tc>
          <w:tcPr>
            <w:tcW w:w="3148" w:type="pct"/>
            <w:tcBorders>
              <w:top w:val="single" w:sz="4" w:space="0" w:color="auto"/>
              <w:left w:val="single" w:sz="4" w:space="0" w:color="auto"/>
              <w:bottom w:val="single" w:sz="4" w:space="0" w:color="auto"/>
              <w:right w:val="single" w:sz="4" w:space="0" w:color="auto"/>
            </w:tcBorders>
          </w:tcPr>
          <w:p w14:paraId="7F1F01F0" w14:textId="303D3A27" w:rsidR="00D52A85" w:rsidRPr="000C263B" w:rsidRDefault="00D52A85" w:rsidP="00890D1D">
            <w:pPr>
              <w:rPr>
                <w:rFonts w:ascii="Arial" w:hAnsi="Arial" w:cs="Arial"/>
                <w:noProof/>
                <w:color w:val="000000"/>
                <w:lang w:val="en-US"/>
              </w:rPr>
            </w:pPr>
            <w:r w:rsidRPr="000C263B">
              <w:rPr>
                <w:rFonts w:ascii="Arial" w:hAnsi="Arial" w:cs="Arial"/>
                <w:i/>
                <w:iCs/>
                <w:noProof/>
                <w:lang w:val="en-US" w:eastAsia="lt-LT"/>
              </w:rPr>
              <w:t>Licencija 1 kalendoriniams metams</w:t>
            </w:r>
          </w:p>
        </w:tc>
      </w:tr>
    </w:tbl>
    <w:p w14:paraId="63AED36C" w14:textId="7254ED8B" w:rsidR="006054D4" w:rsidRPr="006054D4" w:rsidRDefault="007828EC" w:rsidP="006054D4">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C263B">
        <w:rPr>
          <w:rFonts w:ascii="Arial" w:eastAsia="Calibri" w:hAnsi="Arial" w:cs="Arial"/>
          <w:b/>
        </w:rPr>
        <w:t>APLINKOSAUGINIAI</w:t>
      </w:r>
      <w:r w:rsidR="00134EB3" w:rsidRPr="000C263B">
        <w:rPr>
          <w:rFonts w:ascii="Arial" w:eastAsia="Calibri" w:hAnsi="Arial" w:cs="Arial"/>
          <w:b/>
        </w:rPr>
        <w:t xml:space="preserve"> REIKALAVIMAI</w:t>
      </w:r>
    </w:p>
    <w:p w14:paraId="4BE0F7DC" w14:textId="03B3F850" w:rsidR="006054D4" w:rsidRPr="00F27215" w:rsidRDefault="006054D4" w:rsidP="006054D4">
      <w:pPr>
        <w:shd w:val="clear" w:color="auto" w:fill="FFFFFF" w:themeFill="background1"/>
        <w:tabs>
          <w:tab w:val="left" w:pos="284"/>
          <w:tab w:val="left" w:pos="851"/>
        </w:tabs>
        <w:spacing w:after="0" w:line="240" w:lineRule="auto"/>
        <w:jc w:val="both"/>
        <w:rPr>
          <w:rFonts w:ascii="Arial" w:eastAsia="Calibri" w:hAnsi="Arial" w:cs="Arial"/>
          <w:b/>
          <w:i/>
        </w:rPr>
      </w:pPr>
      <w:r w:rsidRPr="002401BB">
        <w:rPr>
          <w:rStyle w:val="normaltextrun"/>
          <w:rFonts w:ascii="Arial" w:hAnsi="Arial" w:cs="Arial"/>
          <w:color w:val="000000"/>
          <w:shd w:val="clear" w:color="auto" w:fill="FFFFFF"/>
        </w:rPr>
        <w:t xml:space="preserve">4.1. </w:t>
      </w:r>
      <w:r w:rsidR="00CD3A43" w:rsidRPr="00610B0A">
        <w:rPr>
          <w:rFonts w:ascii="Arial" w:hAnsi="Arial" w:cs="Arial"/>
        </w:rPr>
        <w:t>Atliekamas žaliasis pirkimas. Pirkimas vy</w:t>
      </w:r>
      <w:r w:rsidR="00CD3A43" w:rsidRPr="00D26949">
        <w:rPr>
          <w:rFonts w:ascii="Arial" w:hAnsi="Arial" w:cs="Arial"/>
        </w:rPr>
        <w:t xml:space="preserve">kdomas vadovaujantis </w:t>
      </w:r>
      <w:hyperlink r:id="rId12" w:history="1">
        <w:r w:rsidR="00CD3A43" w:rsidRPr="00C914C7">
          <w:rPr>
            <w:rStyle w:val="Hyperlink"/>
            <w:rFonts w:ascii="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D3A43" w:rsidRPr="00C914C7">
        <w:rPr>
          <w:rFonts w:ascii="Arial" w:hAnsi="Arial" w:cs="Arial"/>
        </w:rPr>
        <w:t>“</w:t>
      </w:r>
      <w:r w:rsidR="00CD3A43" w:rsidRPr="00610B0A">
        <w:rPr>
          <w:rFonts w:ascii="Arial" w:hAnsi="Arial" w:cs="Arial"/>
        </w:rPr>
        <w:t xml:space="preserve"> patvirtint</w:t>
      </w:r>
      <w:r w:rsidR="00CD3A43" w:rsidRPr="00D26949">
        <w:rPr>
          <w:rFonts w:ascii="Arial" w:hAnsi="Arial" w:cs="Arial"/>
        </w:rPr>
        <w:t xml:space="preserve">o </w:t>
      </w:r>
      <w:hyperlink r:id="rId13" w:history="1">
        <w:r w:rsidR="00CD3A43" w:rsidRPr="00C914C7">
          <w:rPr>
            <w:rStyle w:val="Hyperlink"/>
            <w:rFonts w:ascii="Arial" w:hAnsi="Arial" w:cs="Arial"/>
          </w:rPr>
          <w:t>Aplinkos apsaugos kriterijų taikymo, vykdant žaliuosius pirkimus, tvarkos aprašo</w:t>
        </w:r>
      </w:hyperlink>
      <w:r w:rsidRPr="002401BB">
        <w:rPr>
          <w:rStyle w:val="normaltextrun"/>
          <w:rFonts w:ascii="Arial" w:hAnsi="Arial" w:cs="Arial"/>
          <w:color w:val="000000"/>
          <w:shd w:val="clear" w:color="auto" w:fill="FFFFFF"/>
        </w:rPr>
        <w:t xml:space="preserve"> II skyriaus 4.4.3. p. </w:t>
      </w:r>
      <w:r w:rsidRPr="00F27215">
        <w:rPr>
          <w:rStyle w:val="normaltextrun"/>
          <w:rFonts w:ascii="Arial" w:hAnsi="Arial" w:cs="Arial"/>
          <w:i/>
          <w:iCs/>
          <w:color w:val="000000"/>
          <w:shd w:val="clear" w:color="auto" w:fill="FFFFFF"/>
        </w:rPr>
        <w:t>„</w:t>
      </w:r>
      <w:r w:rsidR="00C914C7" w:rsidRPr="00C914C7">
        <w:rPr>
          <w:rFonts w:ascii="Arial" w:hAnsi="Arial" w:cs="Arial"/>
          <w:i/>
          <w:iCs/>
          <w:color w:val="000000"/>
        </w:rPr>
        <w:t>&lt;...&gt;</w:t>
      </w:r>
      <w:r w:rsidR="00FF361E" w:rsidRPr="00F27215">
        <w:rPr>
          <w:rFonts w:ascii="Arial" w:hAnsi="Arial" w:cs="Arial"/>
          <w:i/>
          <w:iCs/>
          <w:color w:val="000000"/>
        </w:rPr>
        <w:t xml:space="preserve"> perkama prekė: programinė įranga, programinės įrangos nuoma, licencijos, elektroniniai leidiniai ar elektroninės knygos</w:t>
      </w:r>
      <w:r w:rsidRPr="002401BB">
        <w:rPr>
          <w:rStyle w:val="normaltextrun"/>
          <w:rFonts w:ascii="Arial" w:hAnsi="Arial" w:cs="Arial"/>
          <w:i/>
          <w:iCs/>
          <w:color w:val="000000"/>
          <w:shd w:val="clear" w:color="auto" w:fill="FFFFFF"/>
        </w:rPr>
        <w:t>“</w:t>
      </w:r>
      <w:r w:rsidRPr="00F27215">
        <w:rPr>
          <w:rStyle w:val="normaltextrun"/>
          <w:rFonts w:ascii="Arial" w:hAnsi="Arial" w:cs="Arial"/>
          <w:i/>
          <w:color w:val="000000"/>
          <w:shd w:val="clear" w:color="auto" w:fill="FFFFFF"/>
        </w:rPr>
        <w:t>.</w:t>
      </w:r>
      <w:r w:rsidRPr="00F27215">
        <w:rPr>
          <w:rStyle w:val="eop"/>
          <w:rFonts w:ascii="Arial" w:hAnsi="Arial" w:cs="Arial"/>
          <w:i/>
          <w:color w:val="000000"/>
          <w:sz w:val="20"/>
          <w:szCs w:val="20"/>
          <w:shd w:val="clear" w:color="auto" w:fill="FFFFFF"/>
        </w:rPr>
        <w:t> </w:t>
      </w:r>
    </w:p>
    <w:p w14:paraId="08F963B0" w14:textId="10919B86" w:rsidR="006054D4" w:rsidRPr="006054D4" w:rsidRDefault="006054D4" w:rsidP="006054D4">
      <w:pPr>
        <w:tabs>
          <w:tab w:val="left" w:pos="1650"/>
        </w:tabs>
        <w:rPr>
          <w:rFonts w:ascii="Arial" w:eastAsia="Calibri" w:hAnsi="Arial" w:cs="Arial"/>
        </w:rPr>
      </w:pPr>
    </w:p>
    <w:sectPr w:rsidR="006054D4" w:rsidRPr="006054D4" w:rsidSect="00736515">
      <w:headerReference w:type="default" r:id="rId14"/>
      <w:footerReference w:type="default" r:id="rId15"/>
      <w:headerReference w:type="first" r:id="rId16"/>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614D" w14:textId="77777777" w:rsidR="00665680" w:rsidRDefault="00665680" w:rsidP="00682323">
      <w:pPr>
        <w:spacing w:after="0" w:line="240" w:lineRule="auto"/>
      </w:pPr>
      <w:r>
        <w:separator/>
      </w:r>
    </w:p>
  </w:endnote>
  <w:endnote w:type="continuationSeparator" w:id="0">
    <w:p w14:paraId="138D2592" w14:textId="77777777" w:rsidR="00665680" w:rsidRDefault="00665680" w:rsidP="00682323">
      <w:pPr>
        <w:spacing w:after="0" w:line="240" w:lineRule="auto"/>
      </w:pPr>
      <w:r>
        <w:continuationSeparator/>
      </w:r>
    </w:p>
  </w:endnote>
  <w:endnote w:type="continuationNotice" w:id="1">
    <w:p w14:paraId="43B134C5" w14:textId="77777777" w:rsidR="00665680" w:rsidRDefault="00665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ABE4" w14:textId="77777777" w:rsidR="00665680" w:rsidRDefault="00665680" w:rsidP="00682323">
      <w:pPr>
        <w:spacing w:after="0" w:line="240" w:lineRule="auto"/>
      </w:pPr>
      <w:r>
        <w:separator/>
      </w:r>
    </w:p>
  </w:footnote>
  <w:footnote w:type="continuationSeparator" w:id="0">
    <w:p w14:paraId="746CBAE5" w14:textId="77777777" w:rsidR="00665680" w:rsidRDefault="00665680" w:rsidP="00682323">
      <w:pPr>
        <w:spacing w:after="0" w:line="240" w:lineRule="auto"/>
      </w:pPr>
      <w:r>
        <w:continuationSeparator/>
      </w:r>
    </w:p>
  </w:footnote>
  <w:footnote w:type="continuationNotice" w:id="1">
    <w:p w14:paraId="762AA9A0" w14:textId="77777777" w:rsidR="00665680" w:rsidRDefault="00665680">
      <w:pPr>
        <w:spacing w:after="0" w:line="240" w:lineRule="auto"/>
      </w:pPr>
    </w:p>
  </w:footnote>
  <w:footnote w:id="2">
    <w:p w14:paraId="66DCF4D8" w14:textId="3834EC6C" w:rsidR="00AC3846" w:rsidRPr="0041520E" w:rsidRDefault="00AC3846" w:rsidP="0041520E">
      <w:pPr>
        <w:pStyle w:val="FootnoteText"/>
        <w:jc w:val="both"/>
        <w:rPr>
          <w:rFonts w:ascii="Arial" w:hAnsi="Arial" w:cs="Arial"/>
        </w:rPr>
      </w:pPr>
      <w:r w:rsidRPr="0041520E">
        <w:rPr>
          <w:rStyle w:val="FootnoteReference"/>
          <w:rFonts w:ascii="Arial" w:hAnsi="Arial" w:cs="Arial"/>
        </w:rPr>
        <w:footnoteRef/>
      </w:r>
      <w:r w:rsidRPr="0041520E">
        <w:rPr>
          <w:rFonts w:ascii="Arial" w:hAnsi="Arial" w:cs="Arial"/>
        </w:rPr>
        <w:t xml:space="preserve"> VU IS ir EPAS veikia „</w:t>
      </w:r>
      <w:proofErr w:type="spellStart"/>
      <w:r w:rsidRPr="0041520E">
        <w:rPr>
          <w:rFonts w:ascii="Arial" w:hAnsi="Arial" w:cs="Arial"/>
        </w:rPr>
        <w:t>Oracle</w:t>
      </w:r>
      <w:proofErr w:type="spellEnd"/>
      <w:r w:rsidRPr="0041520E">
        <w:rPr>
          <w:rFonts w:ascii="Arial" w:hAnsi="Arial" w:cs="Arial"/>
        </w:rPr>
        <w:t>“ duomenų bazės valdymo sistemos pagrindu, todėl Perkančioji organizacija siekia įsigyti išimtinai „</w:t>
      </w:r>
      <w:proofErr w:type="spellStart"/>
      <w:r w:rsidRPr="0041520E">
        <w:rPr>
          <w:rFonts w:ascii="Arial" w:hAnsi="Arial" w:cs="Arial"/>
        </w:rPr>
        <w:t>Oracle</w:t>
      </w:r>
      <w:proofErr w:type="spellEnd"/>
      <w:r w:rsidRPr="0041520E">
        <w:rPr>
          <w:rFonts w:ascii="Arial" w:hAnsi="Arial" w:cs="Arial"/>
        </w:rPr>
        <w:t xml:space="preserve">“ techninį palaikymą. Perėjimas į kitą sprendimą pareikalautų didelių finansinių ir laiko investicijų bei VU darbuotojų perkvalifikavimo, kad būtų užtikrintas sistemos nepertraukiamas veikimas su reikiamu našumu ir saugumu, todėl pereiti prie kitos duomenų bazės valdymo sistemos, pavyzdžiui, </w:t>
      </w:r>
      <w:proofErr w:type="spellStart"/>
      <w:r w:rsidRPr="0041520E">
        <w:rPr>
          <w:rFonts w:ascii="Arial" w:hAnsi="Arial" w:cs="Arial"/>
        </w:rPr>
        <w:t>PostgreSQL</w:t>
      </w:r>
      <w:proofErr w:type="spellEnd"/>
      <w:r w:rsidRPr="0041520E">
        <w:rPr>
          <w:rFonts w:ascii="Arial" w:hAnsi="Arial" w:cs="Arial"/>
        </w:rPr>
        <w:t xml:space="preserve"> ar Microsoft SQL Server iš „</w:t>
      </w:r>
      <w:proofErr w:type="spellStart"/>
      <w:r w:rsidRPr="0041520E">
        <w:rPr>
          <w:rFonts w:ascii="Arial" w:hAnsi="Arial" w:cs="Arial"/>
        </w:rPr>
        <w:t>Oracle</w:t>
      </w:r>
      <w:proofErr w:type="spellEnd"/>
      <w:r w:rsidRPr="0041520E">
        <w:rPr>
          <w:rFonts w:ascii="Arial" w:hAnsi="Arial" w:cs="Arial"/>
        </w:rPr>
        <w:t>“, yra praktiškai neįmanoma.</w:t>
      </w:r>
    </w:p>
  </w:footnote>
  <w:footnote w:id="3">
    <w:p w14:paraId="0E122AA1" w14:textId="650E55DC"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0F599B">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9475" w14:textId="0811B0E3" w:rsidR="00EC053B" w:rsidRPr="006054D4" w:rsidRDefault="00EC053B" w:rsidP="00EC053B">
    <w:pPr>
      <w:pStyle w:val="Header"/>
      <w:jc w:val="right"/>
      <w:rPr>
        <w:rFonts w:ascii="Arial" w:hAnsi="Arial" w:cs="Arial"/>
        <w:sz w:val="20"/>
        <w:szCs w:val="20"/>
      </w:rPr>
    </w:pPr>
    <w:r w:rsidRPr="006054D4">
      <w:rPr>
        <w:rFonts w:ascii="Arial" w:eastAsia="Calibri" w:hAnsi="Arial" w:cs="Arial"/>
        <w:bCs/>
        <w:i/>
        <w:sz w:val="20"/>
        <w:szCs w:val="20"/>
      </w:rPr>
      <w:t xml:space="preserve">Specialiųjų pirkimo sąlygų priedas </w:t>
    </w:r>
    <w:r w:rsidRPr="006054D4">
      <w:rPr>
        <w:rFonts w:ascii="Arial" w:eastAsia="Calibri" w:hAnsi="Arial" w:cs="Arial"/>
        <w:bCs/>
        <w:i/>
        <w:noProof/>
        <w:sz w:val="20"/>
        <w:szCs w:val="20"/>
      </w:rPr>
      <w:t>Nr,</w:t>
    </w:r>
    <w:r w:rsidRPr="006054D4">
      <w:rPr>
        <w:rFonts w:ascii="Arial" w:eastAsia="Calibri" w:hAnsi="Arial" w:cs="Arial"/>
        <w:bCs/>
        <w:i/>
        <w:sz w:val="20"/>
        <w:szCs w:val="20"/>
      </w:rPr>
      <w:t xml:space="preserve"> 1 „Techninė specifikacija“</w:t>
    </w:r>
  </w:p>
  <w:p w14:paraId="46BA66CE" w14:textId="77777777" w:rsidR="00EC053B" w:rsidRDefault="00EC0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351E08"/>
    <w:multiLevelType w:val="multilevel"/>
    <w:tmpl w:val="BA02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C82B68"/>
    <w:multiLevelType w:val="multilevel"/>
    <w:tmpl w:val="C3A6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9DF8E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93F6E8A0"/>
    <w:lvl w:ilvl="0">
      <w:start w:val="2"/>
      <w:numFmt w:val="decimal"/>
      <w:lvlText w:val="%1."/>
      <w:lvlJc w:val="left"/>
      <w:pPr>
        <w:ind w:left="360" w:hanging="360"/>
      </w:pPr>
      <w:rPr>
        <w:rFonts w:hint="default"/>
        <w:color w:val="auto"/>
      </w:rPr>
    </w:lvl>
    <w:lvl w:ilvl="1">
      <w:start w:val="5"/>
      <w:numFmt w:val="decimal"/>
      <w:lvlText w:val="%1.%2."/>
      <w:lvlJc w:val="left"/>
      <w:pPr>
        <w:ind w:left="928" w:hanging="360"/>
      </w:pPr>
      <w:rPr>
        <w:rFonts w:hint="default"/>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8"/>
  </w:num>
  <w:num w:numId="3">
    <w:abstractNumId w:val="3"/>
  </w:num>
  <w:num w:numId="4">
    <w:abstractNumId w:val="22"/>
  </w:num>
  <w:num w:numId="5">
    <w:abstractNumId w:val="2"/>
  </w:num>
  <w:num w:numId="6">
    <w:abstractNumId w:val="10"/>
  </w:num>
  <w:num w:numId="7">
    <w:abstractNumId w:val="14"/>
  </w:num>
  <w:num w:numId="8">
    <w:abstractNumId w:val="0"/>
  </w:num>
  <w:num w:numId="9">
    <w:abstractNumId w:val="25"/>
  </w:num>
  <w:num w:numId="10">
    <w:abstractNumId w:val="8"/>
  </w:num>
  <w:num w:numId="11">
    <w:abstractNumId w:val="27"/>
  </w:num>
  <w:num w:numId="12">
    <w:abstractNumId w:val="13"/>
  </w:num>
  <w:num w:numId="13">
    <w:abstractNumId w:val="1"/>
  </w:num>
  <w:num w:numId="14">
    <w:abstractNumId w:val="5"/>
  </w:num>
  <w:num w:numId="15">
    <w:abstractNumId w:val="15"/>
  </w:num>
  <w:num w:numId="16">
    <w:abstractNumId w:val="26"/>
  </w:num>
  <w:num w:numId="17">
    <w:abstractNumId w:val="19"/>
  </w:num>
  <w:num w:numId="18">
    <w:abstractNumId w:val="23"/>
  </w:num>
  <w:num w:numId="19">
    <w:abstractNumId w:val="4"/>
  </w:num>
  <w:num w:numId="20">
    <w:abstractNumId w:val="20"/>
  </w:num>
  <w:num w:numId="21">
    <w:abstractNumId w:val="24"/>
  </w:num>
  <w:num w:numId="22">
    <w:abstractNumId w:val="11"/>
  </w:num>
  <w:num w:numId="23">
    <w:abstractNumId w:val="21"/>
  </w:num>
  <w:num w:numId="24">
    <w:abstractNumId w:val="9"/>
  </w:num>
  <w:num w:numId="25">
    <w:abstractNumId w:val="6"/>
  </w:num>
  <w:num w:numId="26">
    <w:abstractNumId w:val="17"/>
  </w:num>
  <w:num w:numId="27">
    <w:abstractNumId w:val="1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C48"/>
    <w:rsid w:val="0000271A"/>
    <w:rsid w:val="00003274"/>
    <w:rsid w:val="00004C72"/>
    <w:rsid w:val="00020CA8"/>
    <w:rsid w:val="000260A5"/>
    <w:rsid w:val="0004663F"/>
    <w:rsid w:val="00046A16"/>
    <w:rsid w:val="00070A2D"/>
    <w:rsid w:val="0007195F"/>
    <w:rsid w:val="00071D9F"/>
    <w:rsid w:val="000749F2"/>
    <w:rsid w:val="0008076C"/>
    <w:rsid w:val="000840FF"/>
    <w:rsid w:val="000875F4"/>
    <w:rsid w:val="00094A35"/>
    <w:rsid w:val="000A21A7"/>
    <w:rsid w:val="000A41ED"/>
    <w:rsid w:val="000B2DF2"/>
    <w:rsid w:val="000C263B"/>
    <w:rsid w:val="000C2FE2"/>
    <w:rsid w:val="000C364D"/>
    <w:rsid w:val="000C6221"/>
    <w:rsid w:val="000C6DC0"/>
    <w:rsid w:val="000E39D1"/>
    <w:rsid w:val="000F0D27"/>
    <w:rsid w:val="000F405C"/>
    <w:rsid w:val="000F50F8"/>
    <w:rsid w:val="000F599B"/>
    <w:rsid w:val="001018A3"/>
    <w:rsid w:val="00104578"/>
    <w:rsid w:val="00113A53"/>
    <w:rsid w:val="00114209"/>
    <w:rsid w:val="001147B0"/>
    <w:rsid w:val="001164D5"/>
    <w:rsid w:val="00121DF9"/>
    <w:rsid w:val="00130DCD"/>
    <w:rsid w:val="00134EB3"/>
    <w:rsid w:val="00147125"/>
    <w:rsid w:val="00167683"/>
    <w:rsid w:val="00167EA2"/>
    <w:rsid w:val="00171BE3"/>
    <w:rsid w:val="00183393"/>
    <w:rsid w:val="0019041A"/>
    <w:rsid w:val="0019142F"/>
    <w:rsid w:val="00196B92"/>
    <w:rsid w:val="001A7E68"/>
    <w:rsid w:val="001B7041"/>
    <w:rsid w:val="001E123D"/>
    <w:rsid w:val="001F2B82"/>
    <w:rsid w:val="001F3DD7"/>
    <w:rsid w:val="00205386"/>
    <w:rsid w:val="00206CF9"/>
    <w:rsid w:val="00212FAB"/>
    <w:rsid w:val="00225AA6"/>
    <w:rsid w:val="002312DF"/>
    <w:rsid w:val="00231E4A"/>
    <w:rsid w:val="002401BB"/>
    <w:rsid w:val="00245CBF"/>
    <w:rsid w:val="002554EE"/>
    <w:rsid w:val="00270B3E"/>
    <w:rsid w:val="00277AAE"/>
    <w:rsid w:val="00285F0C"/>
    <w:rsid w:val="00291187"/>
    <w:rsid w:val="002933C3"/>
    <w:rsid w:val="002A01B8"/>
    <w:rsid w:val="002A4B97"/>
    <w:rsid w:val="002B5E89"/>
    <w:rsid w:val="002C4223"/>
    <w:rsid w:val="002D3492"/>
    <w:rsid w:val="002D4370"/>
    <w:rsid w:val="002D47ED"/>
    <w:rsid w:val="002D5BBD"/>
    <w:rsid w:val="002E09D6"/>
    <w:rsid w:val="002E7E94"/>
    <w:rsid w:val="002F3836"/>
    <w:rsid w:val="002F7594"/>
    <w:rsid w:val="00306503"/>
    <w:rsid w:val="00314040"/>
    <w:rsid w:val="00325C64"/>
    <w:rsid w:val="00340DE2"/>
    <w:rsid w:val="00354736"/>
    <w:rsid w:val="00366554"/>
    <w:rsid w:val="00370099"/>
    <w:rsid w:val="00377632"/>
    <w:rsid w:val="0038363F"/>
    <w:rsid w:val="00387BEF"/>
    <w:rsid w:val="00393889"/>
    <w:rsid w:val="003A139E"/>
    <w:rsid w:val="003B4ED6"/>
    <w:rsid w:val="003D1C8A"/>
    <w:rsid w:val="003D4EE1"/>
    <w:rsid w:val="003E3199"/>
    <w:rsid w:val="003F06DD"/>
    <w:rsid w:val="003F6A2D"/>
    <w:rsid w:val="0041520E"/>
    <w:rsid w:val="0043073D"/>
    <w:rsid w:val="0043726E"/>
    <w:rsid w:val="0044371B"/>
    <w:rsid w:val="00455D3D"/>
    <w:rsid w:val="00457A38"/>
    <w:rsid w:val="00461CAC"/>
    <w:rsid w:val="00473BB4"/>
    <w:rsid w:val="0047442E"/>
    <w:rsid w:val="00481261"/>
    <w:rsid w:val="004814EF"/>
    <w:rsid w:val="00482CF9"/>
    <w:rsid w:val="00487A0D"/>
    <w:rsid w:val="00496130"/>
    <w:rsid w:val="004A0C48"/>
    <w:rsid w:val="004A5BDE"/>
    <w:rsid w:val="004A7824"/>
    <w:rsid w:val="004B55FF"/>
    <w:rsid w:val="004C0120"/>
    <w:rsid w:val="004C22B2"/>
    <w:rsid w:val="004D322C"/>
    <w:rsid w:val="004D6148"/>
    <w:rsid w:val="004D7ECA"/>
    <w:rsid w:val="004F23CD"/>
    <w:rsid w:val="004F3FFD"/>
    <w:rsid w:val="00506B0B"/>
    <w:rsid w:val="0051124F"/>
    <w:rsid w:val="005307F1"/>
    <w:rsid w:val="00532AF4"/>
    <w:rsid w:val="00536AD0"/>
    <w:rsid w:val="00543475"/>
    <w:rsid w:val="00547581"/>
    <w:rsid w:val="00553E30"/>
    <w:rsid w:val="00554709"/>
    <w:rsid w:val="0057612B"/>
    <w:rsid w:val="00585401"/>
    <w:rsid w:val="00586AEC"/>
    <w:rsid w:val="005900D8"/>
    <w:rsid w:val="005907C8"/>
    <w:rsid w:val="00593AAB"/>
    <w:rsid w:val="005A0A62"/>
    <w:rsid w:val="005B21AE"/>
    <w:rsid w:val="005C460D"/>
    <w:rsid w:val="005C6C90"/>
    <w:rsid w:val="005F4D06"/>
    <w:rsid w:val="006054D4"/>
    <w:rsid w:val="00610B0A"/>
    <w:rsid w:val="00615413"/>
    <w:rsid w:val="006207B9"/>
    <w:rsid w:val="0062173D"/>
    <w:rsid w:val="00665680"/>
    <w:rsid w:val="00682323"/>
    <w:rsid w:val="006823A1"/>
    <w:rsid w:val="006A442A"/>
    <w:rsid w:val="006B726E"/>
    <w:rsid w:val="006B796A"/>
    <w:rsid w:val="006C00A1"/>
    <w:rsid w:val="006C6E46"/>
    <w:rsid w:val="006C7A0E"/>
    <w:rsid w:val="006D6F0E"/>
    <w:rsid w:val="006E1D1A"/>
    <w:rsid w:val="006E302E"/>
    <w:rsid w:val="006E4064"/>
    <w:rsid w:val="006E5A26"/>
    <w:rsid w:val="006F032D"/>
    <w:rsid w:val="006F33AF"/>
    <w:rsid w:val="006F7F3C"/>
    <w:rsid w:val="007008CC"/>
    <w:rsid w:val="007020D2"/>
    <w:rsid w:val="0070330A"/>
    <w:rsid w:val="00707109"/>
    <w:rsid w:val="007249E8"/>
    <w:rsid w:val="00736515"/>
    <w:rsid w:val="007372BB"/>
    <w:rsid w:val="00776382"/>
    <w:rsid w:val="00777ADE"/>
    <w:rsid w:val="007828EC"/>
    <w:rsid w:val="00784409"/>
    <w:rsid w:val="007A2F40"/>
    <w:rsid w:val="007B5B1C"/>
    <w:rsid w:val="007C06E7"/>
    <w:rsid w:val="007C0D15"/>
    <w:rsid w:val="007C19E2"/>
    <w:rsid w:val="007C756E"/>
    <w:rsid w:val="007D0340"/>
    <w:rsid w:val="007D597E"/>
    <w:rsid w:val="007D6DB3"/>
    <w:rsid w:val="007F38C4"/>
    <w:rsid w:val="00817878"/>
    <w:rsid w:val="00824BB5"/>
    <w:rsid w:val="008552E3"/>
    <w:rsid w:val="008620FB"/>
    <w:rsid w:val="00863FEA"/>
    <w:rsid w:val="00890D83"/>
    <w:rsid w:val="008A49ED"/>
    <w:rsid w:val="008B0097"/>
    <w:rsid w:val="008B56E2"/>
    <w:rsid w:val="008C4D63"/>
    <w:rsid w:val="008C4DF6"/>
    <w:rsid w:val="008C5AE8"/>
    <w:rsid w:val="008D5B7C"/>
    <w:rsid w:val="008E09DB"/>
    <w:rsid w:val="008E1770"/>
    <w:rsid w:val="00912639"/>
    <w:rsid w:val="009206AE"/>
    <w:rsid w:val="009223E2"/>
    <w:rsid w:val="0092616E"/>
    <w:rsid w:val="00930BFC"/>
    <w:rsid w:val="00935C7E"/>
    <w:rsid w:val="00944DAD"/>
    <w:rsid w:val="0095218E"/>
    <w:rsid w:val="00955A53"/>
    <w:rsid w:val="009568D4"/>
    <w:rsid w:val="0095744D"/>
    <w:rsid w:val="0097642E"/>
    <w:rsid w:val="0098149B"/>
    <w:rsid w:val="00984F2A"/>
    <w:rsid w:val="009869E6"/>
    <w:rsid w:val="009A4D65"/>
    <w:rsid w:val="009E668A"/>
    <w:rsid w:val="00A00C87"/>
    <w:rsid w:val="00A01C6F"/>
    <w:rsid w:val="00A0347D"/>
    <w:rsid w:val="00A03581"/>
    <w:rsid w:val="00A03AB8"/>
    <w:rsid w:val="00A049F9"/>
    <w:rsid w:val="00A07501"/>
    <w:rsid w:val="00A077F3"/>
    <w:rsid w:val="00A24BFB"/>
    <w:rsid w:val="00A2706E"/>
    <w:rsid w:val="00A345CE"/>
    <w:rsid w:val="00A34DC9"/>
    <w:rsid w:val="00A37B25"/>
    <w:rsid w:val="00A53524"/>
    <w:rsid w:val="00A61395"/>
    <w:rsid w:val="00A6387D"/>
    <w:rsid w:val="00A729FB"/>
    <w:rsid w:val="00A73928"/>
    <w:rsid w:val="00A74143"/>
    <w:rsid w:val="00A7651F"/>
    <w:rsid w:val="00A91405"/>
    <w:rsid w:val="00A9624F"/>
    <w:rsid w:val="00A9663C"/>
    <w:rsid w:val="00AA7BDD"/>
    <w:rsid w:val="00AC1215"/>
    <w:rsid w:val="00AC3846"/>
    <w:rsid w:val="00AC561C"/>
    <w:rsid w:val="00AE2110"/>
    <w:rsid w:val="00AF1996"/>
    <w:rsid w:val="00AF4E28"/>
    <w:rsid w:val="00AF6B48"/>
    <w:rsid w:val="00B00883"/>
    <w:rsid w:val="00B06A26"/>
    <w:rsid w:val="00B07744"/>
    <w:rsid w:val="00B12E41"/>
    <w:rsid w:val="00B1437B"/>
    <w:rsid w:val="00B1566B"/>
    <w:rsid w:val="00B207E4"/>
    <w:rsid w:val="00B25BD7"/>
    <w:rsid w:val="00B313D8"/>
    <w:rsid w:val="00B31E80"/>
    <w:rsid w:val="00B3279E"/>
    <w:rsid w:val="00B40107"/>
    <w:rsid w:val="00B40EF8"/>
    <w:rsid w:val="00B4416F"/>
    <w:rsid w:val="00B50AE0"/>
    <w:rsid w:val="00B56BC8"/>
    <w:rsid w:val="00B56BD0"/>
    <w:rsid w:val="00B62F69"/>
    <w:rsid w:val="00B66FF7"/>
    <w:rsid w:val="00B776C0"/>
    <w:rsid w:val="00B86484"/>
    <w:rsid w:val="00B92625"/>
    <w:rsid w:val="00B94C24"/>
    <w:rsid w:val="00B961AA"/>
    <w:rsid w:val="00BA49F7"/>
    <w:rsid w:val="00BE2A5A"/>
    <w:rsid w:val="00BF270C"/>
    <w:rsid w:val="00C04C19"/>
    <w:rsid w:val="00C15FD0"/>
    <w:rsid w:val="00C26A34"/>
    <w:rsid w:val="00C31511"/>
    <w:rsid w:val="00C344D3"/>
    <w:rsid w:val="00C438AC"/>
    <w:rsid w:val="00C55B15"/>
    <w:rsid w:val="00C71538"/>
    <w:rsid w:val="00C73886"/>
    <w:rsid w:val="00C81096"/>
    <w:rsid w:val="00C914C7"/>
    <w:rsid w:val="00CC3B99"/>
    <w:rsid w:val="00CD3A43"/>
    <w:rsid w:val="00CD493E"/>
    <w:rsid w:val="00CD7EEF"/>
    <w:rsid w:val="00CE56AD"/>
    <w:rsid w:val="00D02031"/>
    <w:rsid w:val="00D02807"/>
    <w:rsid w:val="00D050D6"/>
    <w:rsid w:val="00D26949"/>
    <w:rsid w:val="00D278AC"/>
    <w:rsid w:val="00D340F0"/>
    <w:rsid w:val="00D34266"/>
    <w:rsid w:val="00D42220"/>
    <w:rsid w:val="00D4587D"/>
    <w:rsid w:val="00D50817"/>
    <w:rsid w:val="00D513F7"/>
    <w:rsid w:val="00D52A85"/>
    <w:rsid w:val="00D55CF1"/>
    <w:rsid w:val="00D6013E"/>
    <w:rsid w:val="00D60202"/>
    <w:rsid w:val="00D652C3"/>
    <w:rsid w:val="00D92407"/>
    <w:rsid w:val="00D942D2"/>
    <w:rsid w:val="00DB0D52"/>
    <w:rsid w:val="00DB7B5F"/>
    <w:rsid w:val="00DC20FC"/>
    <w:rsid w:val="00DC79E6"/>
    <w:rsid w:val="00DD3677"/>
    <w:rsid w:val="00DE0C61"/>
    <w:rsid w:val="00DF47C3"/>
    <w:rsid w:val="00DF4815"/>
    <w:rsid w:val="00E123F7"/>
    <w:rsid w:val="00E131B0"/>
    <w:rsid w:val="00E165EF"/>
    <w:rsid w:val="00E17DA2"/>
    <w:rsid w:val="00E223CB"/>
    <w:rsid w:val="00E231AF"/>
    <w:rsid w:val="00E30CF3"/>
    <w:rsid w:val="00E353C9"/>
    <w:rsid w:val="00E35870"/>
    <w:rsid w:val="00E416AB"/>
    <w:rsid w:val="00E43611"/>
    <w:rsid w:val="00E51A27"/>
    <w:rsid w:val="00E53871"/>
    <w:rsid w:val="00E71818"/>
    <w:rsid w:val="00E733C2"/>
    <w:rsid w:val="00E76182"/>
    <w:rsid w:val="00E80B1A"/>
    <w:rsid w:val="00E862DF"/>
    <w:rsid w:val="00E8735F"/>
    <w:rsid w:val="00E965E4"/>
    <w:rsid w:val="00E969BE"/>
    <w:rsid w:val="00EA1F29"/>
    <w:rsid w:val="00EB725F"/>
    <w:rsid w:val="00EC053B"/>
    <w:rsid w:val="00ED1C61"/>
    <w:rsid w:val="00EE29B1"/>
    <w:rsid w:val="00EE3FB9"/>
    <w:rsid w:val="00EF7DF5"/>
    <w:rsid w:val="00F02571"/>
    <w:rsid w:val="00F03619"/>
    <w:rsid w:val="00F10687"/>
    <w:rsid w:val="00F20753"/>
    <w:rsid w:val="00F23F4F"/>
    <w:rsid w:val="00F2412D"/>
    <w:rsid w:val="00F27215"/>
    <w:rsid w:val="00F31E1A"/>
    <w:rsid w:val="00F47659"/>
    <w:rsid w:val="00F558F0"/>
    <w:rsid w:val="00F56D90"/>
    <w:rsid w:val="00F63246"/>
    <w:rsid w:val="00F63A4D"/>
    <w:rsid w:val="00F674FF"/>
    <w:rsid w:val="00F80412"/>
    <w:rsid w:val="00F83FAA"/>
    <w:rsid w:val="00FA07D0"/>
    <w:rsid w:val="00FB221D"/>
    <w:rsid w:val="00FB23F4"/>
    <w:rsid w:val="00FB35E0"/>
    <w:rsid w:val="00FD52ED"/>
    <w:rsid w:val="00FF36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C0B25F7D-663F-46F0-91CB-7FCDBE33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020CA8"/>
  </w:style>
  <w:style w:type="character" w:styleId="Hyperlink">
    <w:name w:val="Hyperlink"/>
    <w:basedOn w:val="DefaultParagraphFont"/>
    <w:uiPriority w:val="99"/>
    <w:unhideWhenUsed/>
    <w:rsid w:val="00D020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7389">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3558">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8B6CE48F-DFC0-4ADF-A8BF-C37B88EE2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789A9E3C-D311-4175-A2A8-83B6B4A6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3108</Words>
  <Characters>1773</Characters>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2024-02-08T14:26:00Z</dcterms:created>
  <dcterms:modified xsi:type="dcterms:W3CDTF">2026-05-04T10:04:00Z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fcec591c-d177-4107-83a0-30cbab675abe</vt:lpwstr>
  </property>
</Properties>
</file>