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2FC0" w14:textId="37C83EA9" w:rsidR="005A06CA" w:rsidRDefault="005A06CA" w:rsidP="00C60FFA">
      <w:pPr>
        <w:tabs>
          <w:tab w:val="left" w:pos="6096"/>
        </w:tabs>
        <w:ind w:left="6096"/>
      </w:pPr>
      <w:r>
        <w:t xml:space="preserve">                  P</w:t>
      </w:r>
      <w:r w:rsidR="00C60FFA" w:rsidRPr="002534F7">
        <w:t>irkimo sąlygų</w:t>
      </w:r>
    </w:p>
    <w:p w14:paraId="56908F3E" w14:textId="6FC99416" w:rsidR="00C60FFA" w:rsidRPr="00595522" w:rsidRDefault="00C60FFA" w:rsidP="00C60FFA">
      <w:pPr>
        <w:tabs>
          <w:tab w:val="left" w:pos="6096"/>
        </w:tabs>
        <w:ind w:left="6096"/>
        <w:rPr>
          <w:b/>
          <w:bCs/>
        </w:rPr>
      </w:pPr>
      <w:r w:rsidRPr="002534F7">
        <w:t xml:space="preserve"> </w:t>
      </w:r>
      <w:r w:rsidR="005A06CA">
        <w:t xml:space="preserve">                 </w:t>
      </w:r>
      <w:r>
        <w:rPr>
          <w:b/>
          <w:bCs/>
        </w:rPr>
        <w:t>1</w:t>
      </w:r>
      <w:r w:rsidRPr="00595522">
        <w:rPr>
          <w:b/>
          <w:bCs/>
        </w:rPr>
        <w:t> priedas</w:t>
      </w:r>
    </w:p>
    <w:p w14:paraId="4D4FC42E" w14:textId="77777777" w:rsidR="00C60FFA" w:rsidRDefault="00C60FFA" w:rsidP="00C60FFA">
      <w:pPr>
        <w:spacing w:before="80" w:after="80"/>
        <w:jc w:val="center"/>
        <w:rPr>
          <w:szCs w:val="24"/>
        </w:rPr>
      </w:pPr>
    </w:p>
    <w:p w14:paraId="0825E9DD" w14:textId="77777777" w:rsidR="00C60FFA" w:rsidRPr="00EE5CF5" w:rsidRDefault="00C60FFA" w:rsidP="00C60FFA">
      <w:pPr>
        <w:spacing w:before="80" w:after="80"/>
        <w:jc w:val="center"/>
        <w:rPr>
          <w:szCs w:val="24"/>
        </w:rPr>
      </w:pPr>
    </w:p>
    <w:p w14:paraId="31896BE6" w14:textId="77777777" w:rsidR="00C60FFA" w:rsidRPr="008E3862" w:rsidRDefault="00C60FFA" w:rsidP="00C60FFA">
      <w:pPr>
        <w:spacing w:before="80" w:after="80"/>
        <w:jc w:val="center"/>
        <w:rPr>
          <w:b/>
          <w:bCs/>
          <w:szCs w:val="24"/>
        </w:rPr>
      </w:pPr>
      <w:r>
        <w:rPr>
          <w:b/>
          <w:bCs/>
          <w:szCs w:val="24"/>
        </w:rPr>
        <w:t xml:space="preserve">BANDOMOJO </w:t>
      </w:r>
      <w:r w:rsidRPr="008E3862">
        <w:rPr>
          <w:b/>
          <w:bCs/>
          <w:szCs w:val="24"/>
        </w:rPr>
        <w:t xml:space="preserve">TYRIMO </w:t>
      </w:r>
      <w:r>
        <w:rPr>
          <w:b/>
          <w:bCs/>
          <w:szCs w:val="24"/>
        </w:rPr>
        <w:t xml:space="preserve">DĖL </w:t>
      </w:r>
      <w:r w:rsidRPr="008E3862">
        <w:rPr>
          <w:b/>
          <w:bCs/>
          <w:szCs w:val="24"/>
        </w:rPr>
        <w:t xml:space="preserve">VIEŠOJO INTERESO GYNIMO NEKILNOJAMOJO KULTŪROS PAVELDO </w:t>
      </w:r>
      <w:r>
        <w:rPr>
          <w:b/>
          <w:bCs/>
          <w:szCs w:val="24"/>
        </w:rPr>
        <w:t xml:space="preserve">SRITYJE </w:t>
      </w:r>
      <w:r w:rsidRPr="008E3862">
        <w:rPr>
          <w:b/>
          <w:bCs/>
          <w:szCs w:val="24"/>
        </w:rPr>
        <w:t>ATLIKIMO TECHNINĖ</w:t>
      </w:r>
      <w:r>
        <w:rPr>
          <w:b/>
          <w:bCs/>
          <w:szCs w:val="24"/>
        </w:rPr>
        <w:t xml:space="preserve"> </w:t>
      </w:r>
      <w:r w:rsidRPr="008E3862">
        <w:rPr>
          <w:b/>
          <w:bCs/>
          <w:szCs w:val="24"/>
        </w:rPr>
        <w:t>SPECIFIKACIJA</w:t>
      </w:r>
    </w:p>
    <w:p w14:paraId="7FFD1B43" w14:textId="77777777" w:rsidR="00C60FFA" w:rsidRDefault="00C60FFA" w:rsidP="00C60FFA">
      <w:pPr>
        <w:spacing w:before="80" w:after="80"/>
        <w:jc w:val="center"/>
        <w:rPr>
          <w:szCs w:val="24"/>
        </w:rPr>
      </w:pPr>
    </w:p>
    <w:p w14:paraId="2C0BC8D6" w14:textId="77777777" w:rsidR="00C60FFA" w:rsidRPr="00EE5CF5" w:rsidRDefault="00C60FFA" w:rsidP="00C60FFA">
      <w:pPr>
        <w:spacing w:before="80" w:after="80"/>
        <w:jc w:val="center"/>
        <w:rPr>
          <w:szCs w:val="24"/>
        </w:rPr>
      </w:pPr>
    </w:p>
    <w:p w14:paraId="5B247802" w14:textId="77777777" w:rsidR="00C60FFA" w:rsidRPr="008E3862" w:rsidRDefault="00C60FFA" w:rsidP="00C60FFA">
      <w:pPr>
        <w:spacing w:before="80" w:after="80"/>
        <w:jc w:val="center"/>
        <w:rPr>
          <w:b/>
          <w:bCs/>
          <w:szCs w:val="24"/>
        </w:rPr>
      </w:pPr>
      <w:r w:rsidRPr="008E3862">
        <w:rPr>
          <w:b/>
          <w:bCs/>
          <w:szCs w:val="24"/>
        </w:rPr>
        <w:t>I. PIRKIMO KONTEKSTAS</w:t>
      </w:r>
    </w:p>
    <w:p w14:paraId="211CBC65" w14:textId="77777777" w:rsidR="00C60FFA" w:rsidRPr="00EE5CF5" w:rsidRDefault="00C60FFA" w:rsidP="00C60FFA">
      <w:pPr>
        <w:spacing w:before="80" w:after="80"/>
        <w:jc w:val="center"/>
        <w:rPr>
          <w:szCs w:val="24"/>
        </w:rPr>
      </w:pPr>
    </w:p>
    <w:p w14:paraId="66743619" w14:textId="77777777" w:rsidR="00C60FFA" w:rsidRPr="003939A6" w:rsidRDefault="00C60FFA" w:rsidP="00C60FFA">
      <w:pPr>
        <w:spacing w:before="80" w:after="80"/>
        <w:ind w:firstLine="720"/>
        <w:jc w:val="both"/>
        <w:rPr>
          <w:rStyle w:val="Hipersaitas"/>
          <w:color w:val="auto"/>
          <w:szCs w:val="24"/>
          <w:u w:val="none"/>
        </w:rPr>
      </w:pPr>
      <w:r w:rsidRPr="003939A6">
        <w:rPr>
          <w:szCs w:val="24"/>
        </w:rPr>
        <w:t xml:space="preserve">1.1. </w:t>
      </w:r>
      <w:r w:rsidRPr="003939A6">
        <w:rPr>
          <w:rStyle w:val="Hipersaitas"/>
          <w:color w:val="auto"/>
          <w:szCs w:val="24"/>
          <w:u w:val="none"/>
        </w:rPr>
        <w:t>Nekilnojamojo kultūros paveldo apsaugos sritis yra ir tarptautinės teisės ir nacionalinės teisės reguliavimo objektas, suvokiama kaip viešojo intereso sritis. Lietuvos valstybė, prisidėdama prie tarptautinių susitarimų, užtikrina nekilnojamųjų kultūros vertybių apsaugą, derindama tarptautinės teisės šaltiniuose įtvirtintus apsaugos principus su nacionaline teise.</w:t>
      </w:r>
      <w:r w:rsidRPr="003939A6">
        <w:rPr>
          <w:rStyle w:val="Puslapioinaosnuoroda"/>
          <w:szCs w:val="24"/>
        </w:rPr>
        <w:footnoteReference w:id="1"/>
      </w:r>
      <w:r w:rsidRPr="003939A6">
        <w:rPr>
          <w:rStyle w:val="Hipersaitas"/>
          <w:color w:val="auto"/>
          <w:szCs w:val="24"/>
          <w:u w:val="none"/>
        </w:rPr>
        <w:t xml:space="preserve"> </w:t>
      </w:r>
    </w:p>
    <w:p w14:paraId="134C3AE5"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1.2. Nekilnojamojo kultūros paveldo apsauga yra pripažįstama kaip vienas iš viešųjų interesų tarptautiniuose teisės aktuose, pvz., UNESCO Pasaulio kultūros ir gamtos paveldo konvencija, Europos Tarybos Europos architektūros paveldo apsaugos konvencija ar Europos Tarybos kultūros paveldo vertės visuomenei pagrindų konvencija, kuriuose nustatomi specialūs paveldo apsaugos reikalavimai. </w:t>
      </w:r>
    </w:p>
    <w:p w14:paraId="6E7C268D"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1.3. Lietuvos teisinėje sistemoje nekilnojamojo kultūros paveldo apsauga taip pat yra įtvirtinta kaip vienas iš viešųjų interesų. Visų pirma, nekilnojamojo kultūros paveldo apsaugos svarb</w:t>
      </w:r>
      <w:r>
        <w:rPr>
          <w:rStyle w:val="Hipersaitas"/>
          <w:color w:val="auto"/>
          <w:szCs w:val="24"/>
          <w:u w:val="none"/>
        </w:rPr>
        <w:t>a</w:t>
      </w:r>
      <w:r w:rsidRPr="003939A6">
        <w:rPr>
          <w:rStyle w:val="Hipersaitas"/>
          <w:color w:val="auto"/>
          <w:szCs w:val="24"/>
          <w:u w:val="none"/>
        </w:rPr>
        <w:t xml:space="preserve"> įtvirtin</w:t>
      </w:r>
      <w:r>
        <w:rPr>
          <w:rStyle w:val="Hipersaitas"/>
          <w:color w:val="auto"/>
          <w:szCs w:val="24"/>
          <w:u w:val="none"/>
        </w:rPr>
        <w:t>ta</w:t>
      </w:r>
      <w:r w:rsidRPr="003939A6">
        <w:rPr>
          <w:rStyle w:val="Hipersaitas"/>
          <w:color w:val="auto"/>
          <w:szCs w:val="24"/>
          <w:u w:val="none"/>
        </w:rPr>
        <w:t xml:space="preserve"> </w:t>
      </w:r>
      <w:r w:rsidRPr="00571A56">
        <w:rPr>
          <w:szCs w:val="24"/>
        </w:rPr>
        <w:t>Lietuvos Respublikos Konstitucijoje:</w:t>
      </w:r>
      <w:r w:rsidRPr="003939A6">
        <w:rPr>
          <w:rStyle w:val="Hipersaitas"/>
          <w:color w:val="auto"/>
          <w:szCs w:val="24"/>
          <w:u w:val="none"/>
        </w:rPr>
        <w:t xml:space="preserve"> „Lietuvos Respublikai išimtine nuosavybės teise priklauso: žemės gelmės, taip pat valstybinės reikšmės vidaus vandenys, miškai, parkai, keliai, istorijos, archeologijos ir kultūros objektai“. Kiti pagrindiniai nekilnojamojo kultūros paveldo apsaugą reglamentuojantys teisės aktai: Nekilnojamojo kultūros paveldo apsaugos įstatymas, Saugomų teritorijų įstatymas, Teritorijų planavimo įstatymas (jame tiesiogiai kultūros paveldas įtvirtintas kaip viešasis interesas) ir Statybos įstatymas. </w:t>
      </w:r>
    </w:p>
    <w:p w14:paraId="2BDFD461"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1.4. Lietuvos Respublikos Seimo 2022 m. birželio 28 d. nutarimu Nr. XIV-1178 ,,Dėl 2022–2033 metų nacionalinės darbotvarkės korupcijos prevencijos klausimais patvirtinimo“ patvirtinta 2022–2033 metų nacionalinė darbotvarkė korupcijos prevencijos klausimais (toliau – Darbotvarkė), kurios strateginis tikslas – sukurti korupcijai atsparią aplinką viešajame ir privačiame sektoriuose. Šio tikslo bus siekiama trimis kryptimis: 1) formuojant antikorupcines nuostatas ir plėtojant antikorupcines kompetencijas; 2) siekiant tvarių, neteisėtai įtakai atsparių politinių, valdymo, administracinių ir finansinių sprendimų bei kokybiškų viešųjų ir administracinių paslaugų; 3) siekiant veiksmingos korupcijos kontrolės ir nešališko, objektyvaus teisingumo vykdymo bei teisės viršenybės užtikrinimo. </w:t>
      </w:r>
    </w:p>
    <w:p w14:paraId="44E3491B"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1.5. Vienas iš Darbotvarkėje numatytų uždavinių – veiksmingiau ginti viešąjį interesą. Siekiant šio uždavinio turėtų būti peržiūrėta viešojo intereso gynimo politika, keičiamas ydingas, pažeidimus galimai lemiantis teisinis reguliavimas, nuosekliai įgyvendinama regreso teisė ir šalinamos viešojo intereso pažeidimo prielaidos, turi būti skatinamas institucijų, turinčių teises ir pareigas ginti viešąjį interesą, aktyvumas inicijuojant viešojo intereso gynimą ir jį ginant.</w:t>
      </w:r>
    </w:p>
    <w:p w14:paraId="5E786FAB"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1.6. Šiuo metu trūksta tyrimų dėl atstovavimo teismuose ginant viešąjį interesą kultūros paveldo srityje (kiek šiuose procesuose dalyvauja Lietuvos Respublikos generalinė prokuratūra, Kultūros paveldo departamentas ar kitos institucijos), taip pat ir dėl teismų sprendimų vykdymo, regreso teisės taikymo.</w:t>
      </w:r>
    </w:p>
    <w:p w14:paraId="4D60CB50"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1.7. Darbotvarkės įgyvendinimo 2023–2025 metų plane, patvirtintame Lietuvos Respublikos Vyriausybės 2023 m. gegužės 3 d. nutarimu Nr. 324 </w:t>
      </w:r>
      <w:r>
        <w:rPr>
          <w:rStyle w:val="Hipersaitas"/>
          <w:color w:val="auto"/>
          <w:szCs w:val="24"/>
          <w:u w:val="none"/>
        </w:rPr>
        <w:t>„D</w:t>
      </w:r>
      <w:r w:rsidRPr="00571A56">
        <w:rPr>
          <w:rStyle w:val="Hipersaitas"/>
          <w:color w:val="auto"/>
          <w:szCs w:val="24"/>
          <w:u w:val="none"/>
        </w:rPr>
        <w:t>ėl 2022–2033 metų nacionalinės darbotvarkės korupcijos prevencijos klausimais koordinatoriaus paskyrimo ir 2022–2033 metų nacionalinės darbotvarkės korupcijos prevencijos klausimais įgyvendinimo 2023–2025 metų plano patvirtinimo</w:t>
      </w:r>
      <w:r>
        <w:rPr>
          <w:rStyle w:val="Hipersaitas"/>
          <w:color w:val="auto"/>
          <w:szCs w:val="24"/>
          <w:u w:val="none"/>
        </w:rPr>
        <w:t xml:space="preserve">“ </w:t>
      </w:r>
      <w:r w:rsidRPr="003939A6">
        <w:rPr>
          <w:rStyle w:val="Hipersaitas"/>
          <w:color w:val="auto"/>
          <w:szCs w:val="24"/>
          <w:u w:val="none"/>
        </w:rPr>
        <w:t>numatyta</w:t>
      </w:r>
      <w:r>
        <w:rPr>
          <w:rStyle w:val="Hipersaitas"/>
          <w:color w:val="auto"/>
          <w:szCs w:val="24"/>
          <w:u w:val="none"/>
        </w:rPr>
        <w:t>s</w:t>
      </w:r>
      <w:r w:rsidRPr="003939A6">
        <w:rPr>
          <w:rStyle w:val="Hipersaitas"/>
          <w:color w:val="auto"/>
          <w:szCs w:val="24"/>
          <w:u w:val="none"/>
        </w:rPr>
        <w:t xml:space="preserve"> </w:t>
      </w:r>
      <w:r>
        <w:rPr>
          <w:rStyle w:val="Hipersaitas"/>
          <w:color w:val="auto"/>
          <w:szCs w:val="24"/>
          <w:u w:val="none"/>
        </w:rPr>
        <w:t>uždavinys</w:t>
      </w:r>
      <w:r w:rsidRPr="003939A6">
        <w:rPr>
          <w:rStyle w:val="Hipersaitas"/>
          <w:color w:val="auto"/>
          <w:szCs w:val="24"/>
          <w:u w:val="none"/>
        </w:rPr>
        <w:t xml:space="preserve"> – „Atlikti bandomąjį tyrimą AM</w:t>
      </w:r>
      <w:r>
        <w:rPr>
          <w:rStyle w:val="Puslapioinaosnuoroda"/>
          <w:szCs w:val="24"/>
        </w:rPr>
        <w:footnoteReference w:id="2"/>
      </w:r>
      <w:r w:rsidRPr="003939A6">
        <w:rPr>
          <w:rStyle w:val="Hipersaitas"/>
          <w:color w:val="auto"/>
          <w:szCs w:val="24"/>
          <w:u w:val="none"/>
        </w:rPr>
        <w:t xml:space="preserve"> ir KM</w:t>
      </w:r>
      <w:r>
        <w:rPr>
          <w:rStyle w:val="Puslapioinaosnuoroda"/>
          <w:szCs w:val="24"/>
        </w:rPr>
        <w:footnoteReference w:id="3"/>
      </w:r>
      <w:r w:rsidRPr="003939A6">
        <w:rPr>
          <w:rStyle w:val="Hipersaitas"/>
          <w:color w:val="auto"/>
          <w:szCs w:val="24"/>
          <w:u w:val="none"/>
        </w:rPr>
        <w:t xml:space="preserve"> valdymo srityje dėl viešojo intereso gynimo proceso civiline ar administracine tvarka, apimančio ne tik atstovavimą teismuose, bet ir teismų sprendimų </w:t>
      </w:r>
      <w:r w:rsidRPr="003939A6">
        <w:rPr>
          <w:rStyle w:val="Hipersaitas"/>
          <w:color w:val="auto"/>
          <w:szCs w:val="24"/>
          <w:u w:val="none"/>
        </w:rPr>
        <w:lastRenderedPageBreak/>
        <w:t>vykdymą, regreso teisės taikymą, teisės spragų ar teisinio reguliavimo, sąlygojusių pralaimėtas bylas, keitimą, taip pat dėl šio proceso stebėsenos sistemos.“</w:t>
      </w:r>
    </w:p>
    <w:p w14:paraId="15648DE3" w14:textId="77777777" w:rsidR="00C60FFA" w:rsidRPr="003939A6" w:rsidRDefault="00C60FFA" w:rsidP="00C60FFA">
      <w:pPr>
        <w:spacing w:before="80" w:after="80"/>
        <w:ind w:firstLine="720"/>
        <w:jc w:val="both"/>
        <w:rPr>
          <w:rStyle w:val="Hipersaitas"/>
          <w:color w:val="auto"/>
          <w:szCs w:val="24"/>
          <w:u w:val="none"/>
        </w:rPr>
      </w:pPr>
    </w:p>
    <w:p w14:paraId="4DA3FE6D" w14:textId="77777777" w:rsidR="00C60FFA" w:rsidRPr="003939A6" w:rsidRDefault="00C60FFA" w:rsidP="00C60FFA">
      <w:pPr>
        <w:spacing w:before="80" w:after="80"/>
        <w:jc w:val="center"/>
        <w:rPr>
          <w:b/>
          <w:bCs/>
          <w:szCs w:val="24"/>
        </w:rPr>
      </w:pPr>
      <w:r w:rsidRPr="003939A6">
        <w:rPr>
          <w:b/>
          <w:bCs/>
          <w:szCs w:val="24"/>
        </w:rPr>
        <w:t>II. PIRKIMO OBJEKTAS, UŽDAVINIAI IR LAUKIAMI REZULTATAI</w:t>
      </w:r>
    </w:p>
    <w:p w14:paraId="276487F2" w14:textId="77777777" w:rsidR="00C60FFA" w:rsidRPr="003939A6" w:rsidRDefault="00C60FFA" w:rsidP="00C60FFA">
      <w:pPr>
        <w:spacing w:before="80" w:after="80"/>
        <w:jc w:val="center"/>
        <w:rPr>
          <w:b/>
          <w:bCs/>
          <w:szCs w:val="24"/>
        </w:rPr>
      </w:pPr>
    </w:p>
    <w:p w14:paraId="56C01B6A"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2.1. </w:t>
      </w:r>
      <w:r w:rsidRPr="003939A6">
        <w:rPr>
          <w:rStyle w:val="Hipersaitas"/>
          <w:b/>
          <w:bCs/>
          <w:color w:val="auto"/>
          <w:szCs w:val="24"/>
          <w:u w:val="none"/>
        </w:rPr>
        <w:t>Perkančioji organizacija</w:t>
      </w:r>
      <w:r w:rsidRPr="003939A6">
        <w:rPr>
          <w:rStyle w:val="Hipersaitas"/>
          <w:color w:val="auto"/>
          <w:szCs w:val="24"/>
          <w:u w:val="none"/>
        </w:rPr>
        <w:t xml:space="preserve"> – Lietuvos Respublikos kultūros ministerija.</w:t>
      </w:r>
    </w:p>
    <w:p w14:paraId="22E89CCF" w14:textId="77777777" w:rsidR="00C60FFA" w:rsidRPr="003939A6" w:rsidRDefault="00C60FFA" w:rsidP="00C60FFA">
      <w:pPr>
        <w:spacing w:before="80" w:after="80"/>
        <w:ind w:firstLine="720"/>
        <w:jc w:val="both"/>
        <w:rPr>
          <w:rStyle w:val="Hipersaitas"/>
          <w:color w:val="auto"/>
          <w:szCs w:val="24"/>
          <w:u w:val="none"/>
        </w:rPr>
      </w:pPr>
    </w:p>
    <w:p w14:paraId="50D468DF"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2.2. </w:t>
      </w:r>
      <w:r w:rsidRPr="003939A6">
        <w:rPr>
          <w:b/>
          <w:bCs/>
          <w:szCs w:val="24"/>
        </w:rPr>
        <w:t>Pirkimo objektas</w:t>
      </w:r>
      <w:r w:rsidRPr="003939A6">
        <w:rPr>
          <w:szCs w:val="24"/>
        </w:rPr>
        <w:t xml:space="preserve"> </w:t>
      </w:r>
      <w:r w:rsidRPr="003939A6">
        <w:rPr>
          <w:rStyle w:val="Hipersaitas"/>
          <w:color w:val="auto"/>
          <w:szCs w:val="24"/>
          <w:u w:val="none"/>
        </w:rPr>
        <w:t>– atlikti bandomąjį tyrimą nekilnojamojo kultūros paveldo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 (toliau – Tyrimas).</w:t>
      </w:r>
    </w:p>
    <w:p w14:paraId="7FC80B46" w14:textId="77777777" w:rsidR="00C60FFA" w:rsidRPr="003939A6" w:rsidRDefault="00C60FFA" w:rsidP="00C60FFA">
      <w:pPr>
        <w:spacing w:before="80" w:after="80"/>
        <w:ind w:firstLine="720"/>
        <w:jc w:val="both"/>
        <w:rPr>
          <w:rStyle w:val="Hipersaitas"/>
          <w:color w:val="auto"/>
          <w:szCs w:val="24"/>
          <w:u w:val="none"/>
        </w:rPr>
      </w:pPr>
    </w:p>
    <w:p w14:paraId="38657B95" w14:textId="77777777" w:rsidR="00C60FFA" w:rsidRPr="003939A6" w:rsidRDefault="00C60FFA" w:rsidP="00C60FFA">
      <w:pPr>
        <w:spacing w:before="80" w:after="80"/>
        <w:ind w:firstLine="720"/>
        <w:jc w:val="both"/>
        <w:rPr>
          <w:rStyle w:val="Hipersaitas"/>
          <w:color w:val="auto"/>
          <w:szCs w:val="24"/>
          <w:u w:val="none"/>
          <w:lang w:val="en-US"/>
        </w:rPr>
      </w:pPr>
      <w:r w:rsidRPr="003939A6">
        <w:rPr>
          <w:rStyle w:val="Hipersaitas"/>
          <w:color w:val="auto"/>
          <w:szCs w:val="24"/>
          <w:u w:val="none"/>
        </w:rPr>
        <w:t xml:space="preserve">2.3. </w:t>
      </w:r>
      <w:r w:rsidRPr="003939A6">
        <w:rPr>
          <w:rStyle w:val="Hipersaitas"/>
          <w:b/>
          <w:bCs/>
          <w:color w:val="auto"/>
          <w:szCs w:val="24"/>
          <w:u w:val="none"/>
        </w:rPr>
        <w:t>Tyrimo tikslas</w:t>
      </w:r>
      <w:r w:rsidRPr="003939A6">
        <w:rPr>
          <w:rStyle w:val="Hipersaitas"/>
          <w:color w:val="auto"/>
          <w:szCs w:val="24"/>
          <w:u w:val="none"/>
        </w:rPr>
        <w:t xml:space="preserve"> – 2020-2025 m. laikotarpiu įvertinti teismo sprendimų</w:t>
      </w:r>
      <w:r>
        <w:rPr>
          <w:rStyle w:val="Hipersaitas"/>
          <w:color w:val="auto"/>
          <w:szCs w:val="24"/>
          <w:u w:val="none"/>
        </w:rPr>
        <w:t xml:space="preserve"> dėl viešojo intereso gynimo </w:t>
      </w:r>
      <w:r w:rsidRPr="003939A6">
        <w:rPr>
          <w:rStyle w:val="Hipersaitas"/>
          <w:color w:val="auto"/>
          <w:szCs w:val="24"/>
          <w:u w:val="none"/>
        </w:rPr>
        <w:t xml:space="preserve">nekilnojamojo kultūros paveldo srityje vykdymą, regreso teisės taikymą bei kaip buvo vykdoma šių procesų stebėsena; taip pat nustatyti galimo teisinio reguliavimo spragas sąlygojusias pralaimėtas bylas ginant viešąjį interesą nekilnojamojo kultūros paveldo srityje, </w:t>
      </w:r>
      <w:bookmarkStart w:id="0" w:name="_Hlk205546423"/>
      <w:r w:rsidRPr="003939A6">
        <w:rPr>
          <w:rStyle w:val="Hipersaitas"/>
          <w:color w:val="auto"/>
          <w:szCs w:val="24"/>
          <w:u w:val="none"/>
        </w:rPr>
        <w:t>identifikuoti galimas priemones, taikytinas siekiant veiksmingiau ginti viešąjį interesą</w:t>
      </w:r>
      <w:bookmarkEnd w:id="0"/>
      <w:r w:rsidRPr="003939A6">
        <w:rPr>
          <w:rStyle w:val="Hipersaitas"/>
          <w:color w:val="auto"/>
          <w:szCs w:val="24"/>
          <w:u w:val="none"/>
        </w:rPr>
        <w:t xml:space="preserve"> šioje srityje.</w:t>
      </w:r>
    </w:p>
    <w:p w14:paraId="2842E669" w14:textId="77777777" w:rsidR="00C60FFA" w:rsidRPr="003939A6" w:rsidRDefault="00C60FFA" w:rsidP="00C60FFA">
      <w:pPr>
        <w:spacing w:before="80" w:after="80"/>
        <w:ind w:firstLine="720"/>
        <w:jc w:val="both"/>
        <w:rPr>
          <w:rStyle w:val="Hipersaitas"/>
          <w:color w:val="auto"/>
          <w:szCs w:val="24"/>
          <w:u w:val="none"/>
        </w:rPr>
      </w:pPr>
    </w:p>
    <w:p w14:paraId="298E1779"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2.4. </w:t>
      </w:r>
      <w:r w:rsidRPr="003939A6">
        <w:rPr>
          <w:rStyle w:val="Hipersaitas"/>
          <w:b/>
          <w:bCs/>
          <w:color w:val="auto"/>
          <w:szCs w:val="24"/>
          <w:u w:val="none"/>
        </w:rPr>
        <w:t>Tyrimo uždaviniai</w:t>
      </w:r>
      <w:r w:rsidRPr="003939A6">
        <w:rPr>
          <w:rStyle w:val="Hipersaitas"/>
          <w:color w:val="auto"/>
          <w:szCs w:val="24"/>
          <w:u w:val="none"/>
        </w:rPr>
        <w:t>:</w:t>
      </w:r>
    </w:p>
    <w:p w14:paraId="4B2741D1"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2.4.1. išanalizuoti, aprašyti ir įvertinti teisinį reguliavimą, užtikrinantį viešojo intereso gynimą nekilnojamojo kultūros paveldo apsaugos srityje;</w:t>
      </w:r>
    </w:p>
    <w:p w14:paraId="3C14C5FE"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2.4.2. išanalizuoti, aprašyti ir įvertinti administracinę ir civilinę teisminę praktiką (5 pastarųjų metų laikotarpiu) ginant viešąjį interesą nekilnojamojo kultūros paveldo apsaugos srityje, kuomet teisminėse bylose suformuluotas viešojo intereso gynimo reikalavimas bei kokia viešojo administravimo institucija tą procesą inicijavo;</w:t>
      </w:r>
    </w:p>
    <w:p w14:paraId="03FC7DAA"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2.4.3. išanalizuoti, aprašyti ir įvertinti teismo sprendimų įgyvendinimą užtikrinant viešąjį interesą nekilnojamojo kultūros paveldo apsaugos srityje ir Valstybei padarytos žalos atlyginimą taikant regreso teisę;</w:t>
      </w:r>
    </w:p>
    <w:p w14:paraId="086D94D0"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2.4.4. nustatyti teisinio reguliavimo spragas ir trūkumus ginant viešąjį interesą nekilnojamojo kultūros paveldo apsaugos srityje ir pateikti siūlymus teisinio reguliavimo tobulinimui; įvertinti ar buvo ir kaip buvo keičiamos teisės spragos ar teisinis reguliavimas, sąlygojęs pralaimėtas bylas;</w:t>
      </w:r>
    </w:p>
    <w:p w14:paraId="6EF2AFEC"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2.4.5. suformuoti siūlymus ir rekomendacijas dėl viešojo administravimo institucijos, kuri galėtų efektyviausiai ginti viešąjį interesą nekilnojamojo kultūros paveldo apsaugos srityje;</w:t>
      </w:r>
    </w:p>
    <w:p w14:paraId="6F53F20F"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2.4.6. </w:t>
      </w:r>
      <w:bookmarkStart w:id="1" w:name="_Hlk205546736"/>
      <w:r w:rsidRPr="003939A6">
        <w:rPr>
          <w:rStyle w:val="Hipersaitas"/>
          <w:color w:val="auto"/>
          <w:szCs w:val="24"/>
          <w:u w:val="none"/>
        </w:rPr>
        <w:t>suformuluoti siūlymus ir rekomendacijas galimų priemonių, taikytinų siekiant veiksmingiau ginti viešąjį interesą nekilnojamojo kultūros paveldo apsaugos srityje;</w:t>
      </w:r>
    </w:p>
    <w:bookmarkEnd w:id="1"/>
    <w:p w14:paraId="027A1713"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2.4.7. suformuoti siūlymus ir rekomendacijas dėl viešojo intereso gynimo nekilnojamojo kultūros paveldo apsaugos srityje proceso stebėsenos sistemos sukūrimo.</w:t>
      </w:r>
    </w:p>
    <w:p w14:paraId="20D3DD7D" w14:textId="77777777" w:rsidR="00C60FFA" w:rsidRPr="003939A6" w:rsidRDefault="00C60FFA" w:rsidP="00C60FFA">
      <w:pPr>
        <w:spacing w:before="80" w:after="80"/>
        <w:ind w:firstLine="720"/>
        <w:jc w:val="both"/>
        <w:rPr>
          <w:rStyle w:val="Hipersaitas"/>
          <w:color w:val="auto"/>
          <w:szCs w:val="24"/>
          <w:u w:val="none"/>
        </w:rPr>
      </w:pPr>
    </w:p>
    <w:p w14:paraId="7AE4D6FB" w14:textId="77777777" w:rsidR="00C60FFA" w:rsidRPr="003939A6" w:rsidRDefault="00C60FFA" w:rsidP="00C60FFA">
      <w:pPr>
        <w:spacing w:before="80" w:after="80"/>
        <w:jc w:val="center"/>
        <w:rPr>
          <w:b/>
          <w:bCs/>
        </w:rPr>
      </w:pPr>
      <w:r w:rsidRPr="003939A6">
        <w:rPr>
          <w:b/>
          <w:bCs/>
        </w:rPr>
        <w:t>III. PASLAUGŲ TEIKIMO REIKALAVIMAI</w:t>
      </w:r>
    </w:p>
    <w:p w14:paraId="38185278" w14:textId="77777777" w:rsidR="00C60FFA" w:rsidRPr="003939A6" w:rsidRDefault="00C60FFA" w:rsidP="00C60FFA">
      <w:pPr>
        <w:spacing w:before="80" w:after="80"/>
        <w:jc w:val="center"/>
        <w:rPr>
          <w:b/>
          <w:bCs/>
        </w:rPr>
      </w:pPr>
    </w:p>
    <w:p w14:paraId="1820A607"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3.1. Paslaugų teikėjo atliekamai analizei privalo būti taikomi įvairūs duomenų surinkimo ir analizės, išvadų ir rekomendacijų pagrindimo metodai. Paslaugų teikėjas turi pritaikyti metodus, skirtus priežastiniams ryšiams nustatyti, priežastims ir pasekmėms analizuoti, pritaikyti įvairius labiausiai Tyrimo uždaviniams tinkamus duomenų rinkimo ir analizės metodus (antrinių šaltinių analizė, tikslinės grupės, atvejo studijos, lyginamoji ir statistinė analizė ir kt.). Taikomi metodai turi užtikrinti reikalingų duomenų prieinamumą, patikimumą ir kokybę, išvadų ir rekomendacijų pagrįstumą, nuoseklumą ir praktinį pritaikomumą.</w:t>
      </w:r>
    </w:p>
    <w:p w14:paraId="378E2B9E"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3.2. Tyrime paslaugų teikėjas </w:t>
      </w:r>
      <w:r>
        <w:rPr>
          <w:rStyle w:val="Hipersaitas"/>
          <w:color w:val="auto"/>
          <w:szCs w:val="24"/>
          <w:u w:val="none"/>
        </w:rPr>
        <w:t>įsipareigoja</w:t>
      </w:r>
      <w:r w:rsidRPr="003939A6">
        <w:rPr>
          <w:rStyle w:val="Hipersaitas"/>
          <w:color w:val="auto"/>
          <w:szCs w:val="24"/>
          <w:u w:val="none"/>
        </w:rPr>
        <w:t xml:space="preserve"> detalizuoti konkrečius informacijos surinkimo būdus bei nurodyti pagrindinius informacijos šaltinius, kurie bus naudojami rengiant Tyrimą. Numatomų naudoti metodų visuma turi užtikrinti Tyrimo nuoseklumą. Naudojami metodai turi būti tarpusavyje suderinti.</w:t>
      </w:r>
    </w:p>
    <w:p w14:paraId="642C1467"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lastRenderedPageBreak/>
        <w:t xml:space="preserve">3.3. Paslaugų teikėjas turi nuosekliai vadovautis Tyrimo rengimo pradžioje pasiūlyta metodika ir ją taikyti. Bet kokie nukrypimai nuo metodikos, suderintos pradinėje </w:t>
      </w:r>
      <w:r>
        <w:rPr>
          <w:rStyle w:val="Hipersaitas"/>
          <w:color w:val="auto"/>
          <w:szCs w:val="24"/>
          <w:u w:val="none"/>
        </w:rPr>
        <w:t>S</w:t>
      </w:r>
      <w:r w:rsidRPr="003939A6">
        <w:rPr>
          <w:rStyle w:val="Hipersaitas"/>
          <w:color w:val="auto"/>
          <w:szCs w:val="24"/>
          <w:u w:val="none"/>
        </w:rPr>
        <w:t>utarties vykdymo stadijoje ir tarpinėje ataskaitoje, galimi tik gavus išankstinį perkančiosios organizacijos sutikimą.</w:t>
      </w:r>
    </w:p>
    <w:p w14:paraId="0A17A29D"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3.4. Teikdamas paslaugas ir atlikdamas Tyrimą, paslaugų teikėjas </w:t>
      </w:r>
      <w:r w:rsidRPr="002F377A">
        <w:rPr>
          <w:szCs w:val="24"/>
        </w:rPr>
        <w:t>įsipareigoja</w:t>
      </w:r>
      <w:r w:rsidRPr="003939A6">
        <w:rPr>
          <w:rStyle w:val="Hipersaitas"/>
          <w:color w:val="auto"/>
          <w:szCs w:val="24"/>
          <w:u w:val="none"/>
        </w:rPr>
        <w:t xml:space="preserve"> konsultuotis su nekilnojamojo </w:t>
      </w:r>
      <w:r w:rsidRPr="003939A6">
        <w:rPr>
          <w:szCs w:val="24"/>
        </w:rPr>
        <w:t xml:space="preserve">kultūros paveldo apsaugos ir viešojo intereso gynimo srityse veikiančiomis </w:t>
      </w:r>
      <w:r w:rsidRPr="003939A6">
        <w:rPr>
          <w:rStyle w:val="Hipersaitas"/>
          <w:color w:val="auto"/>
          <w:szCs w:val="24"/>
          <w:u w:val="none"/>
        </w:rPr>
        <w:t>institucijomis</w:t>
      </w:r>
      <w:r>
        <w:rPr>
          <w:rStyle w:val="Hipersaitas"/>
          <w:color w:val="auto"/>
          <w:szCs w:val="24"/>
          <w:u w:val="none"/>
        </w:rPr>
        <w:t>:</w:t>
      </w:r>
      <w:r w:rsidRPr="003939A6">
        <w:rPr>
          <w:rStyle w:val="Hipersaitas"/>
          <w:color w:val="auto"/>
          <w:szCs w:val="24"/>
          <w:u w:val="none"/>
        </w:rPr>
        <w:t xml:space="preserve"> </w:t>
      </w:r>
      <w:r w:rsidRPr="003939A6">
        <w:rPr>
          <w:szCs w:val="24"/>
        </w:rPr>
        <w:t xml:space="preserve">Kultūros ministerija, Aplinkos ministerija, Kultūros paveldo departamentu prie Kultūros ministerijos, Valstybine kultūros paveldo komisija, </w:t>
      </w:r>
      <w:r>
        <w:rPr>
          <w:szCs w:val="24"/>
        </w:rPr>
        <w:t xml:space="preserve">Valstybine saugomų teritorijų tarnyba, </w:t>
      </w:r>
      <w:r w:rsidRPr="003939A6">
        <w:rPr>
          <w:szCs w:val="24"/>
        </w:rPr>
        <w:t>savivaldybių administracijomis</w:t>
      </w:r>
      <w:r>
        <w:rPr>
          <w:szCs w:val="24"/>
        </w:rPr>
        <w:t xml:space="preserve"> (privalomai - su didžiųjų miestų (Vilniaus, Kauno ir Klaipėdos), pasirenkamai - su kitomis savivaldybėmis)</w:t>
      </w:r>
      <w:r w:rsidRPr="003939A6">
        <w:rPr>
          <w:szCs w:val="24"/>
        </w:rPr>
        <w:t>, Prokuratūra</w:t>
      </w:r>
      <w:r>
        <w:rPr>
          <w:szCs w:val="24"/>
        </w:rPr>
        <w:t xml:space="preserve">. </w:t>
      </w:r>
      <w:r w:rsidRPr="009445A8">
        <w:rPr>
          <w:szCs w:val="24"/>
        </w:rPr>
        <w:t xml:space="preserve">Pasirenkamai siūloma įvertinti poreikį konsultacijoms su saugomų teritorijų direkcijomis, nevyriausybinėmis organizacijomis ir kt. Paslaugų teikėjas įsipareigoja pateikti </w:t>
      </w:r>
      <w:r w:rsidRPr="009445A8">
        <w:rPr>
          <w:rStyle w:val="Hipersaitas"/>
          <w:color w:val="auto"/>
          <w:szCs w:val="24"/>
          <w:u w:val="none"/>
        </w:rPr>
        <w:t>šių konsultacijų sąrašą su datomis ir dalyviais Tyrimo galutinės ataskaitos prieduose.</w:t>
      </w:r>
    </w:p>
    <w:p w14:paraId="47C629CA"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3.5. Paslaugų teikėjas turi vadovautis šia technine specifikacija ir Tyrimo rengimo metu galiojančiais ir aktualiais iki paslaugų rezultatų perdavimo-priėmimo akto pasirašymo dienos dokumentais.</w:t>
      </w:r>
    </w:p>
    <w:p w14:paraId="183E1289"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3.6. Atlikdamas šioje techninėje specifikacijoje numatytas veiklas paslaugų teikėjas </w:t>
      </w:r>
      <w:r w:rsidRPr="002F377A">
        <w:rPr>
          <w:szCs w:val="24"/>
        </w:rPr>
        <w:t>įsipareigoja</w:t>
      </w:r>
      <w:r w:rsidRPr="003939A6">
        <w:rPr>
          <w:rStyle w:val="Hipersaitas"/>
          <w:color w:val="auto"/>
          <w:szCs w:val="24"/>
          <w:u w:val="none"/>
        </w:rPr>
        <w:t xml:space="preserve"> glaudžiai bendradarbiauti su perkančiąja organizacija bei jos ir kitų susijusių institucijų ekspertais (atsakyti į klausimus, rengti ir teikti su Tyrimo rengimu susijusią papildomą informaciją), gavęs informaciją ir duomenis, atlikti vertinimą bendradarbiaudamas su perkančiosios organizacijos specialistais, koreguoti pateiktą medžiagą pagal pateiktas pastabas.</w:t>
      </w:r>
    </w:p>
    <w:p w14:paraId="2059D7AE"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3.7. Tyrimo apimtis turi būti ne mažiau nei 50 lapų (neįskaitant santraukos) ir ne daugiau negu 100 lapų. Esant būtinybei Tyrimo apimtis gali būti padidinta, prieš tai suderinus su perkančiąja organizacija.</w:t>
      </w:r>
    </w:p>
    <w:p w14:paraId="31B3F3BF"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3.8. Paslaugų teikėjo su perkančiąja organizacija suderintu formatu parengta Tyrimo santrauka turi būti ne daugiau 5 puslapių lietuvių kalba ir ne daugiau 10 reprezentatyvių skaidrių, pristatančių Tyrimo rezultatus lietuvių kalba. Tyrimo skaidrėse panaudota vizualinė medžiaga turi būti pritaikoma viešinimui socialiniuose tinkluose.</w:t>
      </w:r>
    </w:p>
    <w:p w14:paraId="5F9AAF71"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3.9. Tyrimas privalo būti parengtas vadovaujantis bendrinėmis lietuvių kalbos taisyklėmis, joje negali būti stiliaus ir kalbos klaidų.</w:t>
      </w:r>
    </w:p>
    <w:p w14:paraId="4C495FB6"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3.10. Paslaugų teikėjas </w:t>
      </w:r>
      <w:r w:rsidRPr="00725F49">
        <w:rPr>
          <w:szCs w:val="24"/>
        </w:rPr>
        <w:t>įsipareigoja</w:t>
      </w:r>
      <w:r w:rsidRPr="003939A6">
        <w:rPr>
          <w:rStyle w:val="Hipersaitas"/>
          <w:color w:val="auto"/>
          <w:szCs w:val="24"/>
          <w:u w:val="none"/>
        </w:rPr>
        <w:t xml:space="preserve"> perduoti perkančiajai organizacijai visam laikui visas išimtines turtines teises, numatytas Lietuvos autorių teisių ir gretutinių teisių įstatyme, į tarpinius ir galutinius Tyrimo rezultatus. Turtinės teisės pereis perkančiajai organizacijai nuo paslaugų priėmimo-perdavimo aktų pasirašymo dienos.</w:t>
      </w:r>
    </w:p>
    <w:p w14:paraId="35E9A4E8"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3.11. Paslaugos kokybė vertinama pagal šiuos vertinimo kriterijus:</w:t>
      </w:r>
    </w:p>
    <w:p w14:paraId="5F681F50"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3.11.1. Tyrimas atitinka šios techninės specifikacijos reikalavimus;</w:t>
      </w:r>
    </w:p>
    <w:p w14:paraId="38862165"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3.11.2. Tyrimas nėra vien tik formalus šios techninės specifikacijos reikalavimų atkartojimas. Tyrimas turi būti išsamus ir aiškiai aprašytas, jame turi būti nurodytos tyrimo metodologijos, palyginimo kriterijai aiškūs, kompleksiški, reikšmingi ir interpretuojami vienareikšmiškai, pridedama visa su duomenų imties sudarymu, duomenų atranka bei analize susijusi medžiaga, rekomendacijos ir siūlymai yra argumentuojami;</w:t>
      </w:r>
    </w:p>
    <w:p w14:paraId="0CBBF7A9"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3.11.3. pateikiamų duomenų imtis reprezentatyvi, leidžianti daryti pagrįstas ir reikšmingas išvadas, siūlymus ir rekomendacijas.</w:t>
      </w:r>
    </w:p>
    <w:p w14:paraId="2218CB50" w14:textId="77777777" w:rsidR="00C60FFA" w:rsidRPr="003939A6" w:rsidRDefault="00C60FFA" w:rsidP="00C60FFA">
      <w:pPr>
        <w:spacing w:before="80" w:after="80"/>
        <w:ind w:firstLine="720"/>
        <w:jc w:val="both"/>
        <w:rPr>
          <w:rStyle w:val="Hipersaitas"/>
          <w:color w:val="auto"/>
          <w:szCs w:val="24"/>
          <w:u w:val="none"/>
        </w:rPr>
      </w:pPr>
    </w:p>
    <w:p w14:paraId="2C3C8964" w14:textId="77777777" w:rsidR="00C60FFA" w:rsidRPr="003939A6" w:rsidRDefault="00C60FFA" w:rsidP="00C60FFA">
      <w:pPr>
        <w:spacing w:before="80" w:after="80"/>
        <w:ind w:firstLine="720"/>
        <w:jc w:val="both"/>
        <w:rPr>
          <w:rStyle w:val="Hipersaitas"/>
          <w:b/>
          <w:bCs/>
          <w:color w:val="auto"/>
          <w:szCs w:val="24"/>
          <w:u w:val="none"/>
        </w:rPr>
      </w:pPr>
      <w:r w:rsidRPr="003939A6">
        <w:rPr>
          <w:rStyle w:val="Hipersaitas"/>
          <w:b/>
          <w:bCs/>
          <w:color w:val="auto"/>
          <w:szCs w:val="24"/>
          <w:u w:val="none"/>
        </w:rPr>
        <w:t>IV. PASLAUGŲ TEIKIMO REZULTATAI, JŲ PATEIKIMO FORMA IR TERMINAI</w:t>
      </w:r>
    </w:p>
    <w:p w14:paraId="296F8630" w14:textId="77777777" w:rsidR="00C60FFA" w:rsidRPr="003939A6" w:rsidRDefault="00C60FFA" w:rsidP="00C60FFA">
      <w:pPr>
        <w:spacing w:before="80" w:after="80"/>
        <w:ind w:firstLine="720"/>
        <w:jc w:val="both"/>
        <w:rPr>
          <w:rStyle w:val="Hipersaitas"/>
          <w:b/>
          <w:bCs/>
          <w:color w:val="auto"/>
          <w:szCs w:val="24"/>
          <w:u w:val="none"/>
        </w:rPr>
      </w:pPr>
    </w:p>
    <w:p w14:paraId="367BB681"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b/>
          <w:bCs/>
          <w:color w:val="auto"/>
          <w:szCs w:val="24"/>
          <w:u w:val="none"/>
        </w:rPr>
        <w:t>4.1. Laukiami rezultatai:</w:t>
      </w:r>
    </w:p>
    <w:p w14:paraId="43154F40"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4.1.1. išanalizuotas, aprašytas ir įvertintas teisinis reguliavimas, užtikrinantis viešojo intereso gynimą nekilnojamojo kultūros paveldo apsaugos srityje;</w:t>
      </w:r>
    </w:p>
    <w:p w14:paraId="238E22AB"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4.1.2. išanalizuota, aprašyta ir įvertinta administracinė ir civilinė teisminė praktika (5 pastarųjų metų laikotarpiu) ginant viešąjį interesą nekilnojamojo kultūros paveldo apsaugos srityje, kuomet teisminėse bylose buvo suformuluotas viešojo intereso gynimo reikalavimas, nustatyta kokia viešojo administravimo institucija, kiekvienu atveju, tą procesą inicijavo;</w:t>
      </w:r>
    </w:p>
    <w:p w14:paraId="1ED4BA7D"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lastRenderedPageBreak/>
        <w:t>4.1.3. išanalizuoti, aprašyti ir įvertinti teismo sprendimų įgyvendinimo atvejai užtikrinant viešąjį interesą nekilnojamojo kultūros paveldo apsaugos srityje ir Valstybei padarytos žalos atlyginimo atvejai taikant regreso teisę;</w:t>
      </w:r>
    </w:p>
    <w:p w14:paraId="62030202"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4.1.4. nustatytos teisinio reguliavimo spragos ir trūkumai ginant viešąjį interesą nekilnojamojo kultūros paveldo apsaugos srityje ir pateikti siūlymai esamo teisinio reguliavimo tobulinimui; įvertinta ar buvo ir kaip buvo keičiamos teisės spragos ar teisinis reguliavimas, sąlygojęs pralaimėtas bylas;</w:t>
      </w:r>
    </w:p>
    <w:p w14:paraId="2870F433"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4.1.5. pateikti siūlymai ir rekomendacijos dėl viešojo administravimo institucijos, kuri galėtų efektyviausiai ginti viešąjį interesą nekilnojamojo kultūros paveldo apsaugos srityje;</w:t>
      </w:r>
    </w:p>
    <w:p w14:paraId="10550A78"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4.1.6. suformuluoti siūlymai ir rekomendacijos dėl taikytinų galimų priemonių, siekiant veiksmingiau ginti viešąjį interesą nekilnojamojo kultūros paveldo apsaugos srityje;</w:t>
      </w:r>
    </w:p>
    <w:p w14:paraId="297F4B14"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4.1.7. pateikti siūlymai ir rekomendacijos dėl viešojo intereso gynimo nekilnojamojo kultūros paveldo apsaugos srityje stebėsenos sistemos suformavimo.</w:t>
      </w:r>
    </w:p>
    <w:p w14:paraId="136FFB8F" w14:textId="77777777" w:rsidR="00C60FFA" w:rsidRPr="003939A6" w:rsidRDefault="00C60FFA" w:rsidP="00C60FFA">
      <w:pPr>
        <w:spacing w:before="80" w:after="80"/>
        <w:ind w:firstLine="720"/>
        <w:jc w:val="both"/>
        <w:rPr>
          <w:rStyle w:val="Hipersaitas"/>
          <w:b/>
          <w:bCs/>
          <w:color w:val="auto"/>
          <w:szCs w:val="24"/>
          <w:u w:val="none"/>
        </w:rPr>
      </w:pPr>
    </w:p>
    <w:p w14:paraId="4A1266C1" w14:textId="77777777" w:rsidR="00C60FFA" w:rsidRPr="003939A6" w:rsidRDefault="00C60FFA" w:rsidP="00C60FFA">
      <w:pPr>
        <w:spacing w:before="80" w:after="80"/>
        <w:ind w:firstLine="720"/>
        <w:jc w:val="both"/>
        <w:rPr>
          <w:rStyle w:val="Hipersaitas"/>
          <w:b/>
          <w:bCs/>
          <w:color w:val="auto"/>
          <w:szCs w:val="24"/>
          <w:u w:val="none"/>
        </w:rPr>
      </w:pPr>
      <w:r w:rsidRPr="003939A6">
        <w:rPr>
          <w:rStyle w:val="Hipersaitas"/>
          <w:b/>
          <w:bCs/>
          <w:color w:val="auto"/>
          <w:szCs w:val="24"/>
          <w:u w:val="none"/>
        </w:rPr>
        <w:t>4.2. Paslaugų teikimo terminai:</w:t>
      </w:r>
    </w:p>
    <w:p w14:paraId="3EFCD0BB"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4.2.1. ne vėliau kaip per 10 darbo dienų nuo pirkimo sutarties įsigaliojimo Perkančioji organizacija organizuoja įvadinį susitikimą su </w:t>
      </w:r>
      <w:r>
        <w:rPr>
          <w:rStyle w:val="Hipersaitas"/>
          <w:color w:val="auto"/>
          <w:szCs w:val="24"/>
          <w:u w:val="none"/>
        </w:rPr>
        <w:t>P</w:t>
      </w:r>
      <w:r w:rsidRPr="003939A6">
        <w:rPr>
          <w:rStyle w:val="Hipersaitas"/>
          <w:color w:val="auto"/>
          <w:szCs w:val="24"/>
          <w:u w:val="none"/>
        </w:rPr>
        <w:t>aslaugų teikėju, kurio metu bus derinamas paslaugų teikimo planas;</w:t>
      </w:r>
    </w:p>
    <w:p w14:paraId="03E06EE1" w14:textId="77777777" w:rsidR="00C60FFA" w:rsidRPr="003939A6" w:rsidRDefault="00C60FFA" w:rsidP="00C60FFA">
      <w:pPr>
        <w:spacing w:before="80" w:after="80"/>
        <w:ind w:firstLine="720"/>
        <w:jc w:val="both"/>
        <w:rPr>
          <w:rStyle w:val="Hipersaitas"/>
          <w:color w:val="auto"/>
          <w:szCs w:val="24"/>
          <w:u w:val="none"/>
        </w:rPr>
      </w:pPr>
      <w:r w:rsidRPr="003939A6">
        <w:rPr>
          <w:rStyle w:val="Hipersaitas"/>
          <w:color w:val="auto"/>
          <w:szCs w:val="24"/>
          <w:u w:val="none"/>
        </w:rPr>
        <w:t xml:space="preserve">4.2.2. ne vėliau kaip per 5 darbo dienas nuo įvadinio susitikimo dienos, </w:t>
      </w:r>
      <w:r>
        <w:rPr>
          <w:rStyle w:val="Hipersaitas"/>
          <w:color w:val="auto"/>
          <w:szCs w:val="24"/>
          <w:u w:val="none"/>
        </w:rPr>
        <w:t>P</w:t>
      </w:r>
      <w:r w:rsidRPr="003939A6">
        <w:rPr>
          <w:rStyle w:val="Hipersaitas"/>
          <w:color w:val="auto"/>
          <w:szCs w:val="24"/>
          <w:u w:val="none"/>
        </w:rPr>
        <w:t xml:space="preserve">aslaugų teikėjas </w:t>
      </w:r>
      <w:r w:rsidRPr="004B1524">
        <w:rPr>
          <w:szCs w:val="24"/>
        </w:rPr>
        <w:t>įsipareigoja</w:t>
      </w:r>
      <w:r w:rsidRPr="003939A6">
        <w:rPr>
          <w:rStyle w:val="Hipersaitas"/>
          <w:color w:val="auto"/>
          <w:szCs w:val="24"/>
          <w:u w:val="none"/>
        </w:rPr>
        <w:t xml:space="preserve"> pateikti su Perkančiąja organizacija suderintą paslaugų teikimo planą;</w:t>
      </w:r>
    </w:p>
    <w:p w14:paraId="540A5227" w14:textId="77777777" w:rsidR="00C60FFA" w:rsidRPr="003939A6" w:rsidRDefault="00C60FFA" w:rsidP="00C60FFA">
      <w:pPr>
        <w:spacing w:before="80" w:after="80"/>
        <w:ind w:firstLine="720"/>
        <w:jc w:val="both"/>
        <w:rPr>
          <w:szCs w:val="24"/>
        </w:rPr>
      </w:pPr>
      <w:r w:rsidRPr="003939A6">
        <w:rPr>
          <w:rStyle w:val="Hipersaitas"/>
          <w:color w:val="auto"/>
          <w:szCs w:val="24"/>
          <w:u w:val="none"/>
        </w:rPr>
        <w:t xml:space="preserve">4.2.3. ne vėliau kaip per </w:t>
      </w:r>
      <w:r w:rsidRPr="003939A6">
        <w:rPr>
          <w:szCs w:val="24"/>
        </w:rPr>
        <w:t>5 mėn. nuo paslaugų teikimo plano pateikimo turi būti parengta Tyrimo tarpinė ataskaita, kurioje turėtų būti pristatyti pagrindiniai per šį laikotarpį atlikti darbai ir pasiekti rezultatai ir bent iš dalies jau būtų apžvelgti</w:t>
      </w:r>
      <w:r>
        <w:rPr>
          <w:szCs w:val="24"/>
        </w:rPr>
        <w:t xml:space="preserve"> Techninės specifikacijos</w:t>
      </w:r>
      <w:r w:rsidRPr="003939A6">
        <w:rPr>
          <w:szCs w:val="24"/>
        </w:rPr>
        <w:t xml:space="preserve"> 2.4.1 - 2.4.7 punktuose nurodyti uždaviniai;</w:t>
      </w:r>
    </w:p>
    <w:p w14:paraId="2AFE86A6" w14:textId="77777777" w:rsidR="00C60FFA" w:rsidRDefault="00C60FFA" w:rsidP="00C60FFA">
      <w:pPr>
        <w:spacing w:before="80" w:after="80"/>
        <w:ind w:firstLine="720"/>
        <w:jc w:val="both"/>
        <w:rPr>
          <w:szCs w:val="24"/>
        </w:rPr>
      </w:pPr>
      <w:r w:rsidRPr="003939A6">
        <w:rPr>
          <w:rStyle w:val="Hipersaitas"/>
          <w:color w:val="auto"/>
          <w:szCs w:val="24"/>
          <w:u w:val="none"/>
        </w:rPr>
        <w:t xml:space="preserve">4.2.4. </w:t>
      </w:r>
      <w:r w:rsidRPr="003939A6">
        <w:rPr>
          <w:szCs w:val="24"/>
        </w:rPr>
        <w:t>Perkančioji organizacija pateikia pastabas Tyrimo tarpinei ataskaitai per 10 darbo dienų nuo Tyrimo tarpinės ataskaitos gavimo dienos;</w:t>
      </w:r>
    </w:p>
    <w:p w14:paraId="0180580A" w14:textId="77777777" w:rsidR="00C60FFA" w:rsidRPr="003939A6" w:rsidRDefault="00C60FFA" w:rsidP="00C60FFA">
      <w:pPr>
        <w:spacing w:before="80" w:after="80"/>
        <w:ind w:firstLine="720"/>
        <w:jc w:val="both"/>
        <w:rPr>
          <w:szCs w:val="24"/>
        </w:rPr>
      </w:pPr>
      <w:r>
        <w:rPr>
          <w:szCs w:val="24"/>
        </w:rPr>
        <w:t xml:space="preserve">4.2.5. </w:t>
      </w:r>
      <w:r w:rsidRPr="003939A6">
        <w:rPr>
          <w:szCs w:val="24"/>
        </w:rPr>
        <w:t xml:space="preserve">Paslaugos teikėjas atlieka reikiamas korekcijas </w:t>
      </w:r>
      <w:r>
        <w:rPr>
          <w:szCs w:val="24"/>
        </w:rPr>
        <w:t xml:space="preserve">Tyrimo tarpinei ataskaitai </w:t>
      </w:r>
      <w:r w:rsidRPr="003939A6">
        <w:rPr>
          <w:szCs w:val="24"/>
        </w:rPr>
        <w:t>pagal perkančiosios organizacijos pastabas ir komentarus ne vėliau kaip per 10 darbo dienų nuo pastabų ir komentarų gavimo dienos</w:t>
      </w:r>
      <w:r>
        <w:rPr>
          <w:szCs w:val="24"/>
        </w:rPr>
        <w:t>;</w:t>
      </w:r>
    </w:p>
    <w:p w14:paraId="33BE20EB" w14:textId="77777777" w:rsidR="00C60FFA" w:rsidRPr="003939A6" w:rsidRDefault="00C60FFA" w:rsidP="00C60FFA">
      <w:pPr>
        <w:spacing w:before="80" w:after="80"/>
        <w:ind w:firstLine="720"/>
        <w:jc w:val="both"/>
        <w:rPr>
          <w:szCs w:val="24"/>
        </w:rPr>
      </w:pPr>
      <w:r w:rsidRPr="003939A6">
        <w:rPr>
          <w:szCs w:val="24"/>
        </w:rPr>
        <w:t>4.2.</w:t>
      </w:r>
      <w:r>
        <w:rPr>
          <w:szCs w:val="24"/>
        </w:rPr>
        <w:t>6</w:t>
      </w:r>
      <w:r w:rsidRPr="003939A6">
        <w:rPr>
          <w:szCs w:val="24"/>
        </w:rPr>
        <w:t>. ne vėliau kaip per 3 mėn. nuo Perkančiosios organizacijos patvirtintos pakoreguotos Tyrimo tarpinės ataskaitos pateikiama galutinė Tyrimo ataskaita.</w:t>
      </w:r>
    </w:p>
    <w:p w14:paraId="2001B46F" w14:textId="77777777" w:rsidR="00C60FFA" w:rsidRPr="003939A6" w:rsidRDefault="00C60FFA" w:rsidP="00C60FFA">
      <w:pPr>
        <w:spacing w:before="80" w:after="80"/>
        <w:ind w:firstLine="720"/>
        <w:jc w:val="both"/>
        <w:rPr>
          <w:szCs w:val="24"/>
        </w:rPr>
      </w:pPr>
      <w:r w:rsidRPr="003939A6">
        <w:rPr>
          <w:szCs w:val="24"/>
        </w:rPr>
        <w:t>4.2.</w:t>
      </w:r>
      <w:r>
        <w:rPr>
          <w:szCs w:val="24"/>
        </w:rPr>
        <w:t>7</w:t>
      </w:r>
      <w:r w:rsidRPr="003939A6">
        <w:rPr>
          <w:szCs w:val="24"/>
        </w:rPr>
        <w:t>. Esant poreikiui, perkančioji organizacija pateikia pastabas ir komentarus</w:t>
      </w:r>
      <w:r>
        <w:rPr>
          <w:szCs w:val="24"/>
        </w:rPr>
        <w:t xml:space="preserve"> dėl galutinės Tyrimo ataskaitos</w:t>
      </w:r>
      <w:r w:rsidRPr="003939A6">
        <w:rPr>
          <w:szCs w:val="24"/>
        </w:rPr>
        <w:t xml:space="preserve"> ne vėliau kaip per 10 darbo dienų nuo </w:t>
      </w:r>
      <w:r>
        <w:rPr>
          <w:szCs w:val="24"/>
        </w:rPr>
        <w:t xml:space="preserve">galutinės </w:t>
      </w:r>
      <w:r w:rsidRPr="003939A6">
        <w:rPr>
          <w:szCs w:val="24"/>
        </w:rPr>
        <w:t>Tyrimo ataskaitos pateikimo dienos.</w:t>
      </w:r>
    </w:p>
    <w:p w14:paraId="7C73DC3A" w14:textId="77777777" w:rsidR="00C60FFA" w:rsidRPr="003939A6" w:rsidRDefault="00C60FFA" w:rsidP="00C60FFA">
      <w:pPr>
        <w:spacing w:before="80" w:after="80"/>
        <w:ind w:firstLine="720"/>
        <w:jc w:val="both"/>
        <w:rPr>
          <w:szCs w:val="24"/>
        </w:rPr>
      </w:pPr>
      <w:r w:rsidRPr="003939A6">
        <w:rPr>
          <w:szCs w:val="24"/>
        </w:rPr>
        <w:t>4.2.</w:t>
      </w:r>
      <w:r>
        <w:rPr>
          <w:szCs w:val="24"/>
        </w:rPr>
        <w:t>8</w:t>
      </w:r>
      <w:r w:rsidRPr="003939A6">
        <w:rPr>
          <w:szCs w:val="24"/>
        </w:rPr>
        <w:t xml:space="preserve">. Paslaugos teikėjas atlieka reikiamas korekcijas </w:t>
      </w:r>
      <w:r>
        <w:rPr>
          <w:szCs w:val="24"/>
        </w:rPr>
        <w:t xml:space="preserve">galutinėje Tyrimo ataskaitoje </w:t>
      </w:r>
      <w:r w:rsidRPr="003939A6">
        <w:rPr>
          <w:szCs w:val="24"/>
        </w:rPr>
        <w:t xml:space="preserve">pagal perkančiosios organizacijos pastabas ir komentarus ne vėliau kaip per 10 darbo dienų nuo pastabų ir komentarų gavimo dienos. </w:t>
      </w:r>
    </w:p>
    <w:p w14:paraId="03D493B9" w14:textId="77777777" w:rsidR="00C60FFA" w:rsidRPr="003939A6" w:rsidRDefault="00C60FFA" w:rsidP="00C60FFA">
      <w:pPr>
        <w:spacing w:before="80" w:after="80"/>
        <w:ind w:firstLine="720"/>
        <w:jc w:val="both"/>
        <w:rPr>
          <w:szCs w:val="24"/>
        </w:rPr>
      </w:pPr>
    </w:p>
    <w:p w14:paraId="0D33D8A2" w14:textId="77777777" w:rsidR="00C60FFA" w:rsidRPr="003939A6" w:rsidRDefault="00C60FFA" w:rsidP="00C60FFA">
      <w:pPr>
        <w:spacing w:before="80" w:after="80"/>
        <w:jc w:val="center"/>
        <w:rPr>
          <w:szCs w:val="24"/>
        </w:rPr>
      </w:pPr>
      <w:r w:rsidRPr="003939A6">
        <w:rPr>
          <w:szCs w:val="24"/>
        </w:rPr>
        <w:t>______________________________________</w:t>
      </w:r>
    </w:p>
    <w:p w14:paraId="190A69B7" w14:textId="77777777" w:rsidR="00C60FFA" w:rsidRPr="003939A6" w:rsidRDefault="00C60FFA" w:rsidP="00C60FFA">
      <w:pPr>
        <w:rPr>
          <w:rStyle w:val="Hipersaitas"/>
          <w:color w:val="auto"/>
          <w:szCs w:val="24"/>
          <w:u w:val="none"/>
        </w:rPr>
      </w:pPr>
    </w:p>
    <w:p w14:paraId="3F86410F" w14:textId="77777777" w:rsidR="00C60FFA" w:rsidRPr="003939A6" w:rsidRDefault="00C60FFA" w:rsidP="00C60FFA">
      <w:pPr>
        <w:ind w:left="5670"/>
        <w:jc w:val="both"/>
        <w:rPr>
          <w:szCs w:val="24"/>
        </w:rPr>
      </w:pPr>
    </w:p>
    <w:p w14:paraId="5F2E737E" w14:textId="77777777" w:rsidR="00162CDA" w:rsidRDefault="00162CDA"/>
    <w:sectPr w:rsidR="00162CDA" w:rsidSect="00C60FFA">
      <w:headerReference w:type="even" r:id="rId9"/>
      <w:headerReference w:type="default" r:id="rId10"/>
      <w:footerReference w:type="default" r:id="rId11"/>
      <w:footnotePr>
        <w:numRestart w:val="eachSect"/>
      </w:footnotePr>
      <w:pgSz w:w="11907" w:h="16840" w:code="9"/>
      <w:pgMar w:top="709" w:right="567" w:bottom="568"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D532" w14:textId="77777777" w:rsidR="001E6469" w:rsidRDefault="001E6469" w:rsidP="00C60FFA">
      <w:r>
        <w:separator/>
      </w:r>
    </w:p>
  </w:endnote>
  <w:endnote w:type="continuationSeparator" w:id="0">
    <w:p w14:paraId="6AC99E38" w14:textId="77777777" w:rsidR="001E6469" w:rsidRDefault="001E6469" w:rsidP="00C6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EDDF" w14:textId="77777777" w:rsidR="00C60FFA" w:rsidRDefault="00C60FFA">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93E0" w14:textId="77777777" w:rsidR="001E6469" w:rsidRDefault="001E6469" w:rsidP="00C60FFA">
      <w:r>
        <w:separator/>
      </w:r>
    </w:p>
  </w:footnote>
  <w:footnote w:type="continuationSeparator" w:id="0">
    <w:p w14:paraId="2E428115" w14:textId="77777777" w:rsidR="001E6469" w:rsidRDefault="001E6469" w:rsidP="00C60FFA">
      <w:r>
        <w:continuationSeparator/>
      </w:r>
    </w:p>
  </w:footnote>
  <w:footnote w:id="1">
    <w:p w14:paraId="1C7AC367" w14:textId="77777777" w:rsidR="00C60FFA" w:rsidRPr="003939A6" w:rsidRDefault="00C60FFA" w:rsidP="00C60FFA">
      <w:pPr>
        <w:jc w:val="both"/>
        <w:rPr>
          <w:rStyle w:val="Hipersaitas"/>
          <w:color w:val="auto"/>
          <w:sz w:val="20"/>
          <w:u w:val="none"/>
        </w:rPr>
      </w:pPr>
      <w:r w:rsidRPr="003939A6">
        <w:rPr>
          <w:rStyle w:val="Puslapioinaosnuoroda"/>
          <w:sz w:val="20"/>
        </w:rPr>
        <w:footnoteRef/>
      </w:r>
      <w:r w:rsidRPr="003939A6">
        <w:rPr>
          <w:sz w:val="20"/>
        </w:rPr>
        <w:t xml:space="preserve"> </w:t>
      </w:r>
      <w:r w:rsidRPr="003939A6">
        <w:rPr>
          <w:rStyle w:val="Hipersaitas"/>
          <w:color w:val="auto"/>
          <w:sz w:val="20"/>
          <w:u w:val="none"/>
        </w:rPr>
        <w:t xml:space="preserve">1. </w:t>
      </w:r>
      <w:proofErr w:type="spellStart"/>
      <w:r w:rsidRPr="003939A6">
        <w:rPr>
          <w:rStyle w:val="Hipersaitas"/>
          <w:color w:val="auto"/>
          <w:sz w:val="20"/>
          <w:u w:val="none"/>
        </w:rPr>
        <w:t>Beliūnienė</w:t>
      </w:r>
      <w:proofErr w:type="spellEnd"/>
      <w:r w:rsidRPr="003939A6">
        <w:rPr>
          <w:rStyle w:val="Hipersaitas"/>
          <w:color w:val="auto"/>
          <w:sz w:val="20"/>
          <w:u w:val="none"/>
        </w:rPr>
        <w:t xml:space="preserve"> L., Burnytė M., </w:t>
      </w:r>
      <w:proofErr w:type="spellStart"/>
      <w:r w:rsidRPr="003939A6">
        <w:rPr>
          <w:rStyle w:val="Hipersaitas"/>
          <w:color w:val="auto"/>
          <w:sz w:val="20"/>
          <w:u w:val="none"/>
        </w:rPr>
        <w:t>Kavoliūnaitė</w:t>
      </w:r>
      <w:proofErr w:type="spellEnd"/>
      <w:r w:rsidRPr="003939A6">
        <w:rPr>
          <w:rStyle w:val="Hipersaitas"/>
          <w:color w:val="auto"/>
          <w:sz w:val="20"/>
          <w:u w:val="none"/>
        </w:rPr>
        <w:t xml:space="preserve">-Ragauskienė E., </w:t>
      </w:r>
      <w:proofErr w:type="spellStart"/>
      <w:r w:rsidRPr="003939A6">
        <w:rPr>
          <w:rStyle w:val="Hipersaitas"/>
          <w:color w:val="auto"/>
          <w:sz w:val="20"/>
          <w:u w:val="none"/>
        </w:rPr>
        <w:t>Krivka</w:t>
      </w:r>
      <w:proofErr w:type="spellEnd"/>
      <w:r w:rsidRPr="003939A6">
        <w:rPr>
          <w:rStyle w:val="Hipersaitas"/>
          <w:color w:val="auto"/>
          <w:sz w:val="20"/>
          <w:u w:val="none"/>
        </w:rPr>
        <w:t xml:space="preserve"> E., Lankauskas M., </w:t>
      </w:r>
      <w:proofErr w:type="spellStart"/>
      <w:r w:rsidRPr="003939A6">
        <w:rPr>
          <w:rStyle w:val="Hipersaitas"/>
          <w:color w:val="auto"/>
          <w:sz w:val="20"/>
          <w:u w:val="none"/>
        </w:rPr>
        <w:t>Latvelė</w:t>
      </w:r>
      <w:proofErr w:type="spellEnd"/>
      <w:r w:rsidRPr="003939A6">
        <w:rPr>
          <w:rStyle w:val="Hipersaitas"/>
          <w:color w:val="auto"/>
          <w:sz w:val="20"/>
          <w:u w:val="none"/>
        </w:rPr>
        <w:t xml:space="preserve"> R., </w:t>
      </w:r>
      <w:proofErr w:type="spellStart"/>
      <w:r w:rsidRPr="003939A6">
        <w:rPr>
          <w:rStyle w:val="Hipersaitas"/>
          <w:color w:val="auto"/>
          <w:sz w:val="20"/>
          <w:u w:val="none"/>
        </w:rPr>
        <w:t>Matulionytė</w:t>
      </w:r>
      <w:proofErr w:type="spellEnd"/>
      <w:r w:rsidRPr="003939A6">
        <w:rPr>
          <w:rStyle w:val="Hipersaitas"/>
          <w:color w:val="auto"/>
          <w:sz w:val="20"/>
          <w:u w:val="none"/>
        </w:rPr>
        <w:t xml:space="preserve">, R., Viešojo intereso atpažinimo problema Lietuvos teisėje: kriterijai ir prioritetai. Monografija. – Vilnius : </w:t>
      </w:r>
      <w:proofErr w:type="spellStart"/>
      <w:r w:rsidRPr="003939A6">
        <w:rPr>
          <w:rStyle w:val="Hipersaitas"/>
          <w:color w:val="auto"/>
          <w:sz w:val="20"/>
          <w:u w:val="none"/>
        </w:rPr>
        <w:t>Eugrimas</w:t>
      </w:r>
      <w:proofErr w:type="spellEnd"/>
      <w:r w:rsidRPr="003939A6">
        <w:rPr>
          <w:rStyle w:val="Hipersaitas"/>
          <w:color w:val="auto"/>
          <w:sz w:val="20"/>
          <w:u w:val="none"/>
        </w:rPr>
        <w:t>, 2015. – 298 p.</w:t>
      </w:r>
    </w:p>
    <w:p w14:paraId="2CA70FED" w14:textId="77777777" w:rsidR="00C60FFA" w:rsidRDefault="00C60FFA" w:rsidP="00C60FFA">
      <w:pPr>
        <w:pStyle w:val="Puslapioinaostekstas"/>
      </w:pPr>
    </w:p>
  </w:footnote>
  <w:footnote w:id="2">
    <w:p w14:paraId="201AB1D8" w14:textId="77777777" w:rsidR="00C60FFA" w:rsidRDefault="00C60FFA" w:rsidP="00C60FFA">
      <w:pPr>
        <w:pStyle w:val="Puslapioinaostekstas"/>
      </w:pPr>
      <w:r>
        <w:rPr>
          <w:rStyle w:val="Puslapioinaosnuoroda"/>
        </w:rPr>
        <w:footnoteRef/>
      </w:r>
      <w:r>
        <w:t xml:space="preserve"> Lietuvos Respublikos aplinkos ministerijos;</w:t>
      </w:r>
    </w:p>
  </w:footnote>
  <w:footnote w:id="3">
    <w:p w14:paraId="3B256E88" w14:textId="77777777" w:rsidR="00C60FFA" w:rsidRDefault="00C60FFA" w:rsidP="00C60FFA">
      <w:pPr>
        <w:pStyle w:val="Puslapioinaostekstas"/>
      </w:pPr>
      <w:r>
        <w:rPr>
          <w:rStyle w:val="Puslapioinaosnuoroda"/>
        </w:rPr>
        <w:footnoteRef/>
      </w:r>
      <w:r>
        <w:t xml:space="preserve"> Lietuvos Respublikos kultūros ministerijos.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20B0" w14:textId="77777777" w:rsidR="00C60FFA" w:rsidRDefault="00C60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708CC25" w14:textId="77777777" w:rsidR="00C60FFA" w:rsidRDefault="00C60F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2D05" w14:textId="77777777" w:rsidR="00C60FFA" w:rsidRDefault="00C60FFA" w:rsidP="00B43CAF">
    <w:pPr>
      <w:pStyle w:val="Antrats"/>
      <w:jc w:val="center"/>
    </w:pPr>
    <w:r>
      <w:fldChar w:fldCharType="begin"/>
    </w:r>
    <w:r>
      <w:instrText xml:space="preserve"> PAGE   \* MERGEFORMAT </w:instrText>
    </w:r>
    <w:r>
      <w:fldChar w:fldCharType="separate"/>
    </w:r>
    <w:r w:rsidRPr="001A24CA">
      <w:rPr>
        <w:rStyle w:val="Puslapionumeris"/>
        <w:noProof/>
      </w:rPr>
      <w:t>4</w:t>
    </w:r>
    <w:r>
      <w:rPr>
        <w:rStyle w:val="Puslapionumeris"/>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FA"/>
    <w:rsid w:val="00162CDA"/>
    <w:rsid w:val="001E6469"/>
    <w:rsid w:val="005A06CA"/>
    <w:rsid w:val="007124A2"/>
    <w:rsid w:val="007D68B9"/>
    <w:rsid w:val="00C60FFA"/>
    <w:rsid w:val="00CC4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D794"/>
  <w15:chartTrackingRefBased/>
  <w15:docId w15:val="{5E074769-7BB5-454F-9F40-C9E577C0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F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60F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60F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60FF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60FF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60FF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60F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60F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60F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60FF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0F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0F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0F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0F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0F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0F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0F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0F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0F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0F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60F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0F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60F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0FF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60FFA"/>
    <w:rPr>
      <w:i/>
      <w:iCs/>
      <w:color w:val="404040" w:themeColor="text1" w:themeTint="BF"/>
    </w:rPr>
  </w:style>
  <w:style w:type="paragraph" w:styleId="Sraopastraipa">
    <w:name w:val="List Paragraph"/>
    <w:basedOn w:val="prastasis"/>
    <w:uiPriority w:val="34"/>
    <w:qFormat/>
    <w:rsid w:val="00C60FF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60FFA"/>
    <w:rPr>
      <w:i/>
      <w:iCs/>
      <w:color w:val="2F5496" w:themeColor="accent1" w:themeShade="BF"/>
    </w:rPr>
  </w:style>
  <w:style w:type="paragraph" w:styleId="Iskirtacitata">
    <w:name w:val="Intense Quote"/>
    <w:basedOn w:val="prastasis"/>
    <w:next w:val="prastasis"/>
    <w:link w:val="IskirtacitataDiagrama"/>
    <w:uiPriority w:val="30"/>
    <w:qFormat/>
    <w:rsid w:val="00C60F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60FFA"/>
    <w:rPr>
      <w:i/>
      <w:iCs/>
      <w:color w:val="2F5496" w:themeColor="accent1" w:themeShade="BF"/>
    </w:rPr>
  </w:style>
  <w:style w:type="character" w:styleId="Rykinuoroda">
    <w:name w:val="Intense Reference"/>
    <w:basedOn w:val="Numatytasispastraiposriftas"/>
    <w:uiPriority w:val="32"/>
    <w:qFormat/>
    <w:rsid w:val="00C60FFA"/>
    <w:rPr>
      <w:b/>
      <w:bCs/>
      <w:smallCaps/>
      <w:color w:val="2F5496" w:themeColor="accent1" w:themeShade="BF"/>
      <w:spacing w:val="5"/>
    </w:rPr>
  </w:style>
  <w:style w:type="paragraph" w:styleId="Antrats">
    <w:name w:val="header"/>
    <w:aliases w:val="Specialioji žyma"/>
    <w:basedOn w:val="prastasis"/>
    <w:link w:val="AntratsDiagrama"/>
    <w:uiPriority w:val="99"/>
    <w:unhideWhenUsed/>
    <w:rsid w:val="00C60FFA"/>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aliases w:val="Specialioji žyma Diagrama"/>
    <w:basedOn w:val="Numatytasispastraiposriftas"/>
    <w:link w:val="Antrats"/>
    <w:uiPriority w:val="99"/>
    <w:rsid w:val="00C60FFA"/>
    <w:rPr>
      <w:rFonts w:eastAsiaTheme="minorEastAsia"/>
      <w:kern w:val="0"/>
      <w:lang w:val="en-US" w:eastAsia="ja-JP"/>
      <w14:ligatures w14:val="none"/>
    </w:rPr>
  </w:style>
  <w:style w:type="paragraph" w:styleId="Puslapioinaostekstas">
    <w:name w:val="footnote text"/>
    <w:basedOn w:val="prastasis"/>
    <w:link w:val="PuslapioinaostekstasDiagrama"/>
    <w:uiPriority w:val="99"/>
    <w:rsid w:val="00C60FFA"/>
    <w:rPr>
      <w:sz w:val="20"/>
    </w:rPr>
  </w:style>
  <w:style w:type="character" w:customStyle="1" w:styleId="PuslapioinaostekstasDiagrama">
    <w:name w:val="Puslapio išnašos tekstas Diagrama"/>
    <w:basedOn w:val="Numatytasispastraiposriftas"/>
    <w:link w:val="Puslapioinaostekstas"/>
    <w:uiPriority w:val="99"/>
    <w:rsid w:val="00C60FFA"/>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C60FFA"/>
    <w:rPr>
      <w:vertAlign w:val="superscript"/>
    </w:rPr>
  </w:style>
  <w:style w:type="paragraph" w:styleId="Porat">
    <w:name w:val="footer"/>
    <w:basedOn w:val="prastasis"/>
    <w:link w:val="PoratDiagrama"/>
    <w:uiPriority w:val="99"/>
    <w:rsid w:val="00C60FFA"/>
    <w:pPr>
      <w:tabs>
        <w:tab w:val="center" w:pos="4153"/>
        <w:tab w:val="right" w:pos="8306"/>
      </w:tabs>
    </w:pPr>
    <w:rPr>
      <w:szCs w:val="24"/>
    </w:rPr>
  </w:style>
  <w:style w:type="character" w:customStyle="1" w:styleId="PoratDiagrama">
    <w:name w:val="Poraštė Diagrama"/>
    <w:basedOn w:val="Numatytasispastraiposriftas"/>
    <w:link w:val="Porat"/>
    <w:uiPriority w:val="99"/>
    <w:rsid w:val="00C60FFA"/>
    <w:rPr>
      <w:rFonts w:ascii="Times New Roman" w:eastAsia="Times New Roman" w:hAnsi="Times New Roman" w:cs="Times New Roman"/>
      <w:kern w:val="0"/>
      <w:sz w:val="24"/>
      <w:szCs w:val="24"/>
      <w14:ligatures w14:val="none"/>
    </w:rPr>
  </w:style>
  <w:style w:type="character" w:styleId="Puslapionumeris">
    <w:name w:val="page number"/>
    <w:uiPriority w:val="99"/>
    <w:rsid w:val="00C60FFA"/>
    <w:rPr>
      <w:rFonts w:cs="Times New Roman"/>
    </w:rPr>
  </w:style>
  <w:style w:type="character" w:styleId="Hipersaitas">
    <w:name w:val="Hyperlink"/>
    <w:basedOn w:val="Numatytasispastraiposriftas"/>
    <w:uiPriority w:val="99"/>
    <w:unhideWhenUsed/>
    <w:rsid w:val="00C60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SharedWithUsers xmlns="9a0081a9-658c-45ec-8c14-c93fac7daa0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142F3-B03C-421C-AF83-35EF33F7ABC8}">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225FE749-4B1C-4937-9E18-8788411969EC}">
  <ds:schemaRefs>
    <ds:schemaRef ds:uri="http://schemas.microsoft.com/sharepoint/v3/contenttype/forms"/>
  </ds:schemaRefs>
</ds:datastoreItem>
</file>

<file path=customXml/itemProps3.xml><?xml version="1.0" encoding="utf-8"?>
<ds:datastoreItem xmlns:ds="http://schemas.openxmlformats.org/officeDocument/2006/customXml" ds:itemID="{06E982AA-629C-4CB4-B7BC-F91B6246F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9097</Words>
  <Characters>5186</Characters>
  <Application>Microsoft Office Word</Application>
  <DocSecurity>0</DocSecurity>
  <Lines>43</Lines>
  <Paragraphs>28</Paragraphs>
  <ScaleCrop>false</ScaleCrop>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Eimutytė-Česnavičienė</dc:creator>
  <cp:keywords/>
  <dc:description/>
  <cp:lastModifiedBy>Edita Benetienė</cp:lastModifiedBy>
  <cp:revision>2</cp:revision>
  <dcterms:created xsi:type="dcterms:W3CDTF">2026-04-24T05:53:00Z</dcterms:created>
  <dcterms:modified xsi:type="dcterms:W3CDTF">2026-04-24T07:31:00Z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