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2608FA45"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w:t>
      </w:r>
      <w:r w:rsidR="00FC4BCD">
        <w:rPr>
          <w:rFonts w:ascii="Arial" w:eastAsia="Calibri" w:hAnsi="Arial" w:cs="Arial"/>
          <w:szCs w:val="24"/>
          <w:lang w:eastAsia="lt-LT"/>
        </w:rPr>
        <w:t>4</w:t>
      </w:r>
      <w:r w:rsidRPr="00314628">
        <w:rPr>
          <w:rFonts w:ascii="Arial" w:eastAsia="Calibri" w:hAnsi="Arial" w:cs="Arial"/>
          <w:szCs w:val="24"/>
          <w:lang w:eastAsia="lt-LT"/>
        </w:rPr>
        <w:t xml:space="preserve"> priedas „Sutarties projektas“</w:t>
      </w:r>
      <w:r w:rsidR="00A10867" w:rsidRPr="00314628">
        <w:rPr>
          <w:rFonts w:ascii="Arial" w:hAnsi="Arial" w:cs="Arial"/>
          <w:szCs w:val="24"/>
        </w:rPr>
        <w:t> </w:t>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6C5AAB46"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r w:rsidR="003546DE">
        <w:rPr>
          <w:rFonts w:ascii="Arial" w:hAnsi="Arial" w:cs="Arial"/>
          <w:caps/>
          <w:szCs w:val="24"/>
        </w:rPr>
        <w:t>7716895</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24702A2C" w:rsidR="005A5832" w:rsidRPr="009C3350" w:rsidRDefault="009C3350" w:rsidP="00545BCE">
            <w:pPr>
              <w:spacing w:line="276" w:lineRule="auto"/>
              <w:rPr>
                <w:rFonts w:ascii="Arial" w:hAnsi="Arial" w:cs="Arial"/>
                <w:b/>
                <w:bCs/>
                <w:kern w:val="2"/>
                <w:szCs w:val="24"/>
              </w:rPr>
            </w:pPr>
            <w:r w:rsidRPr="009C3350">
              <w:rPr>
                <w:rFonts w:ascii="Arial" w:hAnsi="Arial" w:cs="Arial"/>
                <w:b/>
                <w:bCs/>
                <w:kern w:val="2"/>
                <w:szCs w:val="24"/>
                <w:shd w:val="clear" w:color="auto" w:fill="D9D9D9" w:themeFill="background1" w:themeFillShade="D9"/>
              </w:rPr>
              <w:t>VAIKŲ ŽAIDIMO AIKĮTELIŲ ĮRENGINIAI</w:t>
            </w:r>
            <w:r w:rsidR="00545BCE" w:rsidRPr="009C3350">
              <w:rPr>
                <w:rFonts w:ascii="Arial" w:hAnsi="Arial" w:cs="Arial"/>
                <w:b/>
                <w:bCs/>
                <w:kern w:val="2"/>
                <w:szCs w:val="24"/>
              </w:rPr>
              <w:t xml:space="preserve">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F15976" w:rsidR="00D75759" w:rsidRPr="00314628" w:rsidRDefault="009C3350" w:rsidP="00314628">
            <w:pPr>
              <w:spacing w:line="276" w:lineRule="auto"/>
              <w:jc w:val="center"/>
              <w:rPr>
                <w:rFonts w:ascii="Arial" w:hAnsi="Arial" w:cs="Arial"/>
                <w:b/>
                <w:bCs/>
                <w:kern w:val="2"/>
                <w:szCs w:val="24"/>
              </w:rPr>
            </w:pPr>
            <w:r>
              <w:rPr>
                <w:rFonts w:ascii="Arial" w:hAnsi="Arial" w:cs="Arial"/>
                <w:b/>
                <w:bCs/>
                <w:kern w:val="2"/>
                <w:szCs w:val="24"/>
              </w:rPr>
              <w:t>Klaipėdos rajono savivaldybės BĮ Sporto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1101CE59"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0D55F4F1"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35A27567"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347EBE92"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6CE10C17" w:rsidR="00D75759" w:rsidRPr="00314628" w:rsidRDefault="00DC551E" w:rsidP="00314628">
            <w:pPr>
              <w:spacing w:line="276" w:lineRule="auto"/>
              <w:jc w:val="both"/>
              <w:rPr>
                <w:rFonts w:ascii="Arial" w:hAnsi="Arial" w:cs="Arial"/>
                <w:kern w:val="2"/>
                <w:szCs w:val="24"/>
              </w:rPr>
            </w:pPr>
            <w:r>
              <w:rPr>
                <w:rFonts w:ascii="Arial" w:hAnsi="Arial" w:cs="Arial"/>
                <w:szCs w:val="24"/>
              </w:rPr>
              <w:t>Mindaugas Jonelys</w:t>
            </w:r>
            <w:r w:rsidRPr="0060143F">
              <w:rPr>
                <w:rFonts w:ascii="Arial" w:hAnsi="Arial" w:cs="Arial"/>
                <w:szCs w:val="24"/>
              </w:rPr>
              <w:t xml:space="preserve">, </w:t>
            </w:r>
            <w:r>
              <w:rPr>
                <w:rFonts w:ascii="Arial" w:hAnsi="Arial" w:cs="Arial"/>
                <w:szCs w:val="24"/>
              </w:rPr>
              <w:t>Klaipėdos rajono savivaldybės BĮ Sporto centro Sporto bazių administratorius</w:t>
            </w:r>
            <w:r w:rsidRPr="0060143F">
              <w:rPr>
                <w:rFonts w:ascii="Arial" w:hAnsi="Arial" w:cs="Arial"/>
                <w:szCs w:val="24"/>
              </w:rPr>
              <w:t xml:space="preserve">, tel.:  +370 </w:t>
            </w:r>
            <w:r>
              <w:rPr>
                <w:rFonts w:ascii="Arial" w:hAnsi="Arial" w:cs="Arial"/>
                <w:szCs w:val="24"/>
              </w:rPr>
              <w:t>674</w:t>
            </w:r>
            <w:r w:rsidRPr="0060143F">
              <w:rPr>
                <w:rFonts w:ascii="Arial" w:hAnsi="Arial" w:cs="Arial"/>
                <w:szCs w:val="24"/>
              </w:rPr>
              <w:t xml:space="preserve"> </w:t>
            </w:r>
            <w:r>
              <w:rPr>
                <w:rFonts w:ascii="Arial" w:hAnsi="Arial" w:cs="Arial"/>
                <w:szCs w:val="24"/>
              </w:rPr>
              <w:t>33907</w:t>
            </w:r>
            <w:r w:rsidRPr="0060143F">
              <w:rPr>
                <w:rFonts w:ascii="Arial" w:hAnsi="Arial" w:cs="Arial"/>
                <w:szCs w:val="24"/>
              </w:rPr>
              <w:t>, el. p</w:t>
            </w:r>
            <w:r>
              <w:rPr>
                <w:rFonts w:ascii="Arial" w:hAnsi="Arial" w:cs="Arial"/>
                <w:szCs w:val="24"/>
              </w:rPr>
              <w:t>aštas</w:t>
            </w:r>
            <w:r w:rsidRPr="0060143F">
              <w:rPr>
                <w:rFonts w:ascii="Arial" w:hAnsi="Arial" w:cs="Arial"/>
                <w:szCs w:val="24"/>
              </w:rPr>
              <w:t xml:space="preserve"> </w:t>
            </w:r>
            <w:hyperlink r:id="rId11" w:history="1">
              <w:r w:rsidRPr="00B75042">
                <w:rPr>
                  <w:rStyle w:val="Hipersaitas"/>
                  <w:rFonts w:ascii="Arial" w:hAnsi="Arial" w:cs="Arial"/>
                  <w:szCs w:val="24"/>
                </w:rPr>
                <w:t>sportobazes@gargzdusc.lt</w:t>
              </w:r>
            </w:hyperlink>
            <w:r>
              <w:rPr>
                <w:rFonts w:ascii="Arial" w:hAnsi="Arial" w:cs="Arial"/>
                <w:color w:val="0070C0"/>
                <w:szCs w:val="24"/>
              </w:rPr>
              <w:t xml:space="preserve"> </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36A06BE" w14:textId="42E973C5"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9C3350">
              <w:rPr>
                <w:rFonts w:ascii="Arial" w:hAnsi="Arial" w:cs="Arial"/>
                <w:b/>
                <w:bCs/>
                <w:kern w:val="2"/>
                <w:szCs w:val="24"/>
              </w:rPr>
              <w:t>Vaikų žaidimo aikštelių įrenginius</w:t>
            </w:r>
            <w:r w:rsidR="005D5F70">
              <w:rPr>
                <w:rFonts w:ascii="Arial" w:hAnsi="Arial" w:cs="Arial"/>
                <w:b/>
                <w:bCs/>
                <w:kern w:val="2"/>
                <w:szCs w:val="24"/>
              </w:rPr>
              <w:t>.</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38E9D617"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009C3350">
              <w:rPr>
                <w:rFonts w:ascii="Arial" w:eastAsia="Calibri" w:hAnsi="Arial" w:cs="Arial"/>
                <w:color w:val="000000" w:themeColor="text1"/>
                <w:szCs w:val="24"/>
              </w:rPr>
              <w:t>P-2026/14782 Vaikų žaidimo aikštelių įrenginiai</w:t>
            </w:r>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F05E4C">
              <w:rPr>
                <w:rFonts w:ascii="Arial" w:eastAsia="Calibri" w:hAnsi="Arial" w:cs="Arial"/>
                <w:color w:val="00B050"/>
                <w:szCs w:val="24"/>
              </w:rPr>
              <w:t>Nr.</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3.3. Informacija apie Europos Sąjungos lėšomis finansuojamą 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32B7730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4.1. Prekių pristatymo terminas, kai Prekės </w:t>
            </w:r>
            <w:r w:rsidRPr="00314628">
              <w:rPr>
                <w:rFonts w:ascii="Arial" w:hAnsi="Arial" w:cs="Arial"/>
                <w:b/>
                <w:bCs/>
                <w:kern w:val="2"/>
                <w:szCs w:val="24"/>
              </w:rPr>
              <w:lastRenderedPageBreak/>
              <w:t>pristatomos vienu kartu</w:t>
            </w:r>
          </w:p>
        </w:tc>
        <w:tc>
          <w:tcPr>
            <w:tcW w:w="6831" w:type="dxa"/>
            <w:gridSpan w:val="2"/>
          </w:tcPr>
          <w:p w14:paraId="6CB7A488" w14:textId="5B2D8634"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lastRenderedPageBreak/>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9C3350">
              <w:rPr>
                <w:rFonts w:ascii="Arial" w:hAnsi="Arial" w:cs="Arial"/>
                <w:b/>
                <w:bCs/>
                <w:kern w:val="2"/>
                <w:szCs w:val="24"/>
              </w:rPr>
              <w:t>6 savaites</w:t>
            </w:r>
            <w:r w:rsidRPr="00314628">
              <w:rPr>
                <w:rFonts w:ascii="Arial" w:hAnsi="Arial" w:cs="Arial"/>
                <w:kern w:val="2"/>
                <w:szCs w:val="24"/>
              </w:rPr>
              <w:t xml:space="preserve"> nuo Sutarties įsigaliojimo dienos šiuo adresu: </w:t>
            </w:r>
            <w:r w:rsidR="009C3350">
              <w:rPr>
                <w:rFonts w:ascii="Arial" w:hAnsi="Arial" w:cs="Arial"/>
                <w:szCs w:val="24"/>
                <w:lang w:eastAsia="lt-LT"/>
              </w:rPr>
              <w:t>Gamyklos g. 33</w:t>
            </w:r>
            <w:r w:rsidRPr="00314628">
              <w:rPr>
                <w:rFonts w:ascii="Arial" w:hAnsi="Arial" w:cs="Arial"/>
                <w:szCs w:val="24"/>
                <w:lang w:eastAsia="lt-LT"/>
              </w:rPr>
              <w:t>, Gargždai.</w:t>
            </w:r>
          </w:p>
          <w:p w14:paraId="5491866C" w14:textId="7C826DB3" w:rsidR="005D5F70" w:rsidRPr="005D5F70" w:rsidRDefault="005D5F70" w:rsidP="005D5F70">
            <w:pPr>
              <w:spacing w:line="276" w:lineRule="auto"/>
              <w:rPr>
                <w:rFonts w:ascii="Arial" w:hAnsi="Arial" w:cs="Arial"/>
                <w:kern w:val="2"/>
                <w:szCs w:val="24"/>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5EBC493C"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DC551E">
              <w:rPr>
                <w:rFonts w:ascii="Arial" w:hAnsi="Arial" w:cs="Arial"/>
                <w:kern w:val="2"/>
                <w:szCs w:val="24"/>
              </w:rPr>
              <w:t xml:space="preserve">pirkimo specialiųjų sąlygų 3 priedo 1 lentelės 10, 12, </w:t>
            </w:r>
            <w:r w:rsidR="001C7163">
              <w:rPr>
                <w:rFonts w:ascii="Arial" w:hAnsi="Arial" w:cs="Arial"/>
                <w:kern w:val="2"/>
                <w:szCs w:val="24"/>
              </w:rPr>
              <w:t xml:space="preserve">14, </w:t>
            </w:r>
            <w:r w:rsidR="00DC551E">
              <w:rPr>
                <w:rFonts w:ascii="Arial" w:hAnsi="Arial" w:cs="Arial"/>
                <w:kern w:val="2"/>
                <w:szCs w:val="24"/>
              </w:rPr>
              <w:t>15 p.</w:t>
            </w:r>
            <w:r w:rsidR="003A27BB" w:rsidRPr="00314628">
              <w:rPr>
                <w:rFonts w:ascii="Arial" w:hAnsi="Arial" w:cs="Arial"/>
                <w:kern w:val="2"/>
                <w:szCs w:val="24"/>
              </w:rPr>
              <w:t>)</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3BBD8722"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249819A9"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w:t>
            </w:r>
            <w:r w:rsidRPr="00CF72EA">
              <w:rPr>
                <w:rFonts w:ascii="Arial" w:hAnsi="Arial" w:cs="Arial"/>
                <w:color w:val="4472C4"/>
                <w:kern w:val="2"/>
                <w:szCs w:val="24"/>
              </w:rPr>
              <w:lastRenderedPageBreak/>
              <w:t>kai dėl kainos apskaičiavimo būdo toks perskaičiavimas 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A1D308C"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4CDC67F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275505B7" w14:textId="77777777" w:rsidR="007B1218"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sidR="005D5F70">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215AC79F"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6CA709E4" w:rsidR="005A5832" w:rsidRPr="00314628" w:rsidRDefault="00DC551E"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Pr>
                <w:rFonts w:ascii="Arial" w:hAnsi="Arial" w:cs="Arial"/>
                <w:kern w:val="2"/>
                <w:szCs w:val="24"/>
              </w:rPr>
              <w:t xml:space="preserve"> (pagal Techninėje specifikacijoje nustatytus reikalavimus):</w:t>
            </w:r>
            <w:r w:rsidRPr="00CF72EA">
              <w:rPr>
                <w:rFonts w:ascii="Arial" w:hAnsi="Arial" w:cs="Arial"/>
                <w:kern w:val="2"/>
                <w:szCs w:val="24"/>
              </w:rPr>
              <w:t xml:space="preserve"> </w:t>
            </w:r>
            <w:r w:rsidRPr="00914CE4">
              <w:rPr>
                <w:rFonts w:ascii="Arial" w:hAnsi="Arial" w:cs="Arial"/>
                <w:color w:val="FF0000"/>
                <w:kern w:val="2"/>
                <w:szCs w:val="24"/>
              </w:rPr>
              <w:t>.......</w:t>
            </w:r>
            <w:r>
              <w:rPr>
                <w:rFonts w:ascii="Arial" w:hAnsi="Arial" w:cs="Arial"/>
                <w:color w:val="FF0000"/>
                <w:kern w:val="2"/>
                <w:szCs w:val="24"/>
              </w:rPr>
              <w:t>[įrašyti tiekėjo pasiūlyme nurodytą]</w:t>
            </w:r>
            <w:r w:rsidRPr="00914CE4">
              <w:rPr>
                <w:rFonts w:ascii="Arial" w:hAnsi="Arial" w:cs="Arial"/>
                <w:color w:val="FF0000"/>
                <w:kern w:val="2"/>
                <w:szCs w:val="24"/>
              </w:rPr>
              <w:t>.........</w:t>
            </w:r>
            <w:r w:rsidRPr="00CF72EA">
              <w:rPr>
                <w:rFonts w:ascii="Arial" w:hAnsi="Arial" w:cs="Arial"/>
                <w:kern w:val="2"/>
                <w:szCs w:val="24"/>
              </w:rPr>
              <w:t>.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71224DF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942479" w:rsidRPr="00314628">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3273C4" w:rsidRPr="00314628" w14:paraId="2DCEAA43" w14:textId="77777777" w:rsidTr="1564600E">
        <w:trPr>
          <w:trHeight w:val="300"/>
        </w:trPr>
        <w:tc>
          <w:tcPr>
            <w:tcW w:w="2704" w:type="dxa"/>
            <w:gridSpan w:val="2"/>
          </w:tcPr>
          <w:p w14:paraId="5DA3CE61" w14:textId="64FD3604" w:rsidR="003273C4" w:rsidRPr="00314628" w:rsidRDefault="003273C4" w:rsidP="00314628">
            <w:pPr>
              <w:spacing w:line="276" w:lineRule="auto"/>
              <w:rPr>
                <w:rFonts w:ascii="Arial" w:hAnsi="Arial" w:cs="Arial"/>
                <w:b/>
                <w:bCs/>
                <w:kern w:val="2"/>
                <w:szCs w:val="24"/>
              </w:rPr>
            </w:pPr>
            <w:r>
              <w:rPr>
                <w:rFonts w:ascii="Arial" w:hAnsi="Arial" w:cs="Arial"/>
                <w:b/>
                <w:bCs/>
                <w:kern w:val="2"/>
                <w:szCs w:val="24"/>
              </w:rPr>
              <w:t>6.3.</w:t>
            </w:r>
            <w:r w:rsidR="00342BFF">
              <w:rPr>
                <w:rFonts w:ascii="Arial" w:hAnsi="Arial" w:cs="Arial"/>
                <w:b/>
                <w:bCs/>
                <w:kern w:val="2"/>
                <w:szCs w:val="24"/>
              </w:rPr>
              <w:t xml:space="preserve"> </w:t>
            </w:r>
            <w:r w:rsidR="00342BFF" w:rsidRPr="00342BFF">
              <w:rPr>
                <w:rFonts w:ascii="Arial" w:hAnsi="Arial" w:cs="Arial"/>
                <w:b/>
                <w:bCs/>
                <w:kern w:val="2"/>
                <w:szCs w:val="24"/>
              </w:rPr>
              <w:t>Kokybinių kriterijų įgyvendinimo ir tikrinimo tvarka</w:t>
            </w:r>
          </w:p>
        </w:tc>
        <w:tc>
          <w:tcPr>
            <w:tcW w:w="6831" w:type="dxa"/>
            <w:gridSpan w:val="2"/>
          </w:tcPr>
          <w:p w14:paraId="7031491C" w14:textId="14562881" w:rsidR="003273C4" w:rsidRPr="00314628" w:rsidRDefault="00342BFF" w:rsidP="00314628">
            <w:pPr>
              <w:spacing w:line="276" w:lineRule="auto"/>
              <w:jc w:val="both"/>
              <w:rPr>
                <w:rFonts w:ascii="Arial" w:hAnsi="Arial" w:cs="Arial"/>
                <w:kern w:val="2"/>
                <w:szCs w:val="24"/>
              </w:rPr>
            </w:pPr>
            <w:r>
              <w:rPr>
                <w:rFonts w:ascii="Arial" w:hAnsi="Arial" w:cs="Arial"/>
              </w:rPr>
              <w:t>Netaikoma</w:t>
            </w:r>
          </w:p>
        </w:tc>
      </w:tr>
      <w:tr w:rsidR="00234CD9" w:rsidRPr="00314628" w14:paraId="4EE15A55" w14:textId="77777777" w:rsidTr="1564600E">
        <w:trPr>
          <w:trHeight w:val="300"/>
        </w:trPr>
        <w:tc>
          <w:tcPr>
            <w:tcW w:w="9535" w:type="dxa"/>
            <w:gridSpan w:val="4"/>
          </w:tcPr>
          <w:p w14:paraId="1636BD8A"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538B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1F8FEBB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342BFF" w:rsidRPr="00314628" w14:paraId="664BB0D2" w14:textId="77777777" w:rsidTr="1564600E">
        <w:trPr>
          <w:trHeight w:val="300"/>
        </w:trPr>
        <w:tc>
          <w:tcPr>
            <w:tcW w:w="2704" w:type="dxa"/>
            <w:gridSpan w:val="2"/>
          </w:tcPr>
          <w:p w14:paraId="7C947DEE" w14:textId="6B15DF9E" w:rsidR="00342BFF" w:rsidRPr="00314628" w:rsidRDefault="00342BFF" w:rsidP="00314628">
            <w:pPr>
              <w:spacing w:line="276" w:lineRule="auto"/>
              <w:rPr>
                <w:rFonts w:ascii="Arial" w:hAnsi="Arial" w:cs="Arial"/>
                <w:b/>
                <w:bCs/>
                <w:kern w:val="2"/>
                <w:szCs w:val="24"/>
              </w:rPr>
            </w:pPr>
            <w:r>
              <w:rPr>
                <w:rFonts w:ascii="Arial" w:hAnsi="Arial" w:cs="Arial"/>
                <w:b/>
                <w:bCs/>
                <w:kern w:val="2"/>
                <w:szCs w:val="24"/>
              </w:rPr>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342BFF" w:rsidRPr="00314628" w:rsidRDefault="00342BFF"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440514AB" w14:textId="77777777" w:rsidTr="1564600E">
        <w:trPr>
          <w:trHeight w:val="300"/>
        </w:trPr>
        <w:tc>
          <w:tcPr>
            <w:tcW w:w="2704" w:type="dxa"/>
            <w:gridSpan w:val="2"/>
          </w:tcPr>
          <w:p w14:paraId="1559F431" w14:textId="08EEC8E8"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8.</w:t>
            </w:r>
            <w:r w:rsidR="00342BFF">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6433CAA2" w14:textId="77777777" w:rsidR="003208A9" w:rsidRDefault="003208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0511F91C" w14:textId="4204776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14628" w:rsidRDefault="005A5832" w:rsidP="00314628">
            <w:pPr>
              <w:spacing w:line="276" w:lineRule="auto"/>
              <w:jc w:val="both"/>
              <w:rPr>
                <w:rFonts w:ascii="Arial" w:hAnsi="Arial" w:cs="Arial"/>
                <w:kern w:val="2"/>
                <w:szCs w:val="24"/>
              </w:rPr>
            </w:pP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6E3805E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9.3. </w:t>
            </w:r>
            <w:r w:rsidR="00342BFF" w:rsidRPr="00342BFF">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01478B53" w14:textId="77777777" w:rsidR="005A5832" w:rsidRDefault="00342BFF"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0A250123" w:rsidR="00342BFF" w:rsidRPr="00314628" w:rsidRDefault="00342BFF" w:rsidP="00314628">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w:t>
            </w:r>
            <w:r w:rsidRPr="00314628">
              <w:rPr>
                <w:rFonts w:ascii="Arial" w:hAnsi="Arial" w:cs="Arial"/>
                <w:b/>
                <w:bCs/>
                <w:kern w:val="2"/>
                <w:szCs w:val="24"/>
              </w:rPr>
              <w:lastRenderedPageBreak/>
              <w:t xml:space="preserve">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6DD0A651"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942479" w:rsidRPr="00314628">
              <w:rPr>
                <w:rFonts w:ascii="Arial" w:hAnsi="Arial" w:cs="Arial"/>
                <w:kern w:val="2"/>
                <w:szCs w:val="24"/>
              </w:rPr>
              <w:t>.</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454E19" w:rsidRPr="00314628" w14:paraId="6A2FA513" w14:textId="77777777" w:rsidTr="1564600E">
        <w:trPr>
          <w:trHeight w:val="300"/>
        </w:trPr>
        <w:tc>
          <w:tcPr>
            <w:tcW w:w="2704" w:type="dxa"/>
            <w:gridSpan w:val="2"/>
          </w:tcPr>
          <w:p w14:paraId="5A8A8B6F" w14:textId="73F53780" w:rsidR="00454E19" w:rsidRPr="00314628" w:rsidRDefault="00454E19" w:rsidP="00314628">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454E19" w:rsidRPr="00314628" w:rsidDel="0052186B" w:rsidRDefault="00454E19"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C85EF6" w:rsidRPr="00314628" w14:paraId="1B7E670E" w14:textId="77777777" w:rsidTr="00C85EF6">
        <w:trPr>
          <w:trHeight w:val="300"/>
        </w:trPr>
        <w:tc>
          <w:tcPr>
            <w:tcW w:w="9535" w:type="dxa"/>
            <w:gridSpan w:val="4"/>
            <w:vAlign w:val="center"/>
          </w:tcPr>
          <w:p w14:paraId="7691AB83" w14:textId="77777777" w:rsidR="003208A9" w:rsidRDefault="003208A9" w:rsidP="00C85EF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C85EF6" w:rsidRPr="00314628" w:rsidRDefault="00C85EF6" w:rsidP="00C85EF6">
            <w:pPr>
              <w:spacing w:line="276" w:lineRule="auto"/>
              <w:jc w:val="center"/>
              <w:rPr>
                <w:rFonts w:ascii="Arial" w:hAnsi="Arial" w:cs="Arial"/>
                <w:kern w:val="2"/>
                <w:szCs w:val="24"/>
              </w:rPr>
            </w:pPr>
            <w:r w:rsidRPr="00C85EF6">
              <w:rPr>
                <w:rFonts w:ascii="Arial" w:hAnsi="Arial" w:cs="Arial"/>
                <w:b/>
                <w:kern w:val="2"/>
                <w:szCs w:val="24"/>
              </w:rPr>
              <w:lastRenderedPageBreak/>
              <w:t> ESMINĖS SUTARTIES SĄLYGOS</w:t>
            </w:r>
          </w:p>
        </w:tc>
      </w:tr>
      <w:tr w:rsidR="00C85EF6" w:rsidRPr="00314628" w14:paraId="43714EBA" w14:textId="77777777" w:rsidTr="1564600E">
        <w:trPr>
          <w:trHeight w:val="300"/>
        </w:trPr>
        <w:tc>
          <w:tcPr>
            <w:tcW w:w="2704" w:type="dxa"/>
            <w:gridSpan w:val="2"/>
          </w:tcPr>
          <w:p w14:paraId="3728A222" w14:textId="0A566A01"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rPr>
              <w:lastRenderedPageBreak/>
              <w:t>10.1. Esminės Sutarties sąlygos</w:t>
            </w:r>
          </w:p>
        </w:tc>
        <w:tc>
          <w:tcPr>
            <w:tcW w:w="6831" w:type="dxa"/>
            <w:gridSpan w:val="2"/>
          </w:tcPr>
          <w:p w14:paraId="2CE0B44A" w14:textId="6C90AFF8"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C85EF6" w:rsidRPr="00314628" w14:paraId="648EC1A6" w14:textId="77777777" w:rsidTr="1564600E">
        <w:trPr>
          <w:trHeight w:val="300"/>
        </w:trPr>
        <w:tc>
          <w:tcPr>
            <w:tcW w:w="2704" w:type="dxa"/>
            <w:gridSpan w:val="2"/>
          </w:tcPr>
          <w:p w14:paraId="2A365B12" w14:textId="302D6834"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3B52AB21" w14:textId="77777777" w:rsidR="00C85EF6" w:rsidRDefault="00C85EF6"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44010EC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7EE6D76" w14:textId="2E7DD281" w:rsidR="003208A9" w:rsidRPr="003208A9" w:rsidRDefault="003208A9" w:rsidP="003208A9">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Taikoma I, II pirkimo dalims</w:t>
            </w:r>
            <w:r w:rsidRPr="004D3AA3">
              <w:rPr>
                <w:rFonts w:ascii="Arial" w:eastAsia="Times New Roman" w:hAnsi="Arial" w:cs="Arial"/>
                <w:i/>
                <w:iCs/>
                <w:sz w:val="24"/>
                <w:szCs w:val="24"/>
                <w:highlight w:val="lightGray"/>
              </w:rPr>
              <w:t>]:</w:t>
            </w:r>
          </w:p>
          <w:p w14:paraId="02FD323B" w14:textId="4D6DCA15"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5301C2DC"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DA795A">
              <w:rPr>
                <w:rFonts w:ascii="Arial" w:hAnsi="Arial" w:cs="Arial"/>
                <w:b/>
                <w:bCs/>
                <w:szCs w:val="24"/>
              </w:rPr>
              <w:t xml:space="preserve">72 </w:t>
            </w:r>
            <w:r w:rsidR="00DA795A" w:rsidRPr="00DA795A">
              <w:rPr>
                <w:rFonts w:ascii="Arial" w:hAnsi="Arial" w:cs="Arial"/>
                <w:szCs w:val="24"/>
              </w:rPr>
              <w:t>(septyniasdešimt dvi)</w:t>
            </w:r>
            <w:r w:rsidR="00DA795A">
              <w:rPr>
                <w:rFonts w:ascii="Arial" w:hAnsi="Arial" w:cs="Arial"/>
                <w:b/>
                <w:bCs/>
                <w:szCs w:val="24"/>
              </w:rPr>
              <w:t xml:space="preserve"> kalendorinės dienos</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11D3BEF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30A9EAC6"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02918FC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2D28E9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1EBE5933" w:rsidR="00346FAA" w:rsidRPr="00AB699D" w:rsidRDefault="00346FAA" w:rsidP="003208A9">
            <w:pPr>
              <w:spacing w:line="276" w:lineRule="auto"/>
              <w:jc w:val="both"/>
              <w:rPr>
                <w:rFonts w:ascii="Arial" w:hAnsi="Arial" w:cs="Arial"/>
                <w:kern w:val="2"/>
                <w:szCs w:val="24"/>
              </w:rPr>
            </w:pPr>
            <w:r w:rsidRPr="00AB699D">
              <w:rPr>
                <w:rFonts w:ascii="Arial" w:hAnsi="Arial" w:cs="Arial"/>
                <w:kern w:val="2"/>
                <w:szCs w:val="24"/>
              </w:rPr>
              <w:t>1</w:t>
            </w:r>
            <w:r w:rsidR="003208A9">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346FAA" w:rsidRPr="00AB699D"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lastRenderedPageBreak/>
              <w:t>1</w:t>
            </w:r>
            <w:r w:rsidR="003208A9">
              <w:rPr>
                <w:rFonts w:ascii="Arial" w:eastAsia="Arial" w:hAnsi="Arial" w:cs="Arial"/>
                <w:kern w:val="2"/>
                <w:szCs w:val="24"/>
                <w:lang w:val="lt"/>
              </w:rPr>
              <w:t>2</w:t>
            </w:r>
            <w:r w:rsidRPr="00AB699D">
              <w:rPr>
                <w:rFonts w:ascii="Arial" w:eastAsia="Arial" w:hAnsi="Arial" w:cs="Arial"/>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9AE545C"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5A5832"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4198364C" w14:textId="090FD2B0" w:rsidR="003273C4" w:rsidRPr="00314628" w:rsidRDefault="003273C4" w:rsidP="003208A9">
            <w:pPr>
              <w:spacing w:line="276" w:lineRule="auto"/>
              <w:jc w:val="both"/>
              <w:rPr>
                <w:rFonts w:ascii="Arial" w:eastAsia="Arial" w:hAnsi="Arial" w:cs="Arial"/>
                <w:kern w:val="2"/>
                <w:szCs w:val="24"/>
              </w:rPr>
            </w:pPr>
            <w:r>
              <w:rPr>
                <w:rFonts w:ascii="Arial" w:hAnsi="Arial" w:cs="Arial"/>
                <w:szCs w:val="24"/>
              </w:rPr>
              <w:t>12.2.1</w:t>
            </w:r>
            <w:r w:rsidR="001C7163">
              <w:rPr>
                <w:rFonts w:ascii="Arial" w:hAnsi="Arial" w:cs="Arial"/>
                <w:szCs w:val="24"/>
              </w:rPr>
              <w:t>0</w:t>
            </w:r>
            <w:r>
              <w:rPr>
                <w:rFonts w:ascii="Arial" w:hAnsi="Arial" w:cs="Arial"/>
                <w:szCs w:val="24"/>
              </w:rPr>
              <w:t xml:space="preserve">. </w:t>
            </w:r>
            <w:r w:rsidRPr="00AB3D43">
              <w:rPr>
                <w:rFonts w:ascii="Arial" w:hAnsi="Arial" w:cs="Arial"/>
                <w:szCs w:val="24"/>
              </w:rPr>
              <w:t>Reikalavimų, susijusių su aplinkos apsaugos reikalavimais, nevykdymas.</w:t>
            </w:r>
          </w:p>
        </w:tc>
      </w:tr>
      <w:tr w:rsidR="00234CD9" w:rsidRPr="00314628" w14:paraId="62F6599E" w14:textId="77777777" w:rsidTr="1564600E">
        <w:trPr>
          <w:trHeight w:val="300"/>
        </w:trPr>
        <w:tc>
          <w:tcPr>
            <w:tcW w:w="9535" w:type="dxa"/>
            <w:gridSpan w:val="4"/>
          </w:tcPr>
          <w:p w14:paraId="1A60942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lastRenderedPageBreak/>
              <w:t>XIII SKYRIUS</w:t>
            </w:r>
          </w:p>
          <w:p w14:paraId="35B10415" w14:textId="7E799BF2"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3983DFC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7435CDD7" w:rsidR="00AD75D5" w:rsidRDefault="001C7163" w:rsidP="00314628">
            <w:pPr>
              <w:spacing w:line="276" w:lineRule="auto"/>
              <w:jc w:val="both"/>
              <w:rPr>
                <w:rFonts w:ascii="Arial" w:eastAsia="Arial Unicode MS" w:hAnsi="Arial" w:cs="Arial"/>
                <w:color w:val="000000"/>
                <w:szCs w:val="24"/>
                <w:bdr w:val="none" w:sz="0" w:space="0" w:color="auto" w:frame="1"/>
                <w:shd w:val="clear" w:color="auto" w:fill="FFFFFF"/>
              </w:rPr>
            </w:pPr>
            <w:r>
              <w:rPr>
                <w:rFonts w:ascii="Arial" w:hAnsi="Arial" w:cs="Arial"/>
                <w:kern w:val="2"/>
                <w:szCs w:val="24"/>
                <w:shd w:val="clear" w:color="auto" w:fill="FFFFFF"/>
              </w:rPr>
              <w:t xml:space="preserve">13.1.1. </w:t>
            </w:r>
            <w:r w:rsidR="00AD75D5" w:rsidRPr="00314628">
              <w:rPr>
                <w:rFonts w:ascii="Arial" w:hAnsi="Arial" w:cs="Arial"/>
                <w:kern w:val="2"/>
                <w:szCs w:val="24"/>
                <w:shd w:val="clear" w:color="auto" w:fill="FFFFFF"/>
              </w:rPr>
              <w:t xml:space="preserve">Aplinkosauginiai kriterijai Prekėms nustatomi vadovaujantis </w:t>
            </w:r>
            <w:r w:rsidR="00AD75D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w:t>
            </w:r>
            <w:r>
              <w:rPr>
                <w:rFonts w:ascii="Arial" w:eastAsia="Arial Unicode MS" w:hAnsi="Arial" w:cs="Arial"/>
                <w:color w:val="000000"/>
                <w:szCs w:val="24"/>
                <w:bdr w:val="none" w:sz="0" w:space="0" w:color="auto" w:frame="1"/>
                <w:shd w:val="clear" w:color="auto" w:fill="FFFFFF"/>
              </w:rPr>
              <w:t xml:space="preserve"> 4.1.,</w:t>
            </w:r>
            <w:r w:rsidR="00AD75D5" w:rsidRPr="00314628">
              <w:rPr>
                <w:rFonts w:ascii="Arial" w:eastAsia="Arial Unicode MS" w:hAnsi="Arial" w:cs="Arial"/>
                <w:color w:val="000000"/>
                <w:szCs w:val="24"/>
                <w:bdr w:val="none" w:sz="0" w:space="0" w:color="auto" w:frame="1"/>
                <w:shd w:val="clear" w:color="auto" w:fill="FFFFFF"/>
              </w:rPr>
              <w:t xml:space="preserve"> 4.4. p</w:t>
            </w:r>
            <w:r w:rsidR="003208A9">
              <w:rPr>
                <w:rFonts w:ascii="Arial" w:eastAsia="Arial Unicode MS" w:hAnsi="Arial" w:cs="Arial"/>
                <w:color w:val="000000"/>
                <w:szCs w:val="24"/>
                <w:bdr w:val="none" w:sz="0" w:space="0" w:color="auto" w:frame="1"/>
                <w:shd w:val="clear" w:color="auto" w:fill="FFFFFF"/>
              </w:rPr>
              <w:t>apunkči</w:t>
            </w:r>
            <w:r>
              <w:rPr>
                <w:rFonts w:ascii="Arial" w:eastAsia="Arial Unicode MS" w:hAnsi="Arial" w:cs="Arial"/>
                <w:color w:val="000000"/>
                <w:szCs w:val="24"/>
                <w:bdr w:val="none" w:sz="0" w:space="0" w:color="auto" w:frame="1"/>
                <w:shd w:val="clear" w:color="auto" w:fill="FFFFFF"/>
              </w:rPr>
              <w:t>ais</w:t>
            </w:r>
            <w:r w:rsidR="00777879">
              <w:rPr>
                <w:rFonts w:ascii="Arial" w:eastAsia="Arial Unicode MS" w:hAnsi="Arial" w:cs="Arial"/>
                <w:color w:val="000000"/>
                <w:szCs w:val="24"/>
                <w:bdr w:val="none" w:sz="0" w:space="0" w:color="auto" w:frame="1"/>
                <w:shd w:val="clear" w:color="auto" w:fill="FFFFFF"/>
              </w:rPr>
              <w:t xml:space="preserve"> (</w:t>
            </w:r>
            <w:r w:rsidR="00777879" w:rsidRPr="005B6BC1">
              <w:rPr>
                <w:rFonts w:ascii="Arial" w:hAnsi="Arial" w:cs="Arial"/>
                <w:szCs w:val="24"/>
              </w:rPr>
              <w:t>Nurodyti Sutarties priede Nr. 1 „Techninė specifikacija“</w:t>
            </w:r>
            <w:r w:rsidR="00777879">
              <w:rPr>
                <w:rFonts w:ascii="Arial" w:hAnsi="Arial" w:cs="Arial"/>
                <w:szCs w:val="24"/>
              </w:rPr>
              <w:t>).</w:t>
            </w:r>
          </w:p>
          <w:p w14:paraId="0ADD9B97" w14:textId="6988CEED" w:rsidR="001C7163" w:rsidRPr="00314628" w:rsidRDefault="00777879" w:rsidP="00314628">
            <w:pPr>
              <w:spacing w:line="276" w:lineRule="auto"/>
              <w:jc w:val="both"/>
              <w:rPr>
                <w:rFonts w:ascii="Arial" w:hAnsi="Arial" w:cs="Arial"/>
                <w:kern w:val="2"/>
                <w:szCs w:val="24"/>
                <w:shd w:val="clear" w:color="auto" w:fill="FFFFFF"/>
              </w:rPr>
            </w:pPr>
            <w:r w:rsidRPr="00AB699D">
              <w:rPr>
                <w:rFonts w:ascii="Arial" w:hAnsi="Arial" w:cs="Arial"/>
                <w:kern w:val="2"/>
                <w:szCs w:val="24"/>
              </w:rPr>
              <w:t>1</w:t>
            </w:r>
            <w:r>
              <w:rPr>
                <w:rFonts w:ascii="Arial" w:hAnsi="Arial" w:cs="Arial"/>
                <w:kern w:val="2"/>
                <w:szCs w:val="24"/>
              </w:rPr>
              <w:t>3</w:t>
            </w:r>
            <w:r w:rsidRPr="00AB699D">
              <w:rPr>
                <w:rFonts w:ascii="Arial" w:hAnsi="Arial" w:cs="Arial"/>
                <w:kern w:val="2"/>
                <w:szCs w:val="24"/>
              </w:rPr>
              <w:t>.1.</w:t>
            </w:r>
            <w:r>
              <w:rPr>
                <w:rFonts w:ascii="Arial" w:hAnsi="Arial" w:cs="Arial"/>
                <w:kern w:val="2"/>
                <w:szCs w:val="24"/>
              </w:rPr>
              <w:t>2</w:t>
            </w:r>
            <w:r w:rsidRPr="00AB699D">
              <w:rPr>
                <w:rFonts w:ascii="Arial" w:hAnsi="Arial" w:cs="Arial"/>
                <w:kern w:val="2"/>
                <w:szCs w:val="24"/>
              </w:rPr>
              <w:t>. Įrodymui Tiekėjas kartu su galutiniu Prekių perdavimo-priėmimo aktu turės pateikti gamintojo ir (ar) tiekėjo techninius dokumentus, gamintojo ir (ar) importuotojo, ir (ar) tiekėjo rašytinius patvirtinimus, gamintojo ir (ar) tiekėjo deklaraciją (pateikiant objektyvius įrodymus), įrangos aprašymus, instrukcijas arba kitus lygiaverčius įrodymus.</w:t>
            </w:r>
          </w:p>
          <w:p w14:paraId="5E3819D0" w14:textId="407742B3" w:rsidR="001C7163" w:rsidRPr="00314628" w:rsidRDefault="00777879" w:rsidP="00314628">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13.1.3. </w:t>
            </w:r>
            <w:r w:rsidR="003208A9" w:rsidRPr="003208A9">
              <w:rPr>
                <w:rFonts w:ascii="Arial" w:hAnsi="Arial" w:cs="Arial"/>
                <w:kern w:val="2"/>
                <w:szCs w:val="24"/>
                <w:shd w:val="clear" w:color="auto" w:fill="FFFFFF"/>
              </w:rPr>
              <w:t>Nustačius, kad Tiekėjas šiame papunktyje nustatyt</w:t>
            </w:r>
            <w:r w:rsidR="003208A9">
              <w:rPr>
                <w:rFonts w:ascii="Arial" w:hAnsi="Arial" w:cs="Arial"/>
                <w:kern w:val="2"/>
                <w:szCs w:val="24"/>
                <w:shd w:val="clear" w:color="auto" w:fill="FFFFFF"/>
              </w:rPr>
              <w:t>ų</w:t>
            </w:r>
            <w:r w:rsidR="003208A9" w:rsidRPr="003208A9">
              <w:rPr>
                <w:rFonts w:ascii="Arial" w:hAnsi="Arial" w:cs="Arial"/>
                <w:kern w:val="2"/>
                <w:szCs w:val="24"/>
                <w:shd w:val="clear" w:color="auto" w:fill="FFFFFF"/>
              </w:rPr>
              <w:t xml:space="preserve"> kriterij</w:t>
            </w:r>
            <w:r w:rsidR="003208A9">
              <w:rPr>
                <w:rFonts w:ascii="Arial" w:hAnsi="Arial" w:cs="Arial"/>
                <w:kern w:val="2"/>
                <w:szCs w:val="24"/>
                <w:shd w:val="clear" w:color="auto" w:fill="FFFFFF"/>
              </w:rPr>
              <w:t>ų</w:t>
            </w:r>
            <w:r w:rsidR="003208A9" w:rsidRPr="003208A9">
              <w:rPr>
                <w:rFonts w:ascii="Arial" w:hAnsi="Arial" w:cs="Arial"/>
                <w:kern w:val="2"/>
                <w:szCs w:val="24"/>
                <w:shd w:val="clear" w:color="auto" w:fill="FFFFFF"/>
              </w:rPr>
              <w:t xml:space="preserve"> nesilaiko, Tiekėjui taikoma Specialiųjų sąlygų 9.5 punkte nurodyto dydžio bauda.</w:t>
            </w:r>
          </w:p>
        </w:tc>
      </w:tr>
      <w:tr w:rsidR="00234CD9" w:rsidRPr="00314628" w14:paraId="3A212E51" w14:textId="77777777" w:rsidTr="1564600E">
        <w:trPr>
          <w:trHeight w:val="300"/>
        </w:trPr>
        <w:tc>
          <w:tcPr>
            <w:tcW w:w="2532" w:type="dxa"/>
          </w:tcPr>
          <w:p w14:paraId="103B9D5E" w14:textId="75E4781C" w:rsidR="005A5832" w:rsidRPr="00314628" w:rsidRDefault="003208A9" w:rsidP="00314628">
            <w:pPr>
              <w:spacing w:line="276" w:lineRule="auto"/>
              <w:rPr>
                <w:rFonts w:ascii="Arial" w:hAnsi="Arial" w:cs="Arial"/>
                <w:b/>
                <w:bCs/>
                <w:kern w:val="2"/>
                <w:szCs w:val="24"/>
              </w:rPr>
            </w:pPr>
            <w:r w:rsidRPr="003208A9">
              <w:rPr>
                <w:rFonts w:ascii="Arial" w:hAnsi="Arial" w:cs="Arial"/>
                <w:b/>
                <w:bCs/>
                <w:kern w:val="2"/>
                <w:szCs w:val="24"/>
              </w:rPr>
              <w:t>13.2.  Su perkamomis Prekėmis susiję socialiniai kriterijai</w:t>
            </w:r>
          </w:p>
        </w:tc>
        <w:tc>
          <w:tcPr>
            <w:tcW w:w="7003" w:type="dxa"/>
            <w:gridSpan w:val="3"/>
          </w:tcPr>
          <w:p w14:paraId="35E55601" w14:textId="2F3D1C0B" w:rsidR="005A5832" w:rsidRPr="00314628" w:rsidRDefault="003208A9" w:rsidP="00314628">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F0A210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3208A9" w:rsidRPr="00314628" w14:paraId="1A3B3FB7" w14:textId="77777777" w:rsidTr="1564600E">
        <w:trPr>
          <w:trHeight w:val="300"/>
        </w:trPr>
        <w:tc>
          <w:tcPr>
            <w:tcW w:w="2532" w:type="dxa"/>
          </w:tcPr>
          <w:p w14:paraId="31A2D71F" w14:textId="39F7EA41"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lastRenderedPageBreak/>
              <w:t>Šalys susitaria pakeisti nurodytą Sutarties Bendrųjų sąlygų punktą ir išdėstyti jį nauja redakcija: ____.</w:t>
            </w:r>
          </w:p>
        </w:tc>
      </w:tr>
      <w:tr w:rsidR="003208A9" w:rsidRPr="00314628" w14:paraId="6B21B766" w14:textId="77777777" w:rsidTr="1564600E">
        <w:trPr>
          <w:trHeight w:val="300"/>
        </w:trPr>
        <w:tc>
          <w:tcPr>
            <w:tcW w:w="2532" w:type="dxa"/>
          </w:tcPr>
          <w:p w14:paraId="6947D409" w14:textId="36ADFD96"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lastRenderedPageBreak/>
              <w:t>14.2.</w:t>
            </w:r>
          </w:p>
        </w:tc>
        <w:tc>
          <w:tcPr>
            <w:tcW w:w="7003" w:type="dxa"/>
            <w:gridSpan w:val="3"/>
          </w:tcPr>
          <w:p w14:paraId="5778DDD5"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papildyti Sutarties Bendrąsias sąlygas nurodytu punktu, tačiau kitų punktų numeracijos nekeisti: ________.</w:t>
            </w:r>
          </w:p>
        </w:tc>
      </w:tr>
      <w:tr w:rsidR="003208A9" w:rsidRPr="00314628" w14:paraId="62B22EDB" w14:textId="77777777" w:rsidTr="1564600E">
        <w:trPr>
          <w:trHeight w:val="300"/>
        </w:trPr>
        <w:tc>
          <w:tcPr>
            <w:tcW w:w="2532" w:type="dxa"/>
          </w:tcPr>
          <w:p w14:paraId="5FAED677" w14:textId="6A691A3D"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14.3.</w:t>
            </w:r>
          </w:p>
        </w:tc>
        <w:tc>
          <w:tcPr>
            <w:tcW w:w="7003" w:type="dxa"/>
            <w:gridSpan w:val="3"/>
          </w:tcPr>
          <w:p w14:paraId="5D208EDE"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išbraukti nurodytą Sutarties Bendrųjų sąlygų punktą, tačiau kitų punktų numeracijos nekeisti: _____.</w:t>
            </w:r>
          </w:p>
        </w:tc>
      </w:tr>
      <w:tr w:rsidR="003208A9" w:rsidRPr="00314628" w14:paraId="37CBA026" w14:textId="77777777" w:rsidTr="1564600E">
        <w:trPr>
          <w:trHeight w:val="300"/>
        </w:trPr>
        <w:tc>
          <w:tcPr>
            <w:tcW w:w="2532" w:type="dxa"/>
          </w:tcPr>
          <w:p w14:paraId="05D2FA5B" w14:textId="704EE7D3"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14.4.</w:t>
            </w:r>
          </w:p>
        </w:tc>
        <w:tc>
          <w:tcPr>
            <w:tcW w:w="7003" w:type="dxa"/>
            <w:gridSpan w:val="3"/>
          </w:tcPr>
          <w:p w14:paraId="1E207F2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3208A9" w:rsidRPr="003208A9" w:rsidRDefault="003208A9" w:rsidP="003208A9">
            <w:pPr>
              <w:spacing w:line="276" w:lineRule="auto"/>
              <w:jc w:val="both"/>
              <w:rPr>
                <w:rFonts w:ascii="Arial" w:hAnsi="Arial" w:cs="Arial"/>
                <w:kern w:val="2"/>
                <w:szCs w:val="24"/>
              </w:rPr>
            </w:pPr>
          </w:p>
        </w:tc>
      </w:tr>
      <w:tr w:rsidR="003208A9" w:rsidRPr="00314628" w14:paraId="3D25CF2B" w14:textId="77777777" w:rsidTr="1564600E">
        <w:trPr>
          <w:trHeight w:val="300"/>
        </w:trPr>
        <w:tc>
          <w:tcPr>
            <w:tcW w:w="2532" w:type="dxa"/>
          </w:tcPr>
          <w:p w14:paraId="4977EF3C" w14:textId="5FBA5AB9"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068156D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47131EDF"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26791C2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387CF61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278F35D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1D9A26A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6B9A790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4A7B" w14:textId="77777777" w:rsidR="006023A9" w:rsidRDefault="006023A9">
      <w:pPr>
        <w:rPr>
          <w:kern w:val="2"/>
          <w:sz w:val="22"/>
          <w:szCs w:val="22"/>
          <w:lang w:val="en-US"/>
        </w:rPr>
      </w:pPr>
      <w:r>
        <w:rPr>
          <w:kern w:val="2"/>
          <w:sz w:val="22"/>
          <w:szCs w:val="22"/>
          <w:lang w:val="en-US"/>
        </w:rPr>
        <w:separator/>
      </w:r>
    </w:p>
  </w:endnote>
  <w:endnote w:type="continuationSeparator" w:id="0">
    <w:p w14:paraId="23CBDCB7" w14:textId="77777777" w:rsidR="006023A9" w:rsidRDefault="006023A9">
      <w:pPr>
        <w:rPr>
          <w:kern w:val="2"/>
          <w:sz w:val="22"/>
          <w:szCs w:val="22"/>
          <w:lang w:val="en-US"/>
        </w:rPr>
      </w:pPr>
      <w:r>
        <w:rPr>
          <w:kern w:val="2"/>
          <w:sz w:val="22"/>
          <w:szCs w:val="22"/>
          <w:lang w:val="en-US"/>
        </w:rPr>
        <w:continuationSeparator/>
      </w:r>
    </w:p>
  </w:endnote>
  <w:endnote w:type="continuationNotice" w:id="1">
    <w:p w14:paraId="2FB1F278" w14:textId="77777777" w:rsidR="006023A9" w:rsidRDefault="006023A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FC38" w14:textId="77777777" w:rsidR="006023A9" w:rsidRDefault="006023A9">
      <w:pPr>
        <w:rPr>
          <w:kern w:val="2"/>
          <w:sz w:val="22"/>
          <w:szCs w:val="22"/>
          <w:lang w:val="en-US"/>
        </w:rPr>
      </w:pPr>
      <w:r>
        <w:rPr>
          <w:kern w:val="2"/>
          <w:sz w:val="22"/>
          <w:szCs w:val="22"/>
          <w:lang w:val="en-US"/>
        </w:rPr>
        <w:separator/>
      </w:r>
    </w:p>
  </w:footnote>
  <w:footnote w:type="continuationSeparator" w:id="0">
    <w:p w14:paraId="698FC163" w14:textId="77777777" w:rsidR="006023A9" w:rsidRDefault="006023A9">
      <w:pPr>
        <w:rPr>
          <w:kern w:val="2"/>
          <w:sz w:val="22"/>
          <w:szCs w:val="22"/>
          <w:lang w:val="en-US"/>
        </w:rPr>
      </w:pPr>
      <w:r>
        <w:rPr>
          <w:kern w:val="2"/>
          <w:sz w:val="22"/>
          <w:szCs w:val="22"/>
          <w:lang w:val="en-US"/>
        </w:rPr>
        <w:continuationSeparator/>
      </w:r>
    </w:p>
  </w:footnote>
  <w:footnote w:type="continuationNotice" w:id="1">
    <w:p w14:paraId="160AE46B" w14:textId="77777777" w:rsidR="006023A9" w:rsidRDefault="006023A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91351"/>
    <w:rsid w:val="000B62FC"/>
    <w:rsid w:val="000C0E25"/>
    <w:rsid w:val="000D1C53"/>
    <w:rsid w:val="000D4F49"/>
    <w:rsid w:val="001225DB"/>
    <w:rsid w:val="001526A4"/>
    <w:rsid w:val="00161434"/>
    <w:rsid w:val="0017094A"/>
    <w:rsid w:val="00171271"/>
    <w:rsid w:val="00182BA5"/>
    <w:rsid w:val="001C7163"/>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314628"/>
    <w:rsid w:val="003208A9"/>
    <w:rsid w:val="003273C4"/>
    <w:rsid w:val="003354B9"/>
    <w:rsid w:val="00340863"/>
    <w:rsid w:val="00342BFF"/>
    <w:rsid w:val="00344381"/>
    <w:rsid w:val="00346FAA"/>
    <w:rsid w:val="003546DE"/>
    <w:rsid w:val="00361247"/>
    <w:rsid w:val="0038011F"/>
    <w:rsid w:val="003A27BB"/>
    <w:rsid w:val="003C2F44"/>
    <w:rsid w:val="003C6945"/>
    <w:rsid w:val="004036DD"/>
    <w:rsid w:val="004205B0"/>
    <w:rsid w:val="00440B25"/>
    <w:rsid w:val="004512F1"/>
    <w:rsid w:val="00454E19"/>
    <w:rsid w:val="00476400"/>
    <w:rsid w:val="00495440"/>
    <w:rsid w:val="004B4402"/>
    <w:rsid w:val="004C5A9B"/>
    <w:rsid w:val="004E0E3A"/>
    <w:rsid w:val="004E70C7"/>
    <w:rsid w:val="005038BC"/>
    <w:rsid w:val="0052186B"/>
    <w:rsid w:val="00545BCE"/>
    <w:rsid w:val="005460D2"/>
    <w:rsid w:val="005518A9"/>
    <w:rsid w:val="005642F9"/>
    <w:rsid w:val="00580F7C"/>
    <w:rsid w:val="005A5832"/>
    <w:rsid w:val="005B7A1D"/>
    <w:rsid w:val="005D1AE8"/>
    <w:rsid w:val="005D5F70"/>
    <w:rsid w:val="005F5B23"/>
    <w:rsid w:val="006023A9"/>
    <w:rsid w:val="006042A9"/>
    <w:rsid w:val="00642B29"/>
    <w:rsid w:val="0064641E"/>
    <w:rsid w:val="00661B3E"/>
    <w:rsid w:val="0066488A"/>
    <w:rsid w:val="00667050"/>
    <w:rsid w:val="00672796"/>
    <w:rsid w:val="006914BB"/>
    <w:rsid w:val="0069161F"/>
    <w:rsid w:val="00743B7C"/>
    <w:rsid w:val="007661B1"/>
    <w:rsid w:val="00777879"/>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C3350"/>
    <w:rsid w:val="009E37C6"/>
    <w:rsid w:val="009E637C"/>
    <w:rsid w:val="009F5E86"/>
    <w:rsid w:val="00A00E39"/>
    <w:rsid w:val="00A10867"/>
    <w:rsid w:val="00A12BEB"/>
    <w:rsid w:val="00A35759"/>
    <w:rsid w:val="00A50EDC"/>
    <w:rsid w:val="00A64C3E"/>
    <w:rsid w:val="00AB19BC"/>
    <w:rsid w:val="00AC1A15"/>
    <w:rsid w:val="00AD75D5"/>
    <w:rsid w:val="00B41687"/>
    <w:rsid w:val="00B47B7F"/>
    <w:rsid w:val="00B50F7D"/>
    <w:rsid w:val="00B7329E"/>
    <w:rsid w:val="00B776EB"/>
    <w:rsid w:val="00BA0640"/>
    <w:rsid w:val="00BD2F10"/>
    <w:rsid w:val="00BF3D67"/>
    <w:rsid w:val="00C16171"/>
    <w:rsid w:val="00C21C10"/>
    <w:rsid w:val="00C233B5"/>
    <w:rsid w:val="00C33376"/>
    <w:rsid w:val="00C47AE4"/>
    <w:rsid w:val="00C62D1B"/>
    <w:rsid w:val="00C85EF6"/>
    <w:rsid w:val="00CE3EBC"/>
    <w:rsid w:val="00CE6C17"/>
    <w:rsid w:val="00CE762E"/>
    <w:rsid w:val="00CF1CC5"/>
    <w:rsid w:val="00D152C9"/>
    <w:rsid w:val="00D50B2F"/>
    <w:rsid w:val="00D50E81"/>
    <w:rsid w:val="00D53761"/>
    <w:rsid w:val="00D57CA8"/>
    <w:rsid w:val="00D65C34"/>
    <w:rsid w:val="00D670C0"/>
    <w:rsid w:val="00D75759"/>
    <w:rsid w:val="00DA795A"/>
    <w:rsid w:val="00DC551E"/>
    <w:rsid w:val="00E07437"/>
    <w:rsid w:val="00E3667D"/>
    <w:rsid w:val="00E44162"/>
    <w:rsid w:val="00E61A88"/>
    <w:rsid w:val="00E61D46"/>
    <w:rsid w:val="00E80335"/>
    <w:rsid w:val="00E84523"/>
    <w:rsid w:val="00EC5026"/>
    <w:rsid w:val="00ED52C9"/>
    <w:rsid w:val="00ED5570"/>
    <w:rsid w:val="00EE48AF"/>
    <w:rsid w:val="00F151B5"/>
    <w:rsid w:val="00F433EC"/>
    <w:rsid w:val="00F46ECF"/>
    <w:rsid w:val="00F56A89"/>
    <w:rsid w:val="00F61467"/>
    <w:rsid w:val="00F723AB"/>
    <w:rsid w:val="00F83F60"/>
    <w:rsid w:val="00FA4AEB"/>
    <w:rsid w:val="00FB1B78"/>
    <w:rsid w:val="00FB5776"/>
    <w:rsid w:val="00FC4BCD"/>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rtobazes@gargzdu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10185</Words>
  <Characters>5807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17</cp:revision>
  <dcterms:created xsi:type="dcterms:W3CDTF">2025-04-10T10:13:00Z</dcterms:created>
  <dcterms:modified xsi:type="dcterms:W3CDTF">2026-05-05T11:37:00Z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