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21A773CB"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199497566"/>
      <w:r w:rsidR="006877D4">
        <w:rPr>
          <w:rFonts w:cs="Times New Roman"/>
          <w:b/>
          <w:bCs/>
        </w:rPr>
        <w:t xml:space="preserve">PARODOMŲJŲ BANDYMŲ </w:t>
      </w:r>
      <w:r w:rsidR="009C7EBA">
        <w:rPr>
          <w:rFonts w:cs="Times New Roman"/>
          <w:b/>
          <w:bCs/>
        </w:rPr>
        <w:t>ĮGYVENDINIMO PASLAUG</w:t>
      </w:r>
      <w:r w:rsidR="00C84925">
        <w:rPr>
          <w:rFonts w:cs="Times New Roman"/>
          <w:b/>
          <w:bCs/>
        </w:rPr>
        <w:t>OS</w:t>
      </w:r>
      <w:r w:rsidR="009C7EBA" w:rsidRPr="0063505E">
        <w:rPr>
          <w:rFonts w:cs="Times New Roman"/>
          <w:b/>
          <w:bCs/>
        </w:rPr>
        <w:t xml:space="preserve"> </w:t>
      </w:r>
      <w:bookmarkEnd w:id="0"/>
      <w:r w:rsidR="00660CE3" w:rsidRPr="0063505E">
        <w:rPr>
          <w:rFonts w:cs="Times New Roman"/>
          <w:b/>
          <w:bCs/>
        </w:rPr>
        <w:t>PIRKIMUI</w:t>
      </w:r>
    </w:p>
    <w:p w14:paraId="54849D8C" w14:textId="77777777" w:rsidR="00E74E04" w:rsidRPr="0063505E" w:rsidRDefault="00E74E04">
      <w:pPr>
        <w:rPr>
          <w:rFonts w:cs="Times New Roman"/>
        </w:rPr>
      </w:pPr>
    </w:p>
    <w:p w14:paraId="60D055D9" w14:textId="1262FEF6" w:rsidR="00806FF4" w:rsidRPr="00967229" w:rsidRDefault="00806FF4" w:rsidP="00806FF4">
      <w:pPr>
        <w:jc w:val="center"/>
        <w:rPr>
          <w:rFonts w:cs="Times New Roman"/>
        </w:rPr>
      </w:pPr>
      <w:r w:rsidRPr="00967229">
        <w:rPr>
          <w:rFonts w:cs="Times New Roman"/>
        </w:rPr>
        <w:t>202</w:t>
      </w:r>
      <w:r w:rsidR="009A4349">
        <w:rPr>
          <w:rFonts w:cs="Times New Roman"/>
        </w:rPr>
        <w:t>6</w:t>
      </w:r>
      <w:r w:rsidRPr="00967229">
        <w:rPr>
          <w:rFonts w:cs="Times New Roman"/>
        </w:rPr>
        <w:t xml:space="preserve"> m</w:t>
      </w:r>
      <w:r w:rsidRPr="00360891">
        <w:rPr>
          <w:rFonts w:cs="Times New Roman"/>
        </w:rPr>
        <w:t xml:space="preserve">. </w:t>
      </w:r>
      <w:r w:rsidR="009A4349">
        <w:rPr>
          <w:rFonts w:cs="Times New Roman"/>
        </w:rPr>
        <w:t>gegužės</w:t>
      </w:r>
      <w:r w:rsidRPr="00360891">
        <w:rPr>
          <w:rFonts w:cs="Times New Roman"/>
        </w:rPr>
        <w:t xml:space="preserve"> </w:t>
      </w:r>
      <w:r w:rsidR="009A4349">
        <w:rPr>
          <w:rFonts w:cs="Times New Roman"/>
        </w:rPr>
        <w:t>05</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0B78409C"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r w:rsidR="008263FA">
        <w:rPr>
          <w:rFonts w:cs="Times New Roman"/>
        </w:rPr>
        <w:t>P</w:t>
      </w:r>
      <w:r w:rsidR="008263FA">
        <w:rPr>
          <w:rFonts w:cs="Times New Roman"/>
          <w:b/>
          <w:bCs/>
        </w:rPr>
        <w:t>arodomųjų bandymų įgyvendinimo paslaugos</w:t>
      </w:r>
      <w:r w:rsidR="00DD2038" w:rsidRPr="009C7EBA">
        <w:rPr>
          <w:rFonts w:cs="Times New Roman"/>
          <w:color w:val="EE0000"/>
        </w:rPr>
        <w:t xml:space="preserve"> </w:t>
      </w:r>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1C4DA7EE"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8263FA">
        <w:rPr>
          <w:rFonts w:cs="Times New Roman"/>
        </w:rPr>
        <w:t>P</w:t>
      </w:r>
      <w:r w:rsidR="008263FA">
        <w:rPr>
          <w:rFonts w:cs="Times New Roman"/>
          <w:b/>
          <w:bCs/>
        </w:rPr>
        <w:t>arodomųjų bandymų įgyvendinimo paslaug</w:t>
      </w:r>
      <w:r w:rsidR="006063E8" w:rsidRPr="00687A79">
        <w:rPr>
          <w:rFonts w:cs="Times New Roman"/>
          <w:b/>
          <w:bCs/>
        </w:rPr>
        <w:t>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1"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1"/>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3731CA42"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A4A46">
        <w:rPr>
          <w:rFonts w:cs="Times New Roman"/>
        </w:rPr>
        <w:t>20</w:t>
      </w:r>
      <w:r w:rsidR="00806FF4" w:rsidRPr="008A4A46">
        <w:rPr>
          <w:rFonts w:cs="Times New Roman"/>
        </w:rPr>
        <w:t>2</w:t>
      </w:r>
      <w:r w:rsidR="008263FA" w:rsidRPr="008A4A46">
        <w:rPr>
          <w:rFonts w:cs="Times New Roman"/>
        </w:rPr>
        <w:t>6</w:t>
      </w:r>
      <w:r w:rsidRPr="008A4A46">
        <w:rPr>
          <w:rFonts w:cs="Times New Roman"/>
        </w:rPr>
        <w:t xml:space="preserve"> m</w:t>
      </w:r>
      <w:r w:rsidRPr="008A4A46">
        <w:rPr>
          <w:rFonts w:cs="Times New Roman"/>
          <w:color w:val="548DD4" w:themeColor="text2" w:themeTint="99"/>
        </w:rPr>
        <w:t>.</w:t>
      </w:r>
      <w:r w:rsidR="00360891" w:rsidRPr="008A4A46">
        <w:rPr>
          <w:rFonts w:cs="Times New Roman"/>
          <w:color w:val="548DD4" w:themeColor="text2" w:themeTint="99"/>
        </w:rPr>
        <w:t xml:space="preserve"> </w:t>
      </w:r>
      <w:r w:rsidR="008263FA" w:rsidRPr="008A4A46">
        <w:rPr>
          <w:rFonts w:cs="Times New Roman"/>
        </w:rPr>
        <w:t>gegužės</w:t>
      </w:r>
      <w:r w:rsidR="00360891" w:rsidRPr="008A4A46">
        <w:rPr>
          <w:rFonts w:cs="Times New Roman"/>
        </w:rPr>
        <w:t xml:space="preserve"> 1</w:t>
      </w:r>
      <w:r w:rsidR="008263FA" w:rsidRPr="008A4A46">
        <w:rPr>
          <w:rFonts w:cs="Times New Roman"/>
        </w:rPr>
        <w:t>2</w:t>
      </w:r>
      <w:r w:rsidRPr="008A4A46">
        <w:rPr>
          <w:rFonts w:cs="Times New Roman"/>
        </w:rPr>
        <w:t xml:space="preserve"> d.</w:t>
      </w:r>
      <w:r w:rsidR="00034F97" w:rsidRPr="008A4A46">
        <w:rPr>
          <w:rFonts w:cs="Times New Roman"/>
        </w:rPr>
        <w:t xml:space="preserve"> </w:t>
      </w:r>
      <w:r w:rsidR="00360891" w:rsidRPr="008A4A46">
        <w:rPr>
          <w:rFonts w:cs="Times New Roman"/>
        </w:rPr>
        <w:t>16</w:t>
      </w:r>
      <w:r w:rsidR="00034F97" w:rsidRPr="00360891">
        <w:rPr>
          <w:rFonts w:cs="Times New Roman"/>
        </w:rPr>
        <w:t>:</w:t>
      </w:r>
      <w:r w:rsidR="00360891" w:rsidRPr="00360891">
        <w:rPr>
          <w:rFonts w:cs="Times New Roman"/>
        </w:rPr>
        <w:t>30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456BD018"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8263FA">
        <w:rPr>
          <w:rFonts w:cs="Times New Roman"/>
        </w:rPr>
        <w:t>P</w:t>
      </w:r>
      <w:r w:rsidR="008263FA">
        <w:rPr>
          <w:rFonts w:cs="Times New Roman"/>
          <w:b/>
          <w:bCs/>
        </w:rPr>
        <w:t>arodomųjų bandymų įgyvendinimo paslaugos</w:t>
      </w:r>
      <w:r w:rsidR="008263FA" w:rsidRPr="009C7EBA">
        <w:rPr>
          <w:rFonts w:cs="Times New Roman"/>
          <w:color w:val="EE0000"/>
        </w:rPr>
        <w:t xml:space="preserve"> </w:t>
      </w:r>
      <w:r w:rsidRPr="0063505E">
        <w:rPr>
          <w:rFonts w:cs="Times New Roman"/>
        </w:rPr>
        <w:t>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57FAD915"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8263FA">
        <w:rPr>
          <w:rFonts w:cs="Times New Roman"/>
        </w:rPr>
        <w:t>P</w:t>
      </w:r>
      <w:r w:rsidR="008263FA">
        <w:rPr>
          <w:rFonts w:cs="Times New Roman"/>
          <w:b/>
          <w:bCs/>
        </w:rPr>
        <w:t>arodomųjų bandymų įgyvendinimo paslaugos</w:t>
      </w:r>
      <w:r w:rsidR="008263FA" w:rsidRPr="009C7EBA">
        <w:rPr>
          <w:rFonts w:cs="Times New Roman"/>
          <w:color w:val="EE0000"/>
        </w:rPr>
        <w:t xml:space="preserve"> </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C991" w14:textId="77777777" w:rsidR="00FE08BD" w:rsidRDefault="00FE08BD" w:rsidP="00745E9C">
      <w:r>
        <w:separator/>
      </w:r>
    </w:p>
  </w:endnote>
  <w:endnote w:type="continuationSeparator" w:id="0">
    <w:p w14:paraId="2B8A7729" w14:textId="77777777" w:rsidR="00FE08BD" w:rsidRDefault="00FE08BD"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8A19" w14:textId="77777777" w:rsidR="00FE08BD" w:rsidRDefault="00FE08BD" w:rsidP="00745E9C">
      <w:r>
        <w:separator/>
      </w:r>
    </w:p>
  </w:footnote>
  <w:footnote w:type="continuationSeparator" w:id="0">
    <w:p w14:paraId="00FF7E1B" w14:textId="77777777" w:rsidR="00FE08BD" w:rsidRDefault="00FE08BD"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326E"/>
    <w:rsid w:val="002152E7"/>
    <w:rsid w:val="00221F3B"/>
    <w:rsid w:val="00224343"/>
    <w:rsid w:val="0022511C"/>
    <w:rsid w:val="00234048"/>
    <w:rsid w:val="002422E3"/>
    <w:rsid w:val="00255FF6"/>
    <w:rsid w:val="00264D0D"/>
    <w:rsid w:val="00293A64"/>
    <w:rsid w:val="002A6AF0"/>
    <w:rsid w:val="002F0B4B"/>
    <w:rsid w:val="002F5E48"/>
    <w:rsid w:val="003003AD"/>
    <w:rsid w:val="00310446"/>
    <w:rsid w:val="00324764"/>
    <w:rsid w:val="00336404"/>
    <w:rsid w:val="003575D4"/>
    <w:rsid w:val="00360891"/>
    <w:rsid w:val="00377270"/>
    <w:rsid w:val="003C0881"/>
    <w:rsid w:val="003E75ED"/>
    <w:rsid w:val="0040140C"/>
    <w:rsid w:val="00406F08"/>
    <w:rsid w:val="004277A1"/>
    <w:rsid w:val="004730EA"/>
    <w:rsid w:val="0048283A"/>
    <w:rsid w:val="00492AEB"/>
    <w:rsid w:val="004A7B43"/>
    <w:rsid w:val="004C114E"/>
    <w:rsid w:val="004C5B69"/>
    <w:rsid w:val="004D6DD3"/>
    <w:rsid w:val="004F2E61"/>
    <w:rsid w:val="004F3FC0"/>
    <w:rsid w:val="004F49B1"/>
    <w:rsid w:val="005215B3"/>
    <w:rsid w:val="00545AD0"/>
    <w:rsid w:val="0056463C"/>
    <w:rsid w:val="00582BDA"/>
    <w:rsid w:val="00592DB2"/>
    <w:rsid w:val="005B0E27"/>
    <w:rsid w:val="005B4962"/>
    <w:rsid w:val="005D4219"/>
    <w:rsid w:val="005D6228"/>
    <w:rsid w:val="006008AE"/>
    <w:rsid w:val="006009B9"/>
    <w:rsid w:val="0060142A"/>
    <w:rsid w:val="006063E8"/>
    <w:rsid w:val="006224A1"/>
    <w:rsid w:val="00627501"/>
    <w:rsid w:val="0063505E"/>
    <w:rsid w:val="00646659"/>
    <w:rsid w:val="00647FBF"/>
    <w:rsid w:val="006608EC"/>
    <w:rsid w:val="00660CE3"/>
    <w:rsid w:val="006637F3"/>
    <w:rsid w:val="0066429F"/>
    <w:rsid w:val="006877D4"/>
    <w:rsid w:val="00687A79"/>
    <w:rsid w:val="006A1AEE"/>
    <w:rsid w:val="00706365"/>
    <w:rsid w:val="007313D1"/>
    <w:rsid w:val="007323BC"/>
    <w:rsid w:val="00745E9C"/>
    <w:rsid w:val="00761D7A"/>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3592"/>
    <w:rsid w:val="008251DF"/>
    <w:rsid w:val="008263FA"/>
    <w:rsid w:val="008355D5"/>
    <w:rsid w:val="00872039"/>
    <w:rsid w:val="00886CF8"/>
    <w:rsid w:val="0089509E"/>
    <w:rsid w:val="008A4A46"/>
    <w:rsid w:val="008B471D"/>
    <w:rsid w:val="008C39CC"/>
    <w:rsid w:val="008D0BCD"/>
    <w:rsid w:val="008F2C47"/>
    <w:rsid w:val="00905436"/>
    <w:rsid w:val="00924612"/>
    <w:rsid w:val="009360F2"/>
    <w:rsid w:val="00936A98"/>
    <w:rsid w:val="00942736"/>
    <w:rsid w:val="00950D5E"/>
    <w:rsid w:val="00961FB3"/>
    <w:rsid w:val="00983FA0"/>
    <w:rsid w:val="00984FA2"/>
    <w:rsid w:val="009A2EDF"/>
    <w:rsid w:val="009A4349"/>
    <w:rsid w:val="009B76F1"/>
    <w:rsid w:val="009C287E"/>
    <w:rsid w:val="009C7EBA"/>
    <w:rsid w:val="009E6E91"/>
    <w:rsid w:val="009F2533"/>
    <w:rsid w:val="00A07B36"/>
    <w:rsid w:val="00A40155"/>
    <w:rsid w:val="00A40B64"/>
    <w:rsid w:val="00A57C97"/>
    <w:rsid w:val="00A62C8D"/>
    <w:rsid w:val="00A657EF"/>
    <w:rsid w:val="00A7151C"/>
    <w:rsid w:val="00A75244"/>
    <w:rsid w:val="00A82B89"/>
    <w:rsid w:val="00A94BCD"/>
    <w:rsid w:val="00A97B04"/>
    <w:rsid w:val="00AA2093"/>
    <w:rsid w:val="00AA39D6"/>
    <w:rsid w:val="00AB690C"/>
    <w:rsid w:val="00B122BA"/>
    <w:rsid w:val="00B32065"/>
    <w:rsid w:val="00B37671"/>
    <w:rsid w:val="00B44E08"/>
    <w:rsid w:val="00B51E5D"/>
    <w:rsid w:val="00B605C8"/>
    <w:rsid w:val="00B61FD0"/>
    <w:rsid w:val="00B64AA3"/>
    <w:rsid w:val="00B76B19"/>
    <w:rsid w:val="00B9595C"/>
    <w:rsid w:val="00B95A8E"/>
    <w:rsid w:val="00BC2652"/>
    <w:rsid w:val="00C15DA6"/>
    <w:rsid w:val="00C23E31"/>
    <w:rsid w:val="00C51AA0"/>
    <w:rsid w:val="00C57438"/>
    <w:rsid w:val="00C628EC"/>
    <w:rsid w:val="00C734B4"/>
    <w:rsid w:val="00C84925"/>
    <w:rsid w:val="00C87338"/>
    <w:rsid w:val="00CC0F77"/>
    <w:rsid w:val="00CD2BEE"/>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66ECF"/>
    <w:rsid w:val="00F71F3C"/>
    <w:rsid w:val="00FA19D1"/>
    <w:rsid w:val="00FC084F"/>
    <w:rsid w:val="00FE08BD"/>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4147</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18</cp:revision>
  <dcterms:created xsi:type="dcterms:W3CDTF">2025-05-30T08:15:00Z</dcterms:created>
  <dcterms:modified xsi:type="dcterms:W3CDTF">2026-05-05T12:08:00Z</dcterms:modified>
</cp:coreProperties>
</file>