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12810311" w14:textId="4DE2C0E9" w:rsidR="004E3EAA" w:rsidRPr="00386641" w:rsidRDefault="004E3EAA" w:rsidP="008E5076">
          <w:pPr>
            <w:ind w:right="99"/>
            <w:jc w:val="center"/>
            <w:rPr>
              <w:rFonts w:ascii="Arial" w:hAnsi="Arial" w:cs="Arial"/>
              <w:b/>
              <w:bCs/>
              <w:caps/>
              <w:sz w:val="24"/>
              <w:szCs w:val="24"/>
              <w:lang w:val="lt-LT"/>
            </w:rPr>
          </w:pPr>
          <w:r w:rsidRPr="004E3EAA">
            <w:rPr>
              <w:rFonts w:ascii="Arial" w:hAnsi="Arial" w:cs="Arial"/>
              <w:b/>
              <w:sz w:val="24"/>
              <w:szCs w:val="24"/>
              <w:lang w:val="lt-LT"/>
            </w:rPr>
            <w:tab/>
          </w:r>
          <w:r w:rsidRPr="004E3EAA">
            <w:rPr>
              <w:rFonts w:ascii="Arial" w:hAnsi="Arial" w:cs="Arial"/>
              <w:b/>
              <w:caps/>
              <w:sz w:val="24"/>
              <w:szCs w:val="24"/>
              <w:lang w:val="lt-LT"/>
            </w:rPr>
            <w:t>Statinio statybos techninio prižiūrėtojo civilinės atsakomybės privalomojo draudimo paslauga</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3E3768"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4E3EAA"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sidRPr="004E3EAA">
        <w:rPr>
          <w:rFonts w:ascii="Arial" w:eastAsia="Calibri" w:hAnsi="Arial" w:cs="Arial"/>
          <w:sz w:val="20"/>
          <w:szCs w:val="20"/>
          <w:lang w:val="lt-LT"/>
        </w:rPr>
        <w:t>I</w:t>
      </w:r>
      <w:r w:rsidR="009758F9" w:rsidRPr="004E3EAA">
        <w:rPr>
          <w:rFonts w:ascii="Arial" w:eastAsia="Calibri" w:hAnsi="Arial" w:cs="Arial"/>
          <w:sz w:val="20"/>
          <w:szCs w:val="20"/>
          <w:lang w:val="lt-LT"/>
        </w:rPr>
        <w:t>šankstinis informacinis skelbimas (jei buvo skelbta</w:t>
      </w:r>
      <w:r w:rsidR="00EF3E6C" w:rsidRPr="004E3EAA">
        <w:rPr>
          <w:rFonts w:ascii="Arial" w:eastAsia="Calibri" w:hAnsi="Arial" w:cs="Arial"/>
          <w:sz w:val="20"/>
          <w:szCs w:val="20"/>
          <w:lang w:val="lt-LT"/>
        </w:rPr>
        <w:t>s</w:t>
      </w:r>
      <w:r w:rsidR="009758F9" w:rsidRPr="004E3EAA">
        <w:rPr>
          <w:rFonts w:ascii="Arial" w:eastAsia="Calibri" w:hAnsi="Arial" w:cs="Arial"/>
          <w:sz w:val="20"/>
          <w:szCs w:val="20"/>
          <w:lang w:val="lt-LT"/>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0210C42E"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w:t>
      </w:r>
      <w:r w:rsidR="004E3EAA">
        <w:rPr>
          <w:rFonts w:ascii="Arial" w:hAnsi="Arial" w:cs="Arial"/>
          <w:sz w:val="20"/>
          <w:szCs w:val="20"/>
          <w:lang w:val="lt-LT"/>
        </w:rPr>
        <w:t>1</w:t>
      </w:r>
      <w:r w:rsidR="000406AA" w:rsidRPr="00E97EC2">
        <w:rPr>
          <w:rFonts w:ascii="Arial" w:hAnsi="Arial" w:cs="Arial"/>
          <w:sz w:val="20"/>
          <w:szCs w:val="20"/>
          <w:lang w:val="lt-LT"/>
        </w:rPr>
        <w:t>.1 arba 2</w:t>
      </w:r>
      <w:r w:rsidR="004E3EAA">
        <w:rPr>
          <w:rFonts w:ascii="Arial" w:hAnsi="Arial" w:cs="Arial"/>
          <w:sz w:val="20"/>
          <w:szCs w:val="20"/>
          <w:lang w:val="lt-LT"/>
        </w:rPr>
        <w:t>1</w:t>
      </w:r>
      <w:r w:rsidR="000406AA" w:rsidRPr="00E97EC2">
        <w:rPr>
          <w:rFonts w:ascii="Arial" w:hAnsi="Arial" w:cs="Arial"/>
          <w:sz w:val="20"/>
          <w:szCs w:val="20"/>
          <w:lang w:val="lt-LT"/>
        </w:rPr>
        <w:t xml:space="preserve">.2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546C35" w:rsidRPr="06F05331">
        <w:rPr>
          <w:rFonts w:ascii="Arial" w:hAnsi="Arial" w:cs="Arial"/>
          <w:sz w:val="20"/>
          <w:szCs w:val="20"/>
        </w:rPr>
        <w:t>asiūlymo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teikimo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metu</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žinomi</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S</w:t>
      </w:r>
      <w:r w:rsidR="00546C35" w:rsidRPr="06F05331">
        <w:rPr>
          <w:rFonts w:ascii="Arial" w:hAnsi="Arial" w:cs="Arial"/>
          <w:sz w:val="20"/>
          <w:szCs w:val="20"/>
        </w:rPr>
        <w:t>ubtiekėjai</w:t>
      </w:r>
      <w:proofErr w:type="spellEnd"/>
      <w:r w:rsidR="001C6058" w:rsidRPr="06F05331">
        <w:rPr>
          <w:rFonts w:ascii="Arial" w:hAnsi="Arial" w:cs="Arial"/>
          <w:sz w:val="20"/>
          <w:szCs w:val="20"/>
        </w:rPr>
        <w:t xml:space="preserve"> (</w:t>
      </w:r>
      <w:proofErr w:type="spellStart"/>
      <w:r w:rsidR="00546C35" w:rsidRPr="06F05331">
        <w:rPr>
          <w:rFonts w:ascii="Arial" w:hAnsi="Arial" w:cs="Arial"/>
          <w:sz w:val="20"/>
          <w:szCs w:val="20"/>
        </w:rPr>
        <w:t>jeigu</w:t>
      </w:r>
      <w:proofErr w:type="spellEnd"/>
      <w:r w:rsidR="00546C35" w:rsidRPr="06F05331">
        <w:rPr>
          <w:rFonts w:ascii="Arial" w:hAnsi="Arial" w:cs="Arial"/>
          <w:sz w:val="20"/>
          <w:szCs w:val="20"/>
        </w:rPr>
        <w:t xml:space="preserve"> </w:t>
      </w:r>
      <w:proofErr w:type="spellStart"/>
      <w:r w:rsidRPr="06F05331">
        <w:rPr>
          <w:rFonts w:ascii="Arial" w:hAnsi="Arial" w:cs="Arial"/>
          <w:sz w:val="20"/>
          <w:szCs w:val="20"/>
        </w:rPr>
        <w:t>Perkantysis</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subjektas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nustato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reikalavimus</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dėl</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subtiekėjų</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pašalinimo</w:t>
      </w:r>
      <w:proofErr w:type="spellEnd"/>
      <w:r w:rsidR="00546C35" w:rsidRPr="06F05331">
        <w:rPr>
          <w:rFonts w:ascii="Arial" w:hAnsi="Arial" w:cs="Arial"/>
          <w:sz w:val="20"/>
          <w:szCs w:val="20"/>
        </w:rPr>
        <w:t xml:space="preserve"> </w:t>
      </w:r>
      <w:proofErr w:type="spellStart"/>
      <w:r w:rsidR="00546C35" w:rsidRPr="06F05331">
        <w:rPr>
          <w:rFonts w:ascii="Arial" w:hAnsi="Arial" w:cs="Arial"/>
          <w:sz w:val="20"/>
          <w:szCs w:val="20"/>
        </w:rPr>
        <w:t>pagrindų</w:t>
      </w:r>
      <w:proofErr w:type="spellEnd"/>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S</w:t>
      </w:r>
      <w:r w:rsidR="001F20C8" w:rsidRPr="06F05331">
        <w:rPr>
          <w:rFonts w:ascii="Arial" w:hAnsi="Arial" w:cs="Arial"/>
          <w:sz w:val="20"/>
          <w:szCs w:val="20"/>
        </w:rPr>
        <w:t>olidari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kiekvieno</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T</w:t>
      </w:r>
      <w:r w:rsidR="001F20C8" w:rsidRPr="06F05331">
        <w:rPr>
          <w:rFonts w:ascii="Arial" w:hAnsi="Arial" w:cs="Arial"/>
          <w:sz w:val="20"/>
          <w:szCs w:val="20"/>
        </w:rPr>
        <w:t>iekėjų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grupės</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dalyvio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atskirai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visų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kartu</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atsakomybė</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už</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įsipareigojimų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ir</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prievolių</w:t>
      </w:r>
      <w:proofErr w:type="spellEnd"/>
      <w:r w:rsidR="001F20C8" w:rsidRPr="06F05331">
        <w:rPr>
          <w:rFonts w:ascii="Arial" w:hAnsi="Arial" w:cs="Arial"/>
          <w:sz w:val="20"/>
          <w:szCs w:val="20"/>
        </w:rPr>
        <w:t xml:space="preserve"> </w:t>
      </w:r>
      <w:proofErr w:type="spellStart"/>
      <w:r w:rsidRPr="06F05331">
        <w:rPr>
          <w:rFonts w:ascii="Arial" w:hAnsi="Arial" w:cs="Arial"/>
          <w:sz w:val="20"/>
          <w:szCs w:val="20"/>
        </w:rPr>
        <w:t>Perkančiajam</w:t>
      </w:r>
      <w:proofErr w:type="spellEnd"/>
      <w:r w:rsidRPr="06F05331">
        <w:rPr>
          <w:rFonts w:ascii="Arial" w:hAnsi="Arial" w:cs="Arial"/>
          <w:sz w:val="20"/>
          <w:szCs w:val="20"/>
        </w:rPr>
        <w:t xml:space="preserve"> </w:t>
      </w:r>
      <w:proofErr w:type="spellStart"/>
      <w:r w:rsidRPr="06F05331">
        <w:rPr>
          <w:rFonts w:ascii="Arial" w:hAnsi="Arial" w:cs="Arial"/>
          <w:sz w:val="20"/>
          <w:szCs w:val="20"/>
        </w:rPr>
        <w:t>subjektui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nevykdymą</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nepriklausomai</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nuo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jų</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įnašo</w:t>
      </w:r>
      <w:proofErr w:type="spellEnd"/>
      <w:r w:rsidR="001F20C8" w:rsidRPr="06F05331">
        <w:rPr>
          <w:rFonts w:ascii="Arial" w:hAnsi="Arial" w:cs="Arial"/>
          <w:sz w:val="20"/>
          <w:szCs w:val="20"/>
        </w:rPr>
        <w:t xml:space="preserve"> </w:t>
      </w:r>
      <w:proofErr w:type="spellStart"/>
      <w:r w:rsidR="001F20C8" w:rsidRPr="06F05331">
        <w:rPr>
          <w:rFonts w:ascii="Arial" w:hAnsi="Arial" w:cs="Arial"/>
          <w:sz w:val="20"/>
          <w:szCs w:val="20"/>
        </w:rPr>
        <w:t>pagal</w:t>
      </w:r>
      <w:proofErr w:type="spellEnd"/>
      <w:r w:rsidR="001F20C8" w:rsidRPr="06F05331">
        <w:rPr>
          <w:rFonts w:ascii="Arial" w:hAnsi="Arial" w:cs="Arial"/>
          <w:sz w:val="20"/>
          <w:szCs w:val="20"/>
        </w:rPr>
        <w:t xml:space="preserve">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proofErr w:type="spellStart"/>
      <w:r w:rsidRPr="06F05331">
        <w:rPr>
          <w:rFonts w:ascii="Arial" w:hAnsi="Arial" w:cs="Arial"/>
          <w:sz w:val="20"/>
          <w:szCs w:val="20"/>
        </w:rPr>
        <w:t>P</w:t>
      </w:r>
      <w:r w:rsidR="004A5872" w:rsidRPr="06F05331">
        <w:rPr>
          <w:rFonts w:ascii="Arial" w:hAnsi="Arial" w:cs="Arial"/>
          <w:sz w:val="20"/>
          <w:szCs w:val="20"/>
        </w:rPr>
        <w:t>asiūlymas</w:t>
      </w:r>
      <w:proofErr w:type="spellEnd"/>
      <w:r w:rsidR="004A5872" w:rsidRPr="06F05331">
        <w:rPr>
          <w:rFonts w:ascii="Arial" w:hAnsi="Arial" w:cs="Arial"/>
          <w:sz w:val="20"/>
          <w:szCs w:val="20"/>
        </w:rPr>
        <w:t xml:space="preserve"> </w:t>
      </w:r>
      <w:proofErr w:type="spellStart"/>
      <w:r w:rsidR="004A5872" w:rsidRPr="06F05331">
        <w:rPr>
          <w:rFonts w:ascii="Arial" w:hAnsi="Arial" w:cs="Arial"/>
          <w:sz w:val="20"/>
          <w:szCs w:val="20"/>
        </w:rPr>
        <w:t>neatitinka</w:t>
      </w:r>
      <w:proofErr w:type="spellEnd"/>
      <w:r w:rsidR="004A5872" w:rsidRPr="06F05331">
        <w:rPr>
          <w:rFonts w:ascii="Arial" w:hAnsi="Arial" w:cs="Arial"/>
          <w:sz w:val="20"/>
          <w:szCs w:val="20"/>
        </w:rPr>
        <w:t xml:space="preserve"> </w:t>
      </w:r>
      <w:proofErr w:type="spellStart"/>
      <w:r w:rsidRPr="06F05331">
        <w:rPr>
          <w:rFonts w:ascii="Arial" w:hAnsi="Arial" w:cs="Arial"/>
          <w:sz w:val="20"/>
          <w:szCs w:val="20"/>
        </w:rPr>
        <w:t>P</w:t>
      </w:r>
      <w:r w:rsidR="00ED4D4C" w:rsidRPr="06F05331">
        <w:rPr>
          <w:rFonts w:ascii="Arial" w:hAnsi="Arial" w:cs="Arial"/>
          <w:sz w:val="20"/>
          <w:szCs w:val="20"/>
        </w:rPr>
        <w:t>irkimo</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dokumentų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reikalavimų</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ir</w:t>
      </w:r>
      <w:proofErr w:type="spellEnd"/>
      <w:r w:rsidR="00ED4D4C" w:rsidRPr="06F05331">
        <w:rPr>
          <w:rFonts w:ascii="Arial" w:hAnsi="Arial" w:cs="Arial"/>
          <w:sz w:val="20"/>
          <w:szCs w:val="20"/>
        </w:rPr>
        <w:t xml:space="preserve"> jo </w:t>
      </w:r>
      <w:proofErr w:type="spellStart"/>
      <w:r w:rsidR="00ED4D4C" w:rsidRPr="06F05331">
        <w:rPr>
          <w:rFonts w:ascii="Arial" w:hAnsi="Arial" w:cs="Arial"/>
          <w:sz w:val="20"/>
          <w:szCs w:val="20"/>
        </w:rPr>
        <w:t>trūkumai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negali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būti</w:t>
      </w:r>
      <w:proofErr w:type="spellEnd"/>
      <w:r w:rsidR="00ED4D4C" w:rsidRPr="06F05331">
        <w:rPr>
          <w:rFonts w:ascii="Arial" w:hAnsi="Arial" w:cs="Arial"/>
          <w:sz w:val="20"/>
          <w:szCs w:val="20"/>
        </w:rPr>
        <w:t xml:space="preserve"> </w:t>
      </w:r>
      <w:proofErr w:type="spellStart"/>
      <w:r w:rsidR="00ED4D4C" w:rsidRPr="06F05331">
        <w:rPr>
          <w:rFonts w:ascii="Arial" w:hAnsi="Arial" w:cs="Arial"/>
          <w:sz w:val="20"/>
          <w:szCs w:val="20"/>
        </w:rPr>
        <w:t>ištaisyti</w:t>
      </w:r>
      <w:proofErr w:type="spellEnd"/>
      <w:r w:rsidR="00ED4D4C" w:rsidRPr="06F05331">
        <w:rPr>
          <w:rFonts w:ascii="Arial" w:hAnsi="Arial" w:cs="Arial"/>
          <w:sz w:val="20"/>
          <w:szCs w:val="20"/>
        </w:rPr>
        <w:t xml:space="preserve"> </w:t>
      </w:r>
      <w:proofErr w:type="spellStart"/>
      <w:r w:rsidR="00295AD4" w:rsidRPr="06F05331">
        <w:rPr>
          <w:rFonts w:ascii="Arial" w:hAnsi="Arial" w:cs="Arial"/>
          <w:sz w:val="20"/>
          <w:szCs w:val="20"/>
        </w:rPr>
        <w:t>vadovaujantis</w:t>
      </w:r>
      <w:proofErr w:type="spellEnd"/>
      <w:r w:rsidR="00295AD4" w:rsidRPr="06F05331">
        <w:rPr>
          <w:rFonts w:ascii="Arial" w:hAnsi="Arial" w:cs="Arial"/>
          <w:sz w:val="20"/>
          <w:szCs w:val="20"/>
        </w:rPr>
        <w:t xml:space="preserve"> </w:t>
      </w:r>
      <w:r w:rsidR="008114A9" w:rsidRPr="06F05331">
        <w:rPr>
          <w:rFonts w:ascii="Arial" w:hAnsi="Arial" w:cs="Arial"/>
          <w:color w:val="000000"/>
          <w:sz w:val="20"/>
          <w:szCs w:val="20"/>
        </w:rPr>
        <w:t xml:space="preserve">Viešųjų pirkimų </w:t>
      </w:r>
      <w:proofErr w:type="spellStart"/>
      <w:r w:rsidR="008114A9" w:rsidRPr="06F05331">
        <w:rPr>
          <w:rFonts w:ascii="Arial" w:hAnsi="Arial" w:cs="Arial"/>
          <w:color w:val="000000"/>
          <w:sz w:val="20"/>
          <w:szCs w:val="20"/>
        </w:rPr>
        <w:t>tarnybos</w:t>
      </w:r>
      <w:proofErr w:type="spellEnd"/>
      <w:r w:rsidR="008114A9"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nustatytomis</w:t>
      </w:r>
      <w:proofErr w:type="spellEnd"/>
      <w:r w:rsidR="005401DA" w:rsidRPr="06F05331">
        <w:rPr>
          <w:rFonts w:ascii="Arial" w:hAnsi="Arial" w:cs="Arial"/>
          <w:color w:val="000000"/>
          <w:sz w:val="20"/>
          <w:szCs w:val="20"/>
        </w:rPr>
        <w:t xml:space="preserve"> </w:t>
      </w:r>
      <w:proofErr w:type="spellStart"/>
      <w:r w:rsidR="005401DA" w:rsidRPr="06F05331">
        <w:rPr>
          <w:rFonts w:ascii="Arial" w:hAnsi="Arial" w:cs="Arial"/>
          <w:color w:val="000000"/>
          <w:sz w:val="20"/>
          <w:szCs w:val="20"/>
        </w:rPr>
        <w:t>taisyklėmis</w:t>
      </w:r>
      <w:proofErr w:type="spellEnd"/>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2D996EA5"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 xml:space="preserve">.1 arba </w:t>
      </w:r>
      <w:r>
        <w:rPr>
          <w:rFonts w:ascii="Arial" w:hAnsi="Arial" w:cs="Arial"/>
          <w:sz w:val="20"/>
          <w:szCs w:val="20"/>
          <w:lang w:val="lt-LT"/>
        </w:rPr>
        <w:t>2</w:t>
      </w:r>
      <w:r w:rsidR="004E3EAA">
        <w:rPr>
          <w:rFonts w:ascii="Arial" w:hAnsi="Arial" w:cs="Arial"/>
          <w:sz w:val="20"/>
          <w:szCs w:val="20"/>
          <w:lang w:val="lt-LT"/>
        </w:rPr>
        <w:t>1</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922D" w14:textId="77777777" w:rsidR="00326BC4" w:rsidRDefault="00326BC4" w:rsidP="00184B8C">
      <w:pPr>
        <w:spacing w:after="0" w:line="240" w:lineRule="auto"/>
      </w:pPr>
      <w:r>
        <w:separator/>
      </w:r>
    </w:p>
  </w:endnote>
  <w:endnote w:type="continuationSeparator" w:id="0">
    <w:p w14:paraId="53D50CE3" w14:textId="77777777" w:rsidR="00326BC4" w:rsidRDefault="00326BC4" w:rsidP="00184B8C">
      <w:pPr>
        <w:spacing w:after="0" w:line="240" w:lineRule="auto"/>
      </w:pPr>
      <w:r>
        <w:continuationSeparator/>
      </w:r>
    </w:p>
  </w:endnote>
  <w:endnote w:type="continuationNotice" w:id="1">
    <w:p w14:paraId="03DBC9FB" w14:textId="77777777" w:rsidR="00326BC4" w:rsidRDefault="00326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6F0C" w14:textId="77777777" w:rsidR="00326BC4" w:rsidRDefault="00326BC4" w:rsidP="00184B8C">
      <w:pPr>
        <w:spacing w:after="0" w:line="240" w:lineRule="auto"/>
      </w:pPr>
      <w:r>
        <w:separator/>
      </w:r>
    </w:p>
  </w:footnote>
  <w:footnote w:type="continuationSeparator" w:id="0">
    <w:p w14:paraId="552A082B" w14:textId="77777777" w:rsidR="00326BC4" w:rsidRDefault="00326BC4" w:rsidP="00184B8C">
      <w:pPr>
        <w:spacing w:after="0" w:line="240" w:lineRule="auto"/>
      </w:pPr>
      <w:r>
        <w:continuationSeparator/>
      </w:r>
    </w:p>
  </w:footnote>
  <w:footnote w:type="continuationNotice" w:id="1">
    <w:p w14:paraId="2C75C42E" w14:textId="77777777" w:rsidR="00326BC4" w:rsidRDefault="00326BC4">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6BC4"/>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0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3768"/>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3EAA"/>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274"/>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055"/>
    <w:rsid w:val="00AD5245"/>
    <w:rsid w:val="00AD60FB"/>
    <w:rsid w:val="00AD62A2"/>
    <w:rsid w:val="00AE00E1"/>
    <w:rsid w:val="00AE00F0"/>
    <w:rsid w:val="00AE12B1"/>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A03A3-31DD-4552-833E-1297E83D4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purl.org/dc/dcmitype/"/>
    <ds:schemaRef ds:uri="http://schemas.microsoft.com/office/2006/metadata/properties"/>
    <ds:schemaRef ds:uri="http://www.w3.org/XML/1998/namespace"/>
    <ds:schemaRef ds:uri="ae584d97-971f-4a2a-a6c4-93f334d67b63"/>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7019</Words>
  <Characters>50751</Characters>
  <Application>Microsoft Office Word</Application>
  <DocSecurity>0</DocSecurity>
  <Lines>1035</Lines>
  <Paragraphs>560</Paragraphs>
  <ScaleCrop>false</ScaleCrop>
  <Company/>
  <LinksUpToDate>false</LinksUpToDate>
  <CharactersWithSpaces>57210</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2026-05-05T11:08:00Z</dcterms:created>
  <dcterms:modified xsi:type="dcterms:W3CDTF">2026-05-05T11:08:00Z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