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D8B0173"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5222D2">
        <w:rPr>
          <w:b/>
          <w:iCs/>
          <w:sz w:val="24"/>
          <w:szCs w:val="24"/>
        </w:rPr>
        <w:t>Kalno</w:t>
      </w:r>
      <w:r w:rsidR="00461441">
        <w:rPr>
          <w:b/>
          <w:iCs/>
          <w:sz w:val="24"/>
          <w:szCs w:val="24"/>
        </w:rPr>
        <w:t xml:space="preserve"> g. KT76</w:t>
      </w:r>
      <w:r w:rsidR="005222D2">
        <w:rPr>
          <w:b/>
          <w:iCs/>
          <w:sz w:val="24"/>
          <w:szCs w:val="24"/>
        </w:rPr>
        <w:t>84</w:t>
      </w:r>
      <w:r w:rsidR="00461441">
        <w:rPr>
          <w:b/>
          <w:iCs/>
          <w:sz w:val="24"/>
          <w:szCs w:val="24"/>
        </w:rPr>
        <w:t>, Salantų m., Kretingos r. sav</w:t>
      </w:r>
      <w:r w:rsidR="00C33B1C">
        <w:rPr>
          <w:b/>
          <w:iCs/>
          <w:sz w:val="24"/>
          <w:szCs w:val="24"/>
        </w:rPr>
        <w:t>. 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A425618"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2F590C">
        <w:rPr>
          <w:bCs/>
          <w:sz w:val="24"/>
          <w:szCs w:val="24"/>
        </w:rPr>
        <w:t>10</w:t>
      </w:r>
      <w:r w:rsidRPr="0009547A">
        <w:rPr>
          <w:bCs/>
          <w:sz w:val="24"/>
          <w:szCs w:val="24"/>
        </w:rPr>
        <w:t xml:space="preserve"> (</w:t>
      </w:r>
      <w:r w:rsidR="002F590C">
        <w:rPr>
          <w:bCs/>
          <w:sz w:val="24"/>
          <w:szCs w:val="24"/>
        </w:rPr>
        <w:t>dešimt</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4CA3A69"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2F590C">
        <w:rPr>
          <w:bCs/>
          <w:sz w:val="24"/>
          <w:szCs w:val="24"/>
        </w:rPr>
        <w:t>2</w:t>
      </w:r>
      <w:r w:rsidR="009171AE" w:rsidRPr="009171AE">
        <w:rPr>
          <w:bCs/>
          <w:sz w:val="24"/>
          <w:szCs w:val="24"/>
        </w:rPr>
        <w:t xml:space="preserve"> (</w:t>
      </w:r>
      <w:r w:rsidR="002F590C">
        <w:rPr>
          <w:bCs/>
          <w:sz w:val="24"/>
          <w:szCs w:val="24"/>
        </w:rPr>
        <w:t>du</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E28E71B"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sidR="00844F05" w:rsidRPr="00844F05">
        <w:rPr>
          <w:bCs/>
          <w:sz w:val="24"/>
          <w:szCs w:val="24"/>
        </w:rPr>
        <w:t>Rangovas įsipareigoja, kad jis ir kiti Sutarties vykdymui pasitelkti asmenys visą Sutarties vykdymo laikotarpį vykdomiems Darbams taikys aplinkos apsaugos vadybos sistemos reikalavimus pagal standartą LST EN ISO 14001 arba EMAS ar kitus aplinkos apsaugos vadybos standartus, pagrįstus atitinkamais Europos arba tarptautinių standartizacijos organizacijų priimtais standartais. Rangovas turi turėti galiojančius šiame punkte nurodytus dokumentus ir, Užsakovui paprašius, juos pateikti per 3 darbo dienas.  Užsakovas priima ir kitus Rangovo lygiaverčių aplinkos apsaugos vadybos užtikrinimo priemonių įrodymus, kurie patvirtintų, kad jo siūlomos aplinkos apsaugos vadybos užtikrinimo priemonės atitinka reikalaujamus aplinkos apsaugos vadybos sistemos standartus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w:t>
      </w:r>
      <w:r w:rsidR="00F77039" w:rsidRPr="00DE3055">
        <w:lastRenderedPageBreak/>
        <w:t xml:space="preserve">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7E88578D"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r w:rsidR="00560D5E">
        <w:t xml:space="preserve"> </w:t>
      </w:r>
      <w:r w:rsidR="00560D5E" w:rsidRPr="00560D5E">
        <w:t>Rangovas privalo sumokėti Užsakovui netesybas už Darbų vėlavimą per 15 dienų nuo Užsakovo pareikalavimo. Užsakovas turi teisę išskaityti netesybas iš Rangovui mokėtinų sumų.</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lastRenderedPageBreak/>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lastRenderedPageBreak/>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lastRenderedPageBreak/>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 xml:space="preserve">.2. atsiskaityti Sutarties III skyriuje nustatyta tvarka už iki Sutarties nutraukimo atliktus </w:t>
      </w:r>
      <w:r w:rsidRPr="00144A20">
        <w:lastRenderedPageBreak/>
        <w:t>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lastRenderedPageBreak/>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lastRenderedPageBreak/>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31503312"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960CFD">
        <w:t xml:space="preserve">, +370 616 78318, </w:t>
      </w:r>
      <w:proofErr w:type="spellStart"/>
      <w:r w:rsidR="00960CFD">
        <w:t>edita.berzanskiene</w:t>
      </w:r>
      <w:proofErr w:type="spellEnd"/>
      <w:r w:rsidR="00960CFD" w:rsidRPr="00960CFD">
        <w:rPr>
          <w:lang w:val="en-US"/>
        </w:rPr>
        <w:t>@kretinga.lt</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45F52D00" w14:textId="427EE8D6" w:rsidR="00164B74" w:rsidRDefault="00164B74" w:rsidP="00601B0D">
      <w:pPr>
        <w:tabs>
          <w:tab w:val="left" w:pos="993"/>
        </w:tabs>
        <w:suppressAutoHyphens/>
        <w:ind w:firstLine="567"/>
        <w:jc w:val="both"/>
      </w:pPr>
      <w:r>
        <w:t>4</w:t>
      </w:r>
      <w:r w:rsidR="001E5222">
        <w:t>1</w:t>
      </w:r>
      <w:r>
        <w:t>.2. Rangovo pasiūlymas (Sutarties 2 priedas)</w:t>
      </w:r>
      <w:r w:rsidR="00A212E6">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lastRenderedPageBreak/>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601B0D"/>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05F03"/>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2F590C"/>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1441"/>
    <w:rsid w:val="0046263C"/>
    <w:rsid w:val="004660AE"/>
    <w:rsid w:val="004663EE"/>
    <w:rsid w:val="004672EB"/>
    <w:rsid w:val="00484C37"/>
    <w:rsid w:val="00490F7C"/>
    <w:rsid w:val="00496A9E"/>
    <w:rsid w:val="004B0026"/>
    <w:rsid w:val="004B5C5A"/>
    <w:rsid w:val="004C149D"/>
    <w:rsid w:val="004C2AAD"/>
    <w:rsid w:val="004C3CD4"/>
    <w:rsid w:val="004D446C"/>
    <w:rsid w:val="004D4A77"/>
    <w:rsid w:val="004D4F80"/>
    <w:rsid w:val="004D5A3B"/>
    <w:rsid w:val="00505144"/>
    <w:rsid w:val="00513B28"/>
    <w:rsid w:val="00520059"/>
    <w:rsid w:val="00521040"/>
    <w:rsid w:val="005222D2"/>
    <w:rsid w:val="0052783D"/>
    <w:rsid w:val="00537A9F"/>
    <w:rsid w:val="0055544B"/>
    <w:rsid w:val="00560D5E"/>
    <w:rsid w:val="00564B99"/>
    <w:rsid w:val="00591A7C"/>
    <w:rsid w:val="005A1C0A"/>
    <w:rsid w:val="005A524F"/>
    <w:rsid w:val="005B38D1"/>
    <w:rsid w:val="005E6932"/>
    <w:rsid w:val="005F5F0D"/>
    <w:rsid w:val="005F73D7"/>
    <w:rsid w:val="00601B0D"/>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C6704"/>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44F05"/>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27E85"/>
    <w:rsid w:val="00935F4B"/>
    <w:rsid w:val="0094267F"/>
    <w:rsid w:val="00947408"/>
    <w:rsid w:val="00953EB9"/>
    <w:rsid w:val="00956638"/>
    <w:rsid w:val="00956E14"/>
    <w:rsid w:val="00960CFD"/>
    <w:rsid w:val="00970565"/>
    <w:rsid w:val="009737AF"/>
    <w:rsid w:val="009934DB"/>
    <w:rsid w:val="00993EE8"/>
    <w:rsid w:val="00997503"/>
    <w:rsid w:val="009B5211"/>
    <w:rsid w:val="009C43A7"/>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5064"/>
    <w:rsid w:val="00C96652"/>
    <w:rsid w:val="00CA0018"/>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01D7"/>
    <w:rsid w:val="00D623E2"/>
    <w:rsid w:val="00D657C2"/>
    <w:rsid w:val="00D735F1"/>
    <w:rsid w:val="00D81069"/>
    <w:rsid w:val="00DA6930"/>
    <w:rsid w:val="00DB08B4"/>
    <w:rsid w:val="00DB3DA8"/>
    <w:rsid w:val="00DB4C5C"/>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2CA6"/>
    <w:rsid w:val="00E93967"/>
    <w:rsid w:val="00E9587D"/>
    <w:rsid w:val="00E95DDC"/>
    <w:rsid w:val="00EA0BFD"/>
    <w:rsid w:val="00EA277C"/>
    <w:rsid w:val="00EA6369"/>
    <w:rsid w:val="00EB0D2D"/>
    <w:rsid w:val="00EB355D"/>
    <w:rsid w:val="00EB44D2"/>
    <w:rsid w:val="00ED558C"/>
    <w:rsid w:val="00EF0DD6"/>
    <w:rsid w:val="00EF3889"/>
    <w:rsid w:val="00EF3D94"/>
    <w:rsid w:val="00F044BD"/>
    <w:rsid w:val="00F27139"/>
    <w:rsid w:val="00F342C5"/>
    <w:rsid w:val="00F401B1"/>
    <w:rsid w:val="00F4062F"/>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34050</Words>
  <Characters>19410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5</cp:revision>
  <cp:lastPrinted>2026-03-05T07:36:00Z</cp:lastPrinted>
  <dcterms:created xsi:type="dcterms:W3CDTF">2026-04-24T08:12:00Z</dcterms:created>
  <dcterms:modified xsi:type="dcterms:W3CDTF">2026-04-30T06:51:00Z</dcterms:modified>
</cp:coreProperties>
</file>