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D854" w14:textId="66AE3AF4" w:rsidR="004C15A7" w:rsidRPr="00C64CEF" w:rsidRDefault="002D3B1F" w:rsidP="003B541D">
      <w:pPr>
        <w:spacing w:after="0"/>
        <w:ind w:right="-577"/>
        <w:contextualSpacing/>
        <w:jc w:val="center"/>
        <w:rPr>
          <w:rFonts w:ascii="Times New Roman" w:hAnsi="Times New Roman"/>
          <w:b/>
          <w:sz w:val="24"/>
          <w:szCs w:val="24"/>
        </w:rPr>
      </w:pPr>
      <w:r w:rsidRPr="00C64CEF">
        <w:rPr>
          <w:rFonts w:ascii="Times New Roman" w:hAnsi="Times New Roman"/>
          <w:b/>
          <w:sz w:val="24"/>
          <w:szCs w:val="24"/>
        </w:rPr>
        <w:t>MOBILAUS DUJŲ ANALIZATORIAUS</w:t>
      </w:r>
      <w:r w:rsidR="004C15A7" w:rsidRPr="00C64CEF">
        <w:rPr>
          <w:rFonts w:ascii="Times New Roman" w:hAnsi="Times New Roman"/>
          <w:b/>
          <w:sz w:val="24"/>
          <w:szCs w:val="24"/>
        </w:rPr>
        <w:t xml:space="preserve"> TECHNINĖ SPECIFIKACIJA</w:t>
      </w:r>
    </w:p>
    <w:p w14:paraId="11A897BE" w14:textId="4F786F64" w:rsidR="004C15A7" w:rsidRPr="00C64CEF" w:rsidRDefault="004C15A7" w:rsidP="002C39B5">
      <w:pPr>
        <w:spacing w:before="120" w:after="120" w:line="360" w:lineRule="auto"/>
        <w:ind w:left="720" w:hanging="360"/>
        <w:contextualSpacing/>
        <w:jc w:val="center"/>
        <w:rPr>
          <w:rFonts w:ascii="Times New Roman" w:hAnsi="Times New Roman"/>
          <w:b/>
          <w:sz w:val="24"/>
          <w:szCs w:val="24"/>
        </w:rPr>
      </w:pPr>
    </w:p>
    <w:tbl>
      <w:tblPr>
        <w:tblW w:w="1088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28" w:type="dxa"/>
        </w:tblCellMar>
        <w:tblLook w:val="00A0" w:firstRow="1" w:lastRow="0" w:firstColumn="1" w:lastColumn="0" w:noHBand="0" w:noVBand="0"/>
      </w:tblPr>
      <w:tblGrid>
        <w:gridCol w:w="438"/>
        <w:gridCol w:w="671"/>
        <w:gridCol w:w="1843"/>
        <w:gridCol w:w="4819"/>
        <w:gridCol w:w="2931"/>
        <w:gridCol w:w="179"/>
      </w:tblGrid>
      <w:tr w:rsidR="004C15A7" w:rsidRPr="00C64CEF" w14:paraId="7B0F5F85" w14:textId="77777777" w:rsidTr="00BA5D0E">
        <w:trPr>
          <w:gridBefore w:val="1"/>
          <w:gridAfter w:val="1"/>
          <w:wBefore w:w="438" w:type="dxa"/>
          <w:wAfter w:w="179" w:type="dxa"/>
          <w:trHeight w:val="463"/>
          <w:tblHeader/>
        </w:trPr>
        <w:tc>
          <w:tcPr>
            <w:tcW w:w="671" w:type="dxa"/>
            <w:shd w:val="clear" w:color="auto" w:fill="DAEEF3"/>
            <w:tcMar>
              <w:left w:w="85" w:type="dxa"/>
              <w:right w:w="28" w:type="dxa"/>
            </w:tcMar>
            <w:vAlign w:val="center"/>
          </w:tcPr>
          <w:p w14:paraId="0BD1FBF7" w14:textId="77777777" w:rsidR="004C15A7" w:rsidRPr="00C64CEF"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Nr.</w:t>
            </w:r>
          </w:p>
        </w:tc>
        <w:tc>
          <w:tcPr>
            <w:tcW w:w="1843" w:type="dxa"/>
            <w:shd w:val="clear" w:color="auto" w:fill="DAEEF3"/>
            <w:tcMar>
              <w:left w:w="85" w:type="dxa"/>
              <w:right w:w="28" w:type="dxa"/>
            </w:tcMar>
            <w:vAlign w:val="center"/>
          </w:tcPr>
          <w:p w14:paraId="11BBDF17" w14:textId="4A766F47" w:rsidR="004C15A7" w:rsidRPr="00C64CEF"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Komponento</w:t>
            </w:r>
            <w:r w:rsidR="006C14AE" w:rsidRPr="00C64CEF">
              <w:rPr>
                <w:rFonts w:ascii="Times New Roman" w:hAnsi="Times New Roman"/>
                <w:b/>
                <w:sz w:val="24"/>
                <w:szCs w:val="24"/>
              </w:rPr>
              <w:t xml:space="preserve"> / prietaiso</w:t>
            </w:r>
            <w:r w:rsidRPr="00C64CEF">
              <w:rPr>
                <w:rFonts w:ascii="Times New Roman" w:hAnsi="Times New Roman"/>
                <w:b/>
                <w:sz w:val="24"/>
                <w:szCs w:val="24"/>
              </w:rPr>
              <w:t xml:space="preserve"> pavadinimas</w:t>
            </w:r>
          </w:p>
        </w:tc>
        <w:tc>
          <w:tcPr>
            <w:tcW w:w="4819" w:type="dxa"/>
            <w:shd w:val="clear" w:color="auto" w:fill="DAEEF3"/>
            <w:tcMar>
              <w:left w:w="85" w:type="dxa"/>
              <w:right w:w="28" w:type="dxa"/>
            </w:tcMar>
            <w:vAlign w:val="center"/>
          </w:tcPr>
          <w:p w14:paraId="6F6A3D36" w14:textId="730DD417" w:rsidR="004C15A7" w:rsidRPr="00C64CEF" w:rsidRDefault="004C15A7" w:rsidP="0050774A">
            <w:pPr>
              <w:spacing w:before="20" w:after="20" w:line="240" w:lineRule="auto"/>
              <w:jc w:val="center"/>
              <w:rPr>
                <w:rFonts w:ascii="Times New Roman" w:hAnsi="Times New Roman"/>
                <w:b/>
                <w:color w:val="000000"/>
                <w:sz w:val="24"/>
                <w:szCs w:val="24"/>
              </w:rPr>
            </w:pPr>
            <w:r w:rsidRPr="00C64CEF">
              <w:rPr>
                <w:rFonts w:ascii="Times New Roman" w:hAnsi="Times New Roman"/>
                <w:b/>
                <w:color w:val="000000"/>
                <w:sz w:val="24"/>
                <w:szCs w:val="24"/>
              </w:rPr>
              <w:t>Reikalaujami techniniai rodikliai</w:t>
            </w:r>
            <w:r w:rsidR="006C14AE" w:rsidRPr="00C64CEF">
              <w:rPr>
                <w:rFonts w:ascii="Times New Roman" w:hAnsi="Times New Roman"/>
                <w:b/>
                <w:color w:val="000000"/>
                <w:sz w:val="24"/>
                <w:szCs w:val="24"/>
              </w:rPr>
              <w:t xml:space="preserve"> / charakteristika</w:t>
            </w:r>
          </w:p>
        </w:tc>
        <w:tc>
          <w:tcPr>
            <w:tcW w:w="2931" w:type="dxa"/>
            <w:shd w:val="clear" w:color="auto" w:fill="DAEEF3"/>
            <w:tcMar>
              <w:left w:w="85" w:type="dxa"/>
              <w:right w:w="28" w:type="dxa"/>
            </w:tcMar>
            <w:vAlign w:val="center"/>
          </w:tcPr>
          <w:p w14:paraId="59BB21DF" w14:textId="77777777" w:rsidR="004C15A7" w:rsidRPr="00C64CEF" w:rsidRDefault="004C15A7" w:rsidP="00EE6285">
            <w:pPr>
              <w:spacing w:after="0" w:line="220" w:lineRule="exact"/>
              <w:jc w:val="center"/>
              <w:rPr>
                <w:rFonts w:ascii="Times New Roman" w:hAnsi="Times New Roman"/>
                <w:b/>
                <w:sz w:val="24"/>
                <w:szCs w:val="24"/>
              </w:rPr>
            </w:pPr>
            <w:r w:rsidRPr="00C64CEF">
              <w:rPr>
                <w:rFonts w:ascii="Times New Roman" w:hAnsi="Times New Roman"/>
                <w:b/>
                <w:sz w:val="24"/>
                <w:szCs w:val="24"/>
              </w:rPr>
              <w:t>Tiekėjo siūlomos charakteristikos</w:t>
            </w:r>
          </w:p>
        </w:tc>
      </w:tr>
      <w:tr w:rsidR="006C14AE" w:rsidRPr="00C64CEF" w14:paraId="23AE51F9" w14:textId="77777777" w:rsidTr="00BA5D0E">
        <w:trPr>
          <w:gridBefore w:val="1"/>
          <w:gridAfter w:val="1"/>
          <w:wBefore w:w="438" w:type="dxa"/>
          <w:wAfter w:w="179" w:type="dxa"/>
          <w:trHeight w:val="946"/>
        </w:trPr>
        <w:tc>
          <w:tcPr>
            <w:tcW w:w="2514" w:type="dxa"/>
            <w:gridSpan w:val="2"/>
            <w:tcMar>
              <w:left w:w="85" w:type="dxa"/>
              <w:right w:w="28" w:type="dxa"/>
            </w:tcMar>
            <w:vAlign w:val="center"/>
          </w:tcPr>
          <w:p w14:paraId="30FEFFE4" w14:textId="320D6CAF" w:rsidR="006C14AE" w:rsidRPr="00C64CEF" w:rsidRDefault="006C14AE" w:rsidP="0050774A">
            <w:pPr>
              <w:spacing w:line="220" w:lineRule="exact"/>
              <w:jc w:val="center"/>
              <w:rPr>
                <w:rFonts w:ascii="Times New Roman" w:hAnsi="Times New Roman"/>
                <w:b/>
                <w:bCs/>
                <w:color w:val="000000"/>
                <w:sz w:val="24"/>
                <w:szCs w:val="24"/>
              </w:rPr>
            </w:pPr>
            <w:r w:rsidRPr="00C64CEF">
              <w:rPr>
                <w:rFonts w:ascii="Times New Roman" w:hAnsi="Times New Roman"/>
                <w:b/>
                <w:bCs/>
                <w:color w:val="000000"/>
                <w:sz w:val="24"/>
                <w:szCs w:val="24"/>
              </w:rPr>
              <w:t>Mobilus dujų analizatorius</w:t>
            </w:r>
          </w:p>
        </w:tc>
        <w:tc>
          <w:tcPr>
            <w:tcW w:w="4819" w:type="dxa"/>
            <w:tcMar>
              <w:left w:w="85" w:type="dxa"/>
              <w:right w:w="28" w:type="dxa"/>
            </w:tcMar>
            <w:vAlign w:val="center"/>
          </w:tcPr>
          <w:p w14:paraId="2B8EDDA7" w14:textId="2CEED0E2" w:rsidR="006C14AE" w:rsidRPr="00C64CEF" w:rsidRDefault="00EE6285" w:rsidP="0050774A">
            <w:pPr>
              <w:spacing w:before="20" w:after="20" w:line="240" w:lineRule="auto"/>
              <w:rPr>
                <w:rFonts w:ascii="Times New Roman" w:hAnsi="Times New Roman"/>
                <w:color w:val="000000"/>
                <w:sz w:val="24"/>
                <w:szCs w:val="24"/>
              </w:rPr>
            </w:pPr>
            <w:r w:rsidRPr="00C64CEF">
              <w:rPr>
                <w:rFonts w:ascii="Times New Roman" w:hAnsi="Times New Roman"/>
                <w:sz w:val="24"/>
                <w:szCs w:val="24"/>
              </w:rPr>
              <w:t xml:space="preserve">Mobilus dujų analizatorius skirtas lengvųjų dujų detekcijai. Analizatorius skirtas </w:t>
            </w:r>
            <w:proofErr w:type="spellStart"/>
            <w:r w:rsidRPr="00C64CEF">
              <w:rPr>
                <w:rFonts w:ascii="Times New Roman" w:hAnsi="Times New Roman"/>
                <w:sz w:val="24"/>
                <w:szCs w:val="24"/>
              </w:rPr>
              <w:t>bestandarčiam</w:t>
            </w:r>
            <w:proofErr w:type="spellEnd"/>
            <w:r w:rsidRPr="00C64CEF">
              <w:rPr>
                <w:rFonts w:ascii="Times New Roman" w:hAnsi="Times New Roman"/>
                <w:sz w:val="24"/>
                <w:szCs w:val="24"/>
              </w:rPr>
              <w:t xml:space="preserve"> ir greitam d</w:t>
            </w:r>
            <w:r w:rsidR="00961AD1">
              <w:rPr>
                <w:rFonts w:ascii="Times New Roman" w:hAnsi="Times New Roman"/>
                <w:sz w:val="24"/>
                <w:szCs w:val="24"/>
              </w:rPr>
              <w:t>u</w:t>
            </w:r>
            <w:r w:rsidRPr="00C64CEF">
              <w:rPr>
                <w:rFonts w:ascii="Times New Roman" w:hAnsi="Times New Roman"/>
                <w:sz w:val="24"/>
                <w:szCs w:val="24"/>
              </w:rPr>
              <w:t>jų kokybiniam ir kiekybiniam nustatymui.</w:t>
            </w:r>
          </w:p>
        </w:tc>
        <w:tc>
          <w:tcPr>
            <w:tcW w:w="2931" w:type="dxa"/>
            <w:tcMar>
              <w:left w:w="85" w:type="dxa"/>
              <w:right w:w="28" w:type="dxa"/>
            </w:tcMar>
          </w:tcPr>
          <w:p w14:paraId="22DA16ED" w14:textId="77777777" w:rsidR="006C14AE" w:rsidRPr="00C64CEF" w:rsidRDefault="006C14AE" w:rsidP="00400559">
            <w:pPr>
              <w:spacing w:before="20" w:after="20" w:line="220" w:lineRule="exact"/>
              <w:rPr>
                <w:rFonts w:ascii="Times New Roman" w:hAnsi="Times New Roman"/>
                <w:sz w:val="24"/>
                <w:szCs w:val="24"/>
              </w:rPr>
            </w:pPr>
          </w:p>
        </w:tc>
      </w:tr>
      <w:tr w:rsidR="004C15A7" w:rsidRPr="00C64CEF" w14:paraId="4FE249B2" w14:textId="77777777" w:rsidTr="00BA5D0E">
        <w:trPr>
          <w:gridBefore w:val="1"/>
          <w:gridAfter w:val="1"/>
          <w:wBefore w:w="438" w:type="dxa"/>
          <w:wAfter w:w="179" w:type="dxa"/>
          <w:trHeight w:val="435"/>
        </w:trPr>
        <w:tc>
          <w:tcPr>
            <w:tcW w:w="671" w:type="dxa"/>
            <w:tcMar>
              <w:left w:w="85" w:type="dxa"/>
              <w:right w:w="28" w:type="dxa"/>
            </w:tcMar>
            <w:vAlign w:val="center"/>
          </w:tcPr>
          <w:p w14:paraId="6D1B098E" w14:textId="6863FC36" w:rsidR="004C15A7" w:rsidRPr="00C64CEF" w:rsidRDefault="004C15A7" w:rsidP="002D3B1F">
            <w:pPr>
              <w:numPr>
                <w:ilvl w:val="0"/>
                <w:numId w:val="20"/>
              </w:numPr>
              <w:spacing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414A8FA3" w14:textId="6235DF3A" w:rsidR="004C15A7" w:rsidRPr="00C64CEF" w:rsidRDefault="00EE6285" w:rsidP="00F16C07">
            <w:pPr>
              <w:spacing w:after="0" w:line="220" w:lineRule="exact"/>
              <w:rPr>
                <w:rFonts w:ascii="Times New Roman" w:hAnsi="Times New Roman"/>
                <w:color w:val="000000"/>
                <w:sz w:val="24"/>
                <w:szCs w:val="24"/>
              </w:rPr>
            </w:pPr>
            <w:r w:rsidRPr="00C64CEF">
              <w:rPr>
                <w:rFonts w:ascii="Times New Roman" w:hAnsi="Times New Roman"/>
                <w:color w:val="000000"/>
                <w:sz w:val="24"/>
                <w:szCs w:val="24"/>
              </w:rPr>
              <w:t>Spektrinė sritis</w:t>
            </w:r>
          </w:p>
        </w:tc>
        <w:tc>
          <w:tcPr>
            <w:tcW w:w="4819" w:type="dxa"/>
            <w:tcMar>
              <w:left w:w="85" w:type="dxa"/>
              <w:right w:w="28" w:type="dxa"/>
            </w:tcMar>
            <w:vAlign w:val="center"/>
          </w:tcPr>
          <w:p w14:paraId="48B81D24" w14:textId="0C481468" w:rsidR="004C15A7" w:rsidRPr="00C64CEF" w:rsidRDefault="00EE6285" w:rsidP="0050774A">
            <w:pPr>
              <w:spacing w:after="0" w:line="240" w:lineRule="auto"/>
              <w:rPr>
                <w:rFonts w:ascii="Times New Roman" w:hAnsi="Times New Roman"/>
                <w:color w:val="000000"/>
                <w:sz w:val="24"/>
                <w:szCs w:val="24"/>
              </w:rPr>
            </w:pPr>
            <w:r w:rsidRPr="001F391B">
              <w:rPr>
                <w:rFonts w:ascii="Times New Roman" w:eastAsia="Times New Roman" w:hAnsi="Times New Roman"/>
                <w:sz w:val="24"/>
                <w:szCs w:val="24"/>
                <w:lang w:eastAsia="lt-LT"/>
              </w:rPr>
              <w:t xml:space="preserve">Ne </w:t>
            </w:r>
            <w:r w:rsidR="00FA2033">
              <w:rPr>
                <w:rFonts w:ascii="Times New Roman" w:eastAsia="Times New Roman" w:hAnsi="Times New Roman"/>
                <w:sz w:val="24"/>
                <w:szCs w:val="24"/>
                <w:lang w:eastAsia="lt-LT"/>
              </w:rPr>
              <w:t>mažesniame</w:t>
            </w:r>
            <w:r w:rsidR="00FA2033" w:rsidRPr="00C64CEF">
              <w:rPr>
                <w:rFonts w:ascii="Times New Roman" w:eastAsia="Times New Roman" w:hAnsi="Times New Roman"/>
                <w:sz w:val="24"/>
                <w:szCs w:val="24"/>
                <w:lang w:eastAsia="lt-LT"/>
              </w:rPr>
              <w:t xml:space="preserve"> </w:t>
            </w:r>
            <w:r w:rsidRPr="00C64CEF">
              <w:rPr>
                <w:rFonts w:ascii="Times New Roman" w:eastAsia="Times New Roman" w:hAnsi="Times New Roman"/>
                <w:sz w:val="24"/>
                <w:szCs w:val="24"/>
                <w:lang w:eastAsia="lt-LT"/>
              </w:rPr>
              <w:t>nei 4000 – 800 cm</w:t>
            </w:r>
            <w:r w:rsidRPr="00C64CEF">
              <w:rPr>
                <w:rFonts w:ascii="Times New Roman" w:eastAsia="Times New Roman" w:hAnsi="Times New Roman"/>
                <w:sz w:val="24"/>
                <w:szCs w:val="24"/>
                <w:vertAlign w:val="superscript"/>
                <w:lang w:eastAsia="lt-LT"/>
              </w:rPr>
              <w:t>-1</w:t>
            </w:r>
            <w:r w:rsidRPr="00C64CEF">
              <w:rPr>
                <w:rFonts w:ascii="Times New Roman" w:eastAsia="Times New Roman" w:hAnsi="Times New Roman"/>
                <w:sz w:val="24"/>
                <w:szCs w:val="24"/>
                <w:lang w:eastAsia="lt-LT"/>
              </w:rPr>
              <w:t xml:space="preserve"> intervale.</w:t>
            </w:r>
          </w:p>
        </w:tc>
        <w:tc>
          <w:tcPr>
            <w:tcW w:w="2931" w:type="dxa"/>
            <w:tcMar>
              <w:left w:w="85" w:type="dxa"/>
              <w:right w:w="28" w:type="dxa"/>
            </w:tcMar>
          </w:tcPr>
          <w:p w14:paraId="5A42CDE9"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565A8A8D" w14:textId="77777777" w:rsidTr="00BA5D0E">
        <w:trPr>
          <w:gridBefore w:val="1"/>
          <w:gridAfter w:val="1"/>
          <w:wBefore w:w="438" w:type="dxa"/>
          <w:wAfter w:w="179" w:type="dxa"/>
          <w:trHeight w:val="413"/>
        </w:trPr>
        <w:tc>
          <w:tcPr>
            <w:tcW w:w="671" w:type="dxa"/>
            <w:tcMar>
              <w:left w:w="85" w:type="dxa"/>
              <w:right w:w="28" w:type="dxa"/>
            </w:tcMar>
            <w:vAlign w:val="center"/>
          </w:tcPr>
          <w:p w14:paraId="37321AA4" w14:textId="537EBF83"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834CB6A" w14:textId="7EA77609" w:rsidR="004C15A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Skiriamoji geba</w:t>
            </w:r>
          </w:p>
        </w:tc>
        <w:tc>
          <w:tcPr>
            <w:tcW w:w="4819" w:type="dxa"/>
            <w:tcMar>
              <w:left w:w="85" w:type="dxa"/>
              <w:right w:w="28" w:type="dxa"/>
            </w:tcMar>
            <w:vAlign w:val="center"/>
          </w:tcPr>
          <w:p w14:paraId="3C6C6013" w14:textId="15D11F4B" w:rsidR="004C15A7" w:rsidRPr="00C64CEF" w:rsidRDefault="00EE6285"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4"/>
                <w:lang w:eastAsia="lt-LT"/>
              </w:rPr>
              <w:t>Ne didesnė nei 1 cm</w:t>
            </w:r>
            <w:r w:rsidRPr="00C64CEF">
              <w:rPr>
                <w:rFonts w:ascii="Times New Roman" w:eastAsia="Times New Roman" w:hAnsi="Times New Roman"/>
                <w:sz w:val="24"/>
                <w:szCs w:val="24"/>
                <w:vertAlign w:val="superscript"/>
                <w:lang w:eastAsia="lt-LT"/>
              </w:rPr>
              <w:t>-1</w:t>
            </w:r>
            <w:r w:rsidRPr="00C64CEF">
              <w:rPr>
                <w:rFonts w:ascii="Times New Roman" w:eastAsia="Times New Roman" w:hAnsi="Times New Roman"/>
                <w:sz w:val="24"/>
                <w:szCs w:val="24"/>
                <w:lang w:eastAsia="lt-LT"/>
              </w:rPr>
              <w:t>.</w:t>
            </w:r>
          </w:p>
        </w:tc>
        <w:tc>
          <w:tcPr>
            <w:tcW w:w="2931" w:type="dxa"/>
            <w:tcMar>
              <w:left w:w="85" w:type="dxa"/>
              <w:right w:w="28" w:type="dxa"/>
            </w:tcMar>
          </w:tcPr>
          <w:p w14:paraId="24AE8615"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6B1CD834" w14:textId="77777777" w:rsidTr="00BA5D0E">
        <w:trPr>
          <w:gridBefore w:val="1"/>
          <w:gridAfter w:val="1"/>
          <w:wBefore w:w="438" w:type="dxa"/>
          <w:wAfter w:w="179" w:type="dxa"/>
          <w:trHeight w:val="1533"/>
        </w:trPr>
        <w:tc>
          <w:tcPr>
            <w:tcW w:w="671" w:type="dxa"/>
            <w:tcMar>
              <w:left w:w="85" w:type="dxa"/>
              <w:right w:w="28" w:type="dxa"/>
            </w:tcMar>
            <w:vAlign w:val="center"/>
          </w:tcPr>
          <w:p w14:paraId="6A822287" w14:textId="6BC51F66"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D73970C" w14:textId="794D3D61" w:rsidR="004C15A7" w:rsidRPr="00C64CEF" w:rsidRDefault="00EE6285" w:rsidP="00910501">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Šaltinis</w:t>
            </w:r>
          </w:p>
        </w:tc>
        <w:tc>
          <w:tcPr>
            <w:tcW w:w="4819" w:type="dxa"/>
            <w:tcMar>
              <w:left w:w="85" w:type="dxa"/>
              <w:right w:w="28" w:type="dxa"/>
            </w:tcMar>
            <w:vAlign w:val="center"/>
          </w:tcPr>
          <w:p w14:paraId="3615C9F8" w14:textId="6FF6C8BC" w:rsidR="00D53A6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 xml:space="preserve">Gamintojo išcentruotas, lengvai pakeičiamas infraraudonųjų spindulių (IR) </w:t>
            </w:r>
            <w:r w:rsidRPr="001F391B">
              <w:rPr>
                <w:rFonts w:ascii="Times New Roman" w:eastAsia="Times New Roman" w:hAnsi="Times New Roman"/>
                <w:sz w:val="24"/>
                <w:szCs w:val="20"/>
                <w:lang w:eastAsia="lt-LT"/>
              </w:rPr>
              <w:t>šaltinis nereikalaujantis serviso inžinieriaus</w:t>
            </w:r>
            <w:r w:rsidR="00FA2033">
              <w:rPr>
                <w:rFonts w:ascii="Times New Roman" w:eastAsia="Times New Roman" w:hAnsi="Times New Roman"/>
                <w:sz w:val="24"/>
                <w:szCs w:val="20"/>
                <w:lang w:eastAsia="lt-LT"/>
              </w:rPr>
              <w:t xml:space="preserve"> priežiūros</w:t>
            </w:r>
            <w:r w:rsidRPr="00C64CEF">
              <w:rPr>
                <w:rFonts w:ascii="Times New Roman" w:eastAsia="Times New Roman" w:hAnsi="Times New Roman"/>
                <w:sz w:val="24"/>
                <w:szCs w:val="20"/>
                <w:lang w:eastAsia="lt-LT"/>
              </w:rPr>
              <w:t>. Turi būti pristatoma su papildomu iš anksto išcentruotu IR šaltiniu.</w:t>
            </w:r>
          </w:p>
        </w:tc>
        <w:tc>
          <w:tcPr>
            <w:tcW w:w="2931" w:type="dxa"/>
            <w:tcMar>
              <w:left w:w="85" w:type="dxa"/>
              <w:right w:w="28" w:type="dxa"/>
            </w:tcMar>
          </w:tcPr>
          <w:p w14:paraId="7CF200FD"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5431AF49" w14:textId="77777777" w:rsidTr="00BA5D0E">
        <w:trPr>
          <w:gridBefore w:val="1"/>
          <w:gridAfter w:val="1"/>
          <w:wBefore w:w="438" w:type="dxa"/>
          <w:wAfter w:w="179" w:type="dxa"/>
          <w:trHeight w:val="1018"/>
        </w:trPr>
        <w:tc>
          <w:tcPr>
            <w:tcW w:w="671" w:type="dxa"/>
            <w:tcMar>
              <w:left w:w="85" w:type="dxa"/>
              <w:right w:w="28" w:type="dxa"/>
            </w:tcMar>
            <w:vAlign w:val="center"/>
          </w:tcPr>
          <w:p w14:paraId="4C9F2B1E" w14:textId="30841357"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145EADA" w14:textId="4D2AF577" w:rsidR="004C15A7" w:rsidRPr="00C64CEF" w:rsidRDefault="00EE6285" w:rsidP="0021786C">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Detektorius</w:t>
            </w:r>
          </w:p>
        </w:tc>
        <w:tc>
          <w:tcPr>
            <w:tcW w:w="4819" w:type="dxa"/>
            <w:tcMar>
              <w:left w:w="85" w:type="dxa"/>
              <w:right w:w="28" w:type="dxa"/>
            </w:tcMar>
            <w:vAlign w:val="center"/>
          </w:tcPr>
          <w:p w14:paraId="7B2FE787" w14:textId="31B96C3B" w:rsidR="004C15A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 xml:space="preserve">Ne blogesnis nei MCT (angl., </w:t>
            </w:r>
            <w:proofErr w:type="spellStart"/>
            <w:r w:rsidRPr="00C64CEF">
              <w:rPr>
                <w:rFonts w:ascii="Times New Roman" w:eastAsia="Times New Roman" w:hAnsi="Times New Roman"/>
                <w:sz w:val="24"/>
                <w:szCs w:val="20"/>
                <w:lang w:eastAsia="lt-LT"/>
              </w:rPr>
              <w:t>Mercury</w:t>
            </w:r>
            <w:proofErr w:type="spellEnd"/>
            <w:r w:rsidRPr="00C64CEF">
              <w:rPr>
                <w:rFonts w:ascii="Times New Roman" w:eastAsia="Times New Roman" w:hAnsi="Times New Roman"/>
                <w:sz w:val="24"/>
                <w:szCs w:val="20"/>
                <w:lang w:eastAsia="lt-LT"/>
              </w:rPr>
              <w:t xml:space="preserve"> </w:t>
            </w:r>
            <w:proofErr w:type="spellStart"/>
            <w:r w:rsidRPr="00C64CEF">
              <w:rPr>
                <w:rFonts w:ascii="Times New Roman" w:eastAsia="Times New Roman" w:hAnsi="Times New Roman"/>
                <w:sz w:val="24"/>
                <w:szCs w:val="20"/>
                <w:lang w:eastAsia="lt-LT"/>
              </w:rPr>
              <w:t>Cadmium</w:t>
            </w:r>
            <w:proofErr w:type="spellEnd"/>
            <w:r w:rsidRPr="00C64CEF">
              <w:rPr>
                <w:rFonts w:ascii="Times New Roman" w:eastAsia="Times New Roman" w:hAnsi="Times New Roman"/>
                <w:sz w:val="24"/>
                <w:szCs w:val="20"/>
                <w:lang w:eastAsia="lt-LT"/>
              </w:rPr>
              <w:t xml:space="preserve"> </w:t>
            </w:r>
            <w:proofErr w:type="spellStart"/>
            <w:r w:rsidRPr="00C64CEF">
              <w:rPr>
                <w:rFonts w:ascii="Times New Roman" w:eastAsia="Times New Roman" w:hAnsi="Times New Roman"/>
                <w:sz w:val="24"/>
                <w:szCs w:val="20"/>
                <w:lang w:eastAsia="lt-LT"/>
              </w:rPr>
              <w:t>Telluride</w:t>
            </w:r>
            <w:proofErr w:type="spellEnd"/>
            <w:r w:rsidRPr="00C64CEF">
              <w:rPr>
                <w:rFonts w:ascii="Times New Roman" w:eastAsia="Times New Roman" w:hAnsi="Times New Roman"/>
                <w:sz w:val="24"/>
                <w:szCs w:val="20"/>
                <w:lang w:eastAsia="lt-LT"/>
              </w:rPr>
              <w:t>) tipo detektorius. Detektoriaus aušinimui/veikimui nereikalingas skystas azotas.</w:t>
            </w:r>
          </w:p>
        </w:tc>
        <w:tc>
          <w:tcPr>
            <w:tcW w:w="2931" w:type="dxa"/>
            <w:tcMar>
              <w:left w:w="85" w:type="dxa"/>
              <w:right w:w="28" w:type="dxa"/>
            </w:tcMar>
          </w:tcPr>
          <w:p w14:paraId="77D22711"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2392F3D3" w14:textId="77777777" w:rsidTr="00BA5D0E">
        <w:trPr>
          <w:gridBefore w:val="1"/>
          <w:gridAfter w:val="1"/>
          <w:wBefore w:w="438" w:type="dxa"/>
          <w:wAfter w:w="179" w:type="dxa"/>
          <w:trHeight w:val="227"/>
        </w:trPr>
        <w:tc>
          <w:tcPr>
            <w:tcW w:w="671" w:type="dxa"/>
            <w:tcMar>
              <w:left w:w="85" w:type="dxa"/>
              <w:right w:w="28" w:type="dxa"/>
            </w:tcMar>
            <w:vAlign w:val="center"/>
          </w:tcPr>
          <w:p w14:paraId="111E63F5" w14:textId="4EFD5C32"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55ED58B6" w14:textId="6CF4187E" w:rsidR="004C15A7" w:rsidRPr="00C64CEF" w:rsidRDefault="00EE6285" w:rsidP="00F16C07">
            <w:pPr>
              <w:spacing w:before="20" w:after="0" w:line="220" w:lineRule="exact"/>
              <w:rPr>
                <w:rFonts w:ascii="Times New Roman" w:hAnsi="Times New Roman"/>
                <w:color w:val="000000"/>
                <w:sz w:val="24"/>
                <w:szCs w:val="24"/>
              </w:rPr>
            </w:pPr>
            <w:proofErr w:type="spellStart"/>
            <w:r w:rsidRPr="00C64CEF">
              <w:rPr>
                <w:rFonts w:ascii="Times New Roman" w:hAnsi="Times New Roman"/>
                <w:color w:val="000000"/>
                <w:sz w:val="24"/>
                <w:szCs w:val="24"/>
              </w:rPr>
              <w:t>Interferometras</w:t>
            </w:r>
            <w:proofErr w:type="spellEnd"/>
          </w:p>
        </w:tc>
        <w:tc>
          <w:tcPr>
            <w:tcW w:w="4819" w:type="dxa"/>
            <w:tcMar>
              <w:left w:w="85" w:type="dxa"/>
              <w:right w:w="28" w:type="dxa"/>
            </w:tcMar>
            <w:vAlign w:val="center"/>
          </w:tcPr>
          <w:p w14:paraId="12789348" w14:textId="1FC615B0" w:rsidR="004C15A7" w:rsidRPr="00C64CEF" w:rsidRDefault="00CD62B4" w:rsidP="0050774A">
            <w:pPr>
              <w:spacing w:before="20" w:after="0" w:line="240" w:lineRule="auto"/>
              <w:rPr>
                <w:rFonts w:ascii="Times New Roman" w:hAnsi="Times New Roman"/>
                <w:color w:val="000000"/>
                <w:sz w:val="24"/>
                <w:szCs w:val="24"/>
              </w:rPr>
            </w:pPr>
            <w:proofErr w:type="spellStart"/>
            <w:r w:rsidRPr="00C64CEF">
              <w:rPr>
                <w:rFonts w:ascii="Times New Roman" w:eastAsia="Times New Roman" w:hAnsi="Times New Roman"/>
                <w:sz w:val="24"/>
                <w:szCs w:val="20"/>
                <w:lang w:eastAsia="lt-LT"/>
              </w:rPr>
              <w:t>Interferometras</w:t>
            </w:r>
            <w:proofErr w:type="spellEnd"/>
            <w:r w:rsidRPr="00C64CEF">
              <w:rPr>
                <w:rFonts w:ascii="Times New Roman" w:eastAsia="Times New Roman" w:hAnsi="Times New Roman"/>
                <w:sz w:val="24"/>
                <w:szCs w:val="20"/>
                <w:lang w:eastAsia="lt-LT"/>
              </w:rPr>
              <w:t xml:space="preserve"> privalo būti pastoviai suderintas, ilgaamžis, nereikalaujantis papildomo rankinio derinimo ar </w:t>
            </w:r>
            <w:proofErr w:type="spellStart"/>
            <w:r w:rsidRPr="00C64CEF">
              <w:rPr>
                <w:rFonts w:ascii="Times New Roman" w:eastAsia="Times New Roman" w:hAnsi="Times New Roman"/>
                <w:sz w:val="24"/>
                <w:szCs w:val="20"/>
                <w:lang w:eastAsia="lt-LT"/>
              </w:rPr>
              <w:t>elektro</w:t>
            </w:r>
            <w:proofErr w:type="spellEnd"/>
            <w:r w:rsidR="007B0B3F" w:rsidRPr="00C64CEF">
              <w:rPr>
                <w:rFonts w:ascii="Times New Roman" w:eastAsia="Times New Roman" w:hAnsi="Times New Roman"/>
                <w:sz w:val="24"/>
                <w:szCs w:val="20"/>
                <w:lang w:eastAsia="lt-LT"/>
              </w:rPr>
              <w:t>-</w:t>
            </w:r>
            <w:r w:rsidRPr="00C64CEF">
              <w:rPr>
                <w:rFonts w:ascii="Times New Roman" w:eastAsia="Times New Roman" w:hAnsi="Times New Roman"/>
                <w:sz w:val="24"/>
                <w:szCs w:val="20"/>
                <w:lang w:eastAsia="lt-LT"/>
              </w:rPr>
              <w:t>mechaninių derinimo sistemų darbo metu.</w:t>
            </w:r>
          </w:p>
        </w:tc>
        <w:tc>
          <w:tcPr>
            <w:tcW w:w="2931" w:type="dxa"/>
            <w:tcMar>
              <w:left w:w="85" w:type="dxa"/>
              <w:right w:w="28" w:type="dxa"/>
            </w:tcMar>
          </w:tcPr>
          <w:p w14:paraId="36B6F2F2"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6F9AB1B1" w14:textId="77777777" w:rsidTr="00BA5D0E">
        <w:trPr>
          <w:gridBefore w:val="1"/>
          <w:gridAfter w:val="1"/>
          <w:wBefore w:w="438" w:type="dxa"/>
          <w:wAfter w:w="179" w:type="dxa"/>
          <w:trHeight w:val="1450"/>
        </w:trPr>
        <w:tc>
          <w:tcPr>
            <w:tcW w:w="671" w:type="dxa"/>
            <w:tcMar>
              <w:left w:w="85" w:type="dxa"/>
              <w:right w:w="28" w:type="dxa"/>
            </w:tcMar>
            <w:vAlign w:val="center"/>
          </w:tcPr>
          <w:p w14:paraId="57A0AB2F" w14:textId="7C142B10"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49D4197E" w14:textId="50A4EF44" w:rsidR="004C15A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Dujų celė</w:t>
            </w:r>
          </w:p>
        </w:tc>
        <w:tc>
          <w:tcPr>
            <w:tcW w:w="4819" w:type="dxa"/>
            <w:tcMar>
              <w:left w:w="85" w:type="dxa"/>
              <w:right w:w="28" w:type="dxa"/>
            </w:tcMar>
            <w:vAlign w:val="center"/>
          </w:tcPr>
          <w:p w14:paraId="52185991" w14:textId="308541DE" w:rsidR="004C15A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Ne trumpesnio nei 5 m optinio kelio dujų celė. Celės temperatūra turi būti reguliuojama iki ne mažiau nei 180 ˚C. Atlaikomas slėgis ne mažiau nei 2 barai. Turi būti su srauto, slėgio ir temperatūros matuokliais.</w:t>
            </w:r>
          </w:p>
        </w:tc>
        <w:tc>
          <w:tcPr>
            <w:tcW w:w="2931" w:type="dxa"/>
            <w:tcMar>
              <w:left w:w="85" w:type="dxa"/>
              <w:right w:w="28" w:type="dxa"/>
            </w:tcMar>
          </w:tcPr>
          <w:p w14:paraId="0B30F103"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1BC374EA" w14:textId="77777777" w:rsidTr="00BA5D0E">
        <w:trPr>
          <w:gridBefore w:val="1"/>
          <w:gridAfter w:val="1"/>
          <w:wBefore w:w="438" w:type="dxa"/>
          <w:wAfter w:w="179" w:type="dxa"/>
          <w:trHeight w:val="1302"/>
        </w:trPr>
        <w:tc>
          <w:tcPr>
            <w:tcW w:w="671" w:type="dxa"/>
            <w:tcMar>
              <w:left w:w="85" w:type="dxa"/>
              <w:right w:w="28" w:type="dxa"/>
            </w:tcMar>
            <w:vAlign w:val="center"/>
          </w:tcPr>
          <w:p w14:paraId="1C9FB695" w14:textId="5FD7C646"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362C3F88" w14:textId="16E87F21" w:rsidR="004C15A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Optika</w:t>
            </w:r>
          </w:p>
        </w:tc>
        <w:tc>
          <w:tcPr>
            <w:tcW w:w="4819" w:type="dxa"/>
            <w:tcMar>
              <w:left w:w="85" w:type="dxa"/>
              <w:right w:w="28" w:type="dxa"/>
            </w:tcMar>
            <w:vAlign w:val="center"/>
          </w:tcPr>
          <w:p w14:paraId="1711A0BF" w14:textId="12C07172" w:rsidR="004C15A7" w:rsidRPr="00C64CEF" w:rsidRDefault="00CD62B4" w:rsidP="0050774A">
            <w:pPr>
              <w:spacing w:before="20" w:after="0" w:line="240" w:lineRule="auto"/>
              <w:rPr>
                <w:rFonts w:ascii="Times New Roman" w:hAnsi="Times New Roman"/>
                <w:sz w:val="24"/>
                <w:szCs w:val="24"/>
              </w:rPr>
            </w:pPr>
            <w:r w:rsidRPr="00C64CEF">
              <w:rPr>
                <w:rFonts w:ascii="Times New Roman" w:eastAsia="Times New Roman" w:hAnsi="Times New Roman"/>
                <w:sz w:val="24"/>
                <w:szCs w:val="20"/>
                <w:lang w:eastAsia="lt-LT"/>
              </w:rPr>
              <w:t>Ne pras</w:t>
            </w:r>
            <w:r w:rsidR="00961AD1">
              <w:rPr>
                <w:rFonts w:ascii="Times New Roman" w:eastAsia="Times New Roman" w:hAnsi="Times New Roman"/>
                <w:sz w:val="24"/>
                <w:szCs w:val="20"/>
                <w:lang w:eastAsia="lt-LT"/>
              </w:rPr>
              <w:t>tesni</w:t>
            </w:r>
            <w:r w:rsidRPr="00C64CEF">
              <w:rPr>
                <w:rFonts w:ascii="Times New Roman" w:eastAsia="Times New Roman" w:hAnsi="Times New Roman"/>
                <w:sz w:val="24"/>
                <w:szCs w:val="20"/>
                <w:lang w:eastAsia="lt-LT"/>
              </w:rPr>
              <w:t xml:space="preserve"> nei auksu dengti spektrometro optikos elementai bei drėgmei atsparūs </w:t>
            </w:r>
            <w:proofErr w:type="spellStart"/>
            <w:r w:rsidRPr="00C64CEF">
              <w:rPr>
                <w:rFonts w:ascii="Times New Roman" w:eastAsia="Times New Roman" w:hAnsi="Times New Roman"/>
                <w:sz w:val="24"/>
                <w:szCs w:val="20"/>
                <w:lang w:eastAsia="lt-LT"/>
              </w:rPr>
              <w:t>ZnSe</w:t>
            </w:r>
            <w:proofErr w:type="spellEnd"/>
            <w:r w:rsidRPr="00C64CEF">
              <w:rPr>
                <w:rFonts w:ascii="Times New Roman" w:eastAsia="Times New Roman" w:hAnsi="Times New Roman"/>
                <w:sz w:val="24"/>
                <w:szCs w:val="20"/>
                <w:lang w:eastAsia="lt-LT"/>
              </w:rPr>
              <w:t xml:space="preserve"> langeliai. Turi būti gamintojo numatyta galimybė pakeisti langelius į BaF</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w:t>
            </w:r>
          </w:p>
        </w:tc>
        <w:tc>
          <w:tcPr>
            <w:tcW w:w="2931" w:type="dxa"/>
            <w:tcMar>
              <w:left w:w="85" w:type="dxa"/>
              <w:right w:w="28" w:type="dxa"/>
            </w:tcMar>
          </w:tcPr>
          <w:p w14:paraId="1A5075CA"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18E20469" w14:textId="77777777" w:rsidTr="00BA5D0E">
        <w:trPr>
          <w:gridBefore w:val="1"/>
          <w:gridAfter w:val="1"/>
          <w:wBefore w:w="438" w:type="dxa"/>
          <w:wAfter w:w="179" w:type="dxa"/>
          <w:trHeight w:val="227"/>
        </w:trPr>
        <w:tc>
          <w:tcPr>
            <w:tcW w:w="671" w:type="dxa"/>
            <w:tcMar>
              <w:left w:w="85" w:type="dxa"/>
              <w:right w:w="28" w:type="dxa"/>
            </w:tcMar>
            <w:vAlign w:val="center"/>
          </w:tcPr>
          <w:p w14:paraId="34690721" w14:textId="18111DD7"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3C4359D3" w14:textId="138B14C2" w:rsidR="004C15A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Dujų įvedimas</w:t>
            </w:r>
          </w:p>
        </w:tc>
        <w:tc>
          <w:tcPr>
            <w:tcW w:w="4819" w:type="dxa"/>
            <w:tcMar>
              <w:left w:w="85" w:type="dxa"/>
              <w:right w:w="28" w:type="dxa"/>
            </w:tcMar>
            <w:vAlign w:val="center"/>
          </w:tcPr>
          <w:p w14:paraId="04FAC8F5" w14:textId="74DEB290" w:rsidR="004C15A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 xml:space="preserve">Turi būti numatytas mėginio (dujų) įvedimas standartinėmis 6 mm nerūdijančio plieno </w:t>
            </w:r>
            <w:r w:rsidR="007B0B3F" w:rsidRPr="00C64CEF">
              <w:rPr>
                <w:rFonts w:ascii="Times New Roman" w:eastAsia="Times New Roman" w:hAnsi="Times New Roman"/>
                <w:sz w:val="24"/>
                <w:szCs w:val="20"/>
                <w:lang w:eastAsia="lt-LT"/>
              </w:rPr>
              <w:t xml:space="preserve">(SS) </w:t>
            </w:r>
            <w:r w:rsidRPr="00C64CEF">
              <w:rPr>
                <w:rFonts w:ascii="Times New Roman" w:eastAsia="Times New Roman" w:hAnsi="Times New Roman"/>
                <w:sz w:val="24"/>
                <w:szCs w:val="20"/>
                <w:lang w:eastAsia="lt-LT"/>
              </w:rPr>
              <w:t xml:space="preserve">jungtimis. Kartu su sistema pateikiama SS tipo ne trumpesnė nei 5 metrų </w:t>
            </w:r>
            <w:proofErr w:type="spellStart"/>
            <w:r w:rsidRPr="00C64CEF">
              <w:rPr>
                <w:rFonts w:ascii="Times New Roman" w:eastAsia="Times New Roman" w:hAnsi="Times New Roman"/>
                <w:sz w:val="24"/>
                <w:szCs w:val="20"/>
                <w:lang w:eastAsia="lt-LT"/>
              </w:rPr>
              <w:t>termostatuojama</w:t>
            </w:r>
            <w:proofErr w:type="spellEnd"/>
            <w:r w:rsidRPr="00C64CEF">
              <w:rPr>
                <w:rFonts w:ascii="Times New Roman" w:eastAsia="Times New Roman" w:hAnsi="Times New Roman"/>
                <w:sz w:val="24"/>
                <w:szCs w:val="20"/>
                <w:lang w:eastAsia="lt-LT"/>
              </w:rPr>
              <w:t xml:space="preserve"> įvestis ir ne trumpesnė nei 1 m išvestis. Kontroliuojama įvesties temperatūra ne mažesnė nei iki 180 ˚C.</w:t>
            </w:r>
          </w:p>
        </w:tc>
        <w:tc>
          <w:tcPr>
            <w:tcW w:w="2931" w:type="dxa"/>
            <w:tcMar>
              <w:left w:w="85" w:type="dxa"/>
              <w:right w:w="28" w:type="dxa"/>
            </w:tcMar>
          </w:tcPr>
          <w:p w14:paraId="23FC15EE" w14:textId="77777777" w:rsidR="004C15A7" w:rsidRPr="00C64CEF" w:rsidRDefault="004C15A7" w:rsidP="00F16C07">
            <w:pPr>
              <w:spacing w:after="0" w:line="220" w:lineRule="exact"/>
              <w:rPr>
                <w:rFonts w:ascii="Times New Roman" w:hAnsi="Times New Roman"/>
                <w:color w:val="000000"/>
                <w:sz w:val="24"/>
                <w:szCs w:val="24"/>
              </w:rPr>
            </w:pPr>
          </w:p>
        </w:tc>
      </w:tr>
      <w:tr w:rsidR="004C15A7" w:rsidRPr="00C64CEF" w14:paraId="3A164D5D" w14:textId="77777777" w:rsidTr="00BA5D0E">
        <w:trPr>
          <w:gridBefore w:val="1"/>
          <w:gridAfter w:val="1"/>
          <w:wBefore w:w="438" w:type="dxa"/>
          <w:wAfter w:w="179" w:type="dxa"/>
          <w:trHeight w:hRule="exact" w:val="3964"/>
        </w:trPr>
        <w:tc>
          <w:tcPr>
            <w:tcW w:w="671" w:type="dxa"/>
            <w:tcMar>
              <w:left w:w="85" w:type="dxa"/>
              <w:right w:w="28" w:type="dxa"/>
            </w:tcMar>
            <w:vAlign w:val="center"/>
          </w:tcPr>
          <w:p w14:paraId="31CFE56B" w14:textId="1448C6E7"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0FA11955" w14:textId="70C9F911" w:rsidR="004C15A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Matavimas</w:t>
            </w:r>
            <w:r w:rsidR="00CD62B4" w:rsidRPr="00C64CEF">
              <w:rPr>
                <w:rFonts w:ascii="Times New Roman" w:hAnsi="Times New Roman"/>
                <w:color w:val="000000"/>
                <w:sz w:val="24"/>
                <w:szCs w:val="24"/>
              </w:rPr>
              <w:t xml:space="preserve"> ir analizė</w:t>
            </w:r>
          </w:p>
        </w:tc>
        <w:tc>
          <w:tcPr>
            <w:tcW w:w="4819" w:type="dxa"/>
            <w:tcMar>
              <w:left w:w="85" w:type="dxa"/>
              <w:right w:w="28" w:type="dxa"/>
            </w:tcMar>
            <w:vAlign w:val="center"/>
          </w:tcPr>
          <w:p w14:paraId="00040BBA" w14:textId="22E91E6F" w:rsidR="00CD62B4" w:rsidRPr="00C64CEF" w:rsidRDefault="00CD62B4" w:rsidP="0050774A">
            <w:pPr>
              <w:spacing w:before="20" w:after="0" w:line="240" w:lineRule="auto"/>
              <w:rPr>
                <w:rFonts w:ascii="Times New Roman" w:eastAsia="Times New Roman" w:hAnsi="Times New Roman"/>
                <w:sz w:val="24"/>
                <w:szCs w:val="20"/>
                <w:lang w:eastAsia="lt-LT"/>
              </w:rPr>
            </w:pPr>
            <w:r w:rsidRPr="00C64CEF">
              <w:rPr>
                <w:rFonts w:ascii="Times New Roman" w:eastAsia="Times New Roman" w:hAnsi="Times New Roman"/>
                <w:sz w:val="24"/>
                <w:szCs w:val="20"/>
                <w:lang w:eastAsia="lt-LT"/>
              </w:rPr>
              <w:t>Nustatomų dujų koncentracijos turi būti įvertinamos ir pateikiamos realiu laiku. Kiekybiniai analičių matavimo metodai dujų mišiniuose turi būti sudaromi be kalibravimo standartų, pasirenkant dujų medžiagas iš spektrų bibliotekos. Turi būti galima pakartotinė surinktų spektrinių duomenų analizė bet kuriuo metu neatliekant papildomo matavimo (pavyzdžiui, atnaujinus spektrų biblioteką papildomų dujų spektrais).</w:t>
            </w:r>
          </w:p>
          <w:p w14:paraId="32559517" w14:textId="411C8282" w:rsidR="004C15A7" w:rsidRPr="00C64CEF" w:rsidRDefault="00CD62B4" w:rsidP="0050774A">
            <w:pPr>
              <w:spacing w:before="20" w:after="0" w:line="240" w:lineRule="auto"/>
              <w:rPr>
                <w:rFonts w:ascii="Times New Roman" w:eastAsia="Times New Roman" w:hAnsi="Times New Roman"/>
                <w:sz w:val="24"/>
                <w:szCs w:val="20"/>
                <w:lang w:eastAsia="lt-LT"/>
              </w:rPr>
            </w:pPr>
            <w:r w:rsidRPr="00C64CEF">
              <w:rPr>
                <w:rFonts w:ascii="Times New Roman" w:eastAsia="Times New Roman" w:hAnsi="Times New Roman"/>
                <w:sz w:val="24"/>
                <w:szCs w:val="20"/>
                <w:lang w:eastAsia="lt-LT"/>
              </w:rPr>
              <w:t>Turi būti galima matuoti žemesn</w:t>
            </w:r>
            <w:r w:rsidR="00961AD1">
              <w:rPr>
                <w:rFonts w:ascii="Times New Roman" w:eastAsia="Times New Roman" w:hAnsi="Times New Roman"/>
                <w:sz w:val="24"/>
                <w:szCs w:val="20"/>
                <w:lang w:eastAsia="lt-LT"/>
              </w:rPr>
              <w:t>e</w:t>
            </w:r>
            <w:r w:rsidRPr="00C64CEF">
              <w:rPr>
                <w:rFonts w:ascii="Times New Roman" w:eastAsia="Times New Roman" w:hAnsi="Times New Roman"/>
                <w:sz w:val="24"/>
                <w:szCs w:val="20"/>
                <w:lang w:eastAsia="lt-LT"/>
              </w:rPr>
              <w:t>s nei ore esančio anglies dvideginio bei vandens garų koncentracijas nenaudojant papildomų dujų.</w:t>
            </w:r>
          </w:p>
        </w:tc>
        <w:tc>
          <w:tcPr>
            <w:tcW w:w="2931" w:type="dxa"/>
            <w:tcMar>
              <w:left w:w="85" w:type="dxa"/>
              <w:right w:w="28" w:type="dxa"/>
            </w:tcMar>
          </w:tcPr>
          <w:p w14:paraId="18456A93" w14:textId="77777777" w:rsidR="004C15A7" w:rsidRPr="00C64CEF" w:rsidRDefault="004C15A7" w:rsidP="00F16C07">
            <w:pPr>
              <w:spacing w:before="20" w:after="0" w:line="220" w:lineRule="exact"/>
              <w:rPr>
                <w:rFonts w:ascii="Times New Roman" w:hAnsi="Times New Roman"/>
                <w:color w:val="000000"/>
                <w:sz w:val="24"/>
                <w:szCs w:val="24"/>
              </w:rPr>
            </w:pPr>
          </w:p>
        </w:tc>
      </w:tr>
      <w:tr w:rsidR="008E2697" w:rsidRPr="00C64CEF" w14:paraId="1C2FEC34" w14:textId="77777777" w:rsidTr="00BA5D0E">
        <w:trPr>
          <w:gridBefore w:val="1"/>
          <w:gridAfter w:val="1"/>
          <w:wBefore w:w="438" w:type="dxa"/>
          <w:wAfter w:w="179" w:type="dxa"/>
          <w:trHeight w:hRule="exact" w:val="929"/>
        </w:trPr>
        <w:tc>
          <w:tcPr>
            <w:tcW w:w="671" w:type="dxa"/>
            <w:tcMar>
              <w:left w:w="85" w:type="dxa"/>
              <w:right w:w="28" w:type="dxa"/>
            </w:tcMar>
            <w:vAlign w:val="center"/>
          </w:tcPr>
          <w:p w14:paraId="04A2B8F6" w14:textId="4DA049DD" w:rsidR="008E2697" w:rsidRPr="00C64CEF" w:rsidRDefault="008E269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719E767A" w14:textId="6B7BFFD0" w:rsidR="008E2697" w:rsidRPr="00C64CEF" w:rsidRDefault="00EE6285"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Komunikacija</w:t>
            </w:r>
            <w:r w:rsidR="00CD62B4" w:rsidRPr="00C64CEF">
              <w:rPr>
                <w:rFonts w:ascii="Times New Roman" w:hAnsi="Times New Roman"/>
                <w:color w:val="000000"/>
                <w:sz w:val="24"/>
                <w:szCs w:val="24"/>
              </w:rPr>
              <w:t xml:space="preserve"> (sąsaja)</w:t>
            </w:r>
          </w:p>
        </w:tc>
        <w:tc>
          <w:tcPr>
            <w:tcW w:w="4819" w:type="dxa"/>
            <w:tcMar>
              <w:left w:w="85" w:type="dxa"/>
              <w:right w:w="28" w:type="dxa"/>
            </w:tcMar>
            <w:vAlign w:val="center"/>
          </w:tcPr>
          <w:p w14:paraId="55D39E91" w14:textId="16102D2A" w:rsidR="008E269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 xml:space="preserve">Spektrometras ir kompiuteris sujungiami per </w:t>
            </w:r>
            <w:proofErr w:type="spellStart"/>
            <w:r w:rsidRPr="00C64CEF">
              <w:rPr>
                <w:rFonts w:ascii="Times New Roman" w:eastAsia="Times New Roman" w:hAnsi="Times New Roman"/>
                <w:sz w:val="24"/>
                <w:szCs w:val="20"/>
                <w:lang w:eastAsia="lt-LT"/>
              </w:rPr>
              <w:t>Ethernet</w:t>
            </w:r>
            <w:proofErr w:type="spellEnd"/>
            <w:r w:rsidRPr="00C64CEF">
              <w:rPr>
                <w:rFonts w:ascii="Times New Roman" w:eastAsia="Times New Roman" w:hAnsi="Times New Roman"/>
                <w:sz w:val="24"/>
                <w:szCs w:val="20"/>
                <w:lang w:eastAsia="lt-LT"/>
              </w:rPr>
              <w:t xml:space="preserve"> protokolo sąsają ar spartesnę. Turi būti galima kontroliuoti sistema per tinklą.</w:t>
            </w:r>
          </w:p>
        </w:tc>
        <w:tc>
          <w:tcPr>
            <w:tcW w:w="2931" w:type="dxa"/>
            <w:tcMar>
              <w:left w:w="85" w:type="dxa"/>
              <w:right w:w="28" w:type="dxa"/>
            </w:tcMar>
          </w:tcPr>
          <w:p w14:paraId="32770CB9" w14:textId="77777777" w:rsidR="008E2697" w:rsidRPr="00C64CEF" w:rsidRDefault="008E2697" w:rsidP="00F16C07">
            <w:pPr>
              <w:spacing w:before="20" w:after="0" w:line="220" w:lineRule="exact"/>
              <w:rPr>
                <w:rFonts w:ascii="Times New Roman" w:hAnsi="Times New Roman"/>
                <w:color w:val="000000"/>
                <w:sz w:val="24"/>
                <w:szCs w:val="24"/>
              </w:rPr>
            </w:pPr>
          </w:p>
        </w:tc>
      </w:tr>
      <w:tr w:rsidR="004C15A7" w:rsidRPr="00C64CEF" w14:paraId="5E898EB5" w14:textId="77777777" w:rsidTr="00BA5D0E">
        <w:trPr>
          <w:gridBefore w:val="1"/>
          <w:gridAfter w:val="1"/>
          <w:wBefore w:w="438" w:type="dxa"/>
          <w:wAfter w:w="179" w:type="dxa"/>
          <w:trHeight w:hRule="exact" w:val="3199"/>
        </w:trPr>
        <w:tc>
          <w:tcPr>
            <w:tcW w:w="671" w:type="dxa"/>
            <w:tcMar>
              <w:left w:w="85" w:type="dxa"/>
              <w:right w:w="28" w:type="dxa"/>
            </w:tcMar>
            <w:vAlign w:val="center"/>
          </w:tcPr>
          <w:p w14:paraId="758535F1" w14:textId="710B5196" w:rsidR="004C15A7" w:rsidRPr="00C64CEF" w:rsidRDefault="004C15A7" w:rsidP="002D3B1F">
            <w:pPr>
              <w:numPr>
                <w:ilvl w:val="0"/>
                <w:numId w:val="20"/>
              </w:numPr>
              <w:spacing w:before="20" w:after="0" w:line="220" w:lineRule="exact"/>
              <w:ind w:left="470" w:hanging="357"/>
              <w:rPr>
                <w:rFonts w:ascii="Times New Roman" w:hAnsi="Times New Roman"/>
                <w:sz w:val="24"/>
                <w:szCs w:val="24"/>
              </w:rPr>
            </w:pPr>
          </w:p>
        </w:tc>
        <w:tc>
          <w:tcPr>
            <w:tcW w:w="1843" w:type="dxa"/>
            <w:tcMar>
              <w:left w:w="85" w:type="dxa"/>
              <w:right w:w="28" w:type="dxa"/>
            </w:tcMar>
            <w:vAlign w:val="center"/>
          </w:tcPr>
          <w:p w14:paraId="12736174" w14:textId="1A7A269F" w:rsidR="004C15A7" w:rsidRPr="00C64CEF" w:rsidRDefault="00CD62B4" w:rsidP="00F16C07">
            <w:pPr>
              <w:spacing w:before="20" w:after="0" w:line="220" w:lineRule="exact"/>
              <w:rPr>
                <w:rFonts w:ascii="Times New Roman" w:hAnsi="Times New Roman"/>
                <w:color w:val="000000"/>
                <w:sz w:val="24"/>
                <w:szCs w:val="24"/>
              </w:rPr>
            </w:pPr>
            <w:r w:rsidRPr="00C64CEF">
              <w:rPr>
                <w:rFonts w:ascii="Times New Roman" w:hAnsi="Times New Roman"/>
                <w:color w:val="000000"/>
                <w:sz w:val="24"/>
                <w:szCs w:val="24"/>
              </w:rPr>
              <w:t>Spektrinė b</w:t>
            </w:r>
            <w:r w:rsidR="00EE6285" w:rsidRPr="00C64CEF">
              <w:rPr>
                <w:rFonts w:ascii="Times New Roman" w:hAnsi="Times New Roman"/>
                <w:color w:val="000000"/>
                <w:sz w:val="24"/>
                <w:szCs w:val="24"/>
              </w:rPr>
              <w:t>ibliotek</w:t>
            </w:r>
            <w:r w:rsidRPr="00C64CEF">
              <w:rPr>
                <w:rFonts w:ascii="Times New Roman" w:hAnsi="Times New Roman"/>
                <w:color w:val="000000"/>
                <w:sz w:val="24"/>
                <w:szCs w:val="24"/>
              </w:rPr>
              <w:t>a</w:t>
            </w:r>
          </w:p>
        </w:tc>
        <w:tc>
          <w:tcPr>
            <w:tcW w:w="4819" w:type="dxa"/>
            <w:tcMar>
              <w:left w:w="85" w:type="dxa"/>
              <w:right w:w="28" w:type="dxa"/>
            </w:tcMar>
            <w:vAlign w:val="center"/>
          </w:tcPr>
          <w:p w14:paraId="6FEE78BD" w14:textId="3D2B8D7B" w:rsidR="00CD62B4" w:rsidRPr="00C64CEF" w:rsidRDefault="00CD62B4" w:rsidP="0050774A">
            <w:pPr>
              <w:spacing w:before="20" w:after="0" w:line="240" w:lineRule="auto"/>
              <w:rPr>
                <w:rFonts w:ascii="Times New Roman" w:eastAsia="Times New Roman" w:hAnsi="Times New Roman"/>
                <w:sz w:val="24"/>
                <w:szCs w:val="20"/>
                <w:lang w:eastAsia="lt-LT"/>
              </w:rPr>
            </w:pPr>
            <w:r w:rsidRPr="00C64CEF">
              <w:rPr>
                <w:rFonts w:ascii="Times New Roman" w:eastAsia="Times New Roman" w:hAnsi="Times New Roman"/>
                <w:sz w:val="24"/>
                <w:szCs w:val="20"/>
                <w:lang w:eastAsia="lt-LT"/>
              </w:rPr>
              <w:t>Su sistema turi būti pateikiama dujų spektrų biblioteka kiekybinių metodų kūrimui. Bibliotekoje tu</w:t>
            </w:r>
            <w:r w:rsidR="00961AD1">
              <w:rPr>
                <w:rFonts w:ascii="Times New Roman" w:eastAsia="Times New Roman" w:hAnsi="Times New Roman"/>
                <w:sz w:val="24"/>
                <w:szCs w:val="20"/>
                <w:lang w:eastAsia="lt-LT"/>
              </w:rPr>
              <w:t>ri</w:t>
            </w:r>
            <w:r w:rsidRPr="00C64CEF">
              <w:rPr>
                <w:rFonts w:ascii="Times New Roman" w:eastAsia="Times New Roman" w:hAnsi="Times New Roman"/>
                <w:sz w:val="24"/>
                <w:szCs w:val="20"/>
                <w:lang w:eastAsia="lt-LT"/>
              </w:rPr>
              <w:t xml:space="preserve"> būti ne mažiau nei 400 junginių. Turi būti galima papildyti biblioteką išmatuotais žinomos sudėties dujų spektrais. Biblioteką sudarančių junginių sąrašas turi būti pateikiamas su pasiūlymu.</w:t>
            </w:r>
          </w:p>
          <w:p w14:paraId="6F6E5F34" w14:textId="2A9ADE6D" w:rsidR="004C15A7" w:rsidRPr="00C64CEF" w:rsidRDefault="00CD62B4" w:rsidP="0050774A">
            <w:pPr>
              <w:spacing w:before="20" w:after="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Bibliotekoje privalo būti šie junginiai: CO, CO</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 H</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O, N</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O, NO, NO</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 SO</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 xml:space="preserve">, </w:t>
            </w:r>
            <w:proofErr w:type="spellStart"/>
            <w:r w:rsidRPr="00C64CEF">
              <w:rPr>
                <w:rFonts w:ascii="Times New Roman" w:eastAsia="Times New Roman" w:hAnsi="Times New Roman"/>
                <w:sz w:val="24"/>
                <w:szCs w:val="20"/>
                <w:lang w:eastAsia="lt-LT"/>
              </w:rPr>
              <w:t>HCl</w:t>
            </w:r>
            <w:proofErr w:type="spellEnd"/>
            <w:r w:rsidRPr="00C64CEF">
              <w:rPr>
                <w:rFonts w:ascii="Times New Roman" w:eastAsia="Times New Roman" w:hAnsi="Times New Roman"/>
                <w:sz w:val="24"/>
                <w:szCs w:val="20"/>
                <w:lang w:eastAsia="lt-LT"/>
              </w:rPr>
              <w:t>, HF, CH</w:t>
            </w:r>
            <w:r w:rsidRPr="00C64CEF">
              <w:rPr>
                <w:rFonts w:ascii="Times New Roman" w:eastAsia="Times New Roman" w:hAnsi="Times New Roman"/>
                <w:sz w:val="24"/>
                <w:szCs w:val="20"/>
                <w:vertAlign w:val="subscript"/>
                <w:lang w:eastAsia="lt-LT"/>
              </w:rPr>
              <w:t>4</w:t>
            </w:r>
            <w:r w:rsidRPr="00C64CEF">
              <w:rPr>
                <w:rFonts w:ascii="Times New Roman" w:eastAsia="Times New Roman" w:hAnsi="Times New Roman"/>
                <w:sz w:val="24"/>
                <w:szCs w:val="20"/>
                <w:lang w:eastAsia="lt-LT"/>
              </w:rPr>
              <w:t>, C</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H</w:t>
            </w:r>
            <w:r w:rsidRPr="00C64CEF">
              <w:rPr>
                <w:rFonts w:ascii="Times New Roman" w:eastAsia="Times New Roman" w:hAnsi="Times New Roman"/>
                <w:sz w:val="24"/>
                <w:szCs w:val="20"/>
                <w:vertAlign w:val="subscript"/>
                <w:lang w:eastAsia="lt-LT"/>
              </w:rPr>
              <w:t>4</w:t>
            </w:r>
            <w:r w:rsidRPr="00C64CEF">
              <w:rPr>
                <w:rFonts w:ascii="Times New Roman" w:eastAsia="Times New Roman" w:hAnsi="Times New Roman"/>
                <w:sz w:val="24"/>
                <w:szCs w:val="20"/>
                <w:lang w:eastAsia="lt-LT"/>
              </w:rPr>
              <w:t>, C</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H</w:t>
            </w:r>
            <w:r w:rsidRPr="00C64CEF">
              <w:rPr>
                <w:rFonts w:ascii="Times New Roman" w:eastAsia="Times New Roman" w:hAnsi="Times New Roman"/>
                <w:sz w:val="24"/>
                <w:szCs w:val="20"/>
                <w:vertAlign w:val="subscript"/>
                <w:lang w:eastAsia="lt-LT"/>
              </w:rPr>
              <w:t>6</w:t>
            </w:r>
            <w:r w:rsidRPr="00C64CEF">
              <w:rPr>
                <w:rFonts w:ascii="Times New Roman" w:eastAsia="Times New Roman" w:hAnsi="Times New Roman"/>
                <w:sz w:val="24"/>
                <w:szCs w:val="20"/>
                <w:lang w:eastAsia="lt-LT"/>
              </w:rPr>
              <w:t>, C</w:t>
            </w:r>
            <w:r w:rsidRPr="00C64CEF">
              <w:rPr>
                <w:rFonts w:ascii="Times New Roman" w:eastAsia="Times New Roman" w:hAnsi="Times New Roman"/>
                <w:sz w:val="24"/>
                <w:szCs w:val="20"/>
                <w:vertAlign w:val="subscript"/>
                <w:lang w:eastAsia="lt-LT"/>
              </w:rPr>
              <w:t>3</w:t>
            </w:r>
            <w:r w:rsidRPr="00C64CEF">
              <w:rPr>
                <w:rFonts w:ascii="Times New Roman" w:eastAsia="Times New Roman" w:hAnsi="Times New Roman"/>
                <w:sz w:val="24"/>
                <w:szCs w:val="20"/>
                <w:lang w:eastAsia="lt-LT"/>
              </w:rPr>
              <w:t>H</w:t>
            </w:r>
            <w:r w:rsidRPr="00C64CEF">
              <w:rPr>
                <w:rFonts w:ascii="Times New Roman" w:eastAsia="Times New Roman" w:hAnsi="Times New Roman"/>
                <w:sz w:val="24"/>
                <w:szCs w:val="20"/>
                <w:vertAlign w:val="subscript"/>
                <w:lang w:eastAsia="lt-LT"/>
              </w:rPr>
              <w:t>8</w:t>
            </w:r>
            <w:r w:rsidRPr="00C64CEF">
              <w:rPr>
                <w:rFonts w:ascii="Times New Roman" w:eastAsia="Times New Roman" w:hAnsi="Times New Roman"/>
                <w:sz w:val="24"/>
                <w:szCs w:val="20"/>
                <w:lang w:eastAsia="lt-LT"/>
              </w:rPr>
              <w:t>, C</w:t>
            </w:r>
            <w:r w:rsidRPr="00C64CEF">
              <w:rPr>
                <w:rFonts w:ascii="Times New Roman" w:eastAsia="Times New Roman" w:hAnsi="Times New Roman"/>
                <w:sz w:val="24"/>
                <w:szCs w:val="20"/>
                <w:vertAlign w:val="subscript"/>
                <w:lang w:eastAsia="lt-LT"/>
              </w:rPr>
              <w:t>6</w:t>
            </w:r>
            <w:r w:rsidRPr="00C64CEF">
              <w:rPr>
                <w:rFonts w:ascii="Times New Roman" w:eastAsia="Times New Roman" w:hAnsi="Times New Roman"/>
                <w:sz w:val="24"/>
                <w:szCs w:val="20"/>
                <w:lang w:eastAsia="lt-LT"/>
              </w:rPr>
              <w:t>H</w:t>
            </w:r>
            <w:r w:rsidRPr="00C64CEF">
              <w:rPr>
                <w:rFonts w:ascii="Times New Roman" w:eastAsia="Times New Roman" w:hAnsi="Times New Roman"/>
                <w:sz w:val="24"/>
                <w:szCs w:val="20"/>
                <w:vertAlign w:val="subscript"/>
                <w:lang w:eastAsia="lt-LT"/>
              </w:rPr>
              <w:t>14</w:t>
            </w:r>
            <w:r w:rsidRPr="00C64CEF">
              <w:rPr>
                <w:rFonts w:ascii="Times New Roman" w:eastAsia="Times New Roman" w:hAnsi="Times New Roman"/>
                <w:sz w:val="24"/>
                <w:szCs w:val="20"/>
                <w:lang w:eastAsia="lt-LT"/>
              </w:rPr>
              <w:t>, CHOH, NH</w:t>
            </w:r>
            <w:r w:rsidRPr="00C64CEF">
              <w:rPr>
                <w:rFonts w:ascii="Times New Roman" w:eastAsia="Times New Roman" w:hAnsi="Times New Roman"/>
                <w:sz w:val="24"/>
                <w:szCs w:val="20"/>
                <w:vertAlign w:val="subscript"/>
                <w:lang w:eastAsia="lt-LT"/>
              </w:rPr>
              <w:t>3</w:t>
            </w:r>
            <w:r w:rsidRPr="00C64CEF">
              <w:rPr>
                <w:rFonts w:ascii="Times New Roman" w:eastAsia="Times New Roman" w:hAnsi="Times New Roman"/>
                <w:sz w:val="24"/>
                <w:szCs w:val="20"/>
                <w:lang w:eastAsia="lt-LT"/>
              </w:rPr>
              <w:t>, H</w:t>
            </w:r>
            <w:r w:rsidRPr="00C64CEF">
              <w:rPr>
                <w:rFonts w:ascii="Times New Roman" w:eastAsia="Times New Roman" w:hAnsi="Times New Roman"/>
                <w:sz w:val="24"/>
                <w:szCs w:val="20"/>
                <w:vertAlign w:val="subscript"/>
                <w:lang w:eastAsia="lt-LT"/>
              </w:rPr>
              <w:t>2</w:t>
            </w:r>
            <w:r w:rsidRPr="00C64CEF">
              <w:rPr>
                <w:rFonts w:ascii="Times New Roman" w:eastAsia="Times New Roman" w:hAnsi="Times New Roman"/>
                <w:sz w:val="24"/>
                <w:szCs w:val="20"/>
                <w:lang w:eastAsia="lt-LT"/>
              </w:rPr>
              <w:t>S, SO</w:t>
            </w:r>
            <w:r w:rsidRPr="00C64CEF">
              <w:rPr>
                <w:rFonts w:ascii="Times New Roman" w:eastAsia="Times New Roman" w:hAnsi="Times New Roman"/>
                <w:sz w:val="24"/>
                <w:szCs w:val="20"/>
                <w:vertAlign w:val="subscript"/>
                <w:lang w:eastAsia="lt-LT"/>
              </w:rPr>
              <w:t>3</w:t>
            </w:r>
            <w:r w:rsidRPr="00C64CEF">
              <w:rPr>
                <w:rFonts w:ascii="Times New Roman" w:eastAsia="Times New Roman" w:hAnsi="Times New Roman"/>
                <w:sz w:val="24"/>
                <w:szCs w:val="20"/>
                <w:lang w:eastAsia="lt-LT"/>
              </w:rPr>
              <w:t>, SiF</w:t>
            </w:r>
            <w:r w:rsidRPr="00C64CEF">
              <w:rPr>
                <w:rFonts w:ascii="Times New Roman" w:eastAsia="Times New Roman" w:hAnsi="Times New Roman"/>
                <w:sz w:val="24"/>
                <w:szCs w:val="20"/>
                <w:vertAlign w:val="subscript"/>
                <w:lang w:eastAsia="lt-LT"/>
              </w:rPr>
              <w:t>6</w:t>
            </w:r>
            <w:r w:rsidRPr="00C64CEF">
              <w:rPr>
                <w:rFonts w:ascii="Times New Roman" w:eastAsia="Times New Roman" w:hAnsi="Times New Roman"/>
                <w:sz w:val="24"/>
                <w:szCs w:val="20"/>
                <w:lang w:eastAsia="lt-LT"/>
              </w:rPr>
              <w:t>, HNO</w:t>
            </w:r>
            <w:r w:rsidRPr="00C64CEF">
              <w:rPr>
                <w:rFonts w:ascii="Times New Roman" w:eastAsia="Times New Roman" w:hAnsi="Times New Roman"/>
                <w:sz w:val="24"/>
                <w:szCs w:val="20"/>
                <w:vertAlign w:val="subscript"/>
                <w:lang w:eastAsia="lt-LT"/>
              </w:rPr>
              <w:t>3</w:t>
            </w:r>
            <w:r w:rsidRPr="00C64CEF">
              <w:rPr>
                <w:rFonts w:ascii="Times New Roman" w:eastAsia="Times New Roman" w:hAnsi="Times New Roman"/>
                <w:sz w:val="24"/>
                <w:szCs w:val="20"/>
                <w:lang w:eastAsia="lt-LT"/>
              </w:rPr>
              <w:t>, NH</w:t>
            </w:r>
            <w:r w:rsidRPr="00C64CEF">
              <w:rPr>
                <w:rFonts w:ascii="Times New Roman" w:eastAsia="Times New Roman" w:hAnsi="Times New Roman"/>
                <w:sz w:val="24"/>
                <w:szCs w:val="20"/>
                <w:vertAlign w:val="subscript"/>
                <w:lang w:eastAsia="lt-LT"/>
              </w:rPr>
              <w:t>4</w:t>
            </w:r>
            <w:r w:rsidRPr="00C64CEF">
              <w:rPr>
                <w:rFonts w:ascii="Times New Roman" w:eastAsia="Times New Roman" w:hAnsi="Times New Roman"/>
                <w:sz w:val="24"/>
                <w:szCs w:val="20"/>
                <w:lang w:eastAsia="lt-LT"/>
              </w:rPr>
              <w:t>.</w:t>
            </w:r>
          </w:p>
        </w:tc>
        <w:tc>
          <w:tcPr>
            <w:tcW w:w="2931" w:type="dxa"/>
            <w:tcMar>
              <w:left w:w="85" w:type="dxa"/>
              <w:right w:w="28" w:type="dxa"/>
            </w:tcMar>
          </w:tcPr>
          <w:p w14:paraId="78473357" w14:textId="77777777" w:rsidR="004C15A7" w:rsidRPr="00C64CEF" w:rsidRDefault="004C15A7" w:rsidP="00F16C07">
            <w:pPr>
              <w:spacing w:before="20" w:after="0" w:line="220" w:lineRule="exact"/>
              <w:rPr>
                <w:rFonts w:ascii="Times New Roman" w:hAnsi="Times New Roman"/>
                <w:color w:val="000000"/>
                <w:sz w:val="24"/>
                <w:szCs w:val="24"/>
              </w:rPr>
            </w:pPr>
          </w:p>
        </w:tc>
      </w:tr>
      <w:tr w:rsidR="004C15A7" w:rsidRPr="00C64CEF" w14:paraId="7E9B1793" w14:textId="77777777" w:rsidTr="00BA5D0E">
        <w:trPr>
          <w:gridBefore w:val="1"/>
          <w:gridAfter w:val="1"/>
          <w:wBefore w:w="438" w:type="dxa"/>
          <w:wAfter w:w="179" w:type="dxa"/>
          <w:trHeight w:val="3067"/>
        </w:trPr>
        <w:tc>
          <w:tcPr>
            <w:tcW w:w="671" w:type="dxa"/>
            <w:tcMar>
              <w:left w:w="85" w:type="dxa"/>
              <w:right w:w="28" w:type="dxa"/>
            </w:tcMar>
            <w:vAlign w:val="center"/>
          </w:tcPr>
          <w:p w14:paraId="5AFB9290" w14:textId="149FCA3B" w:rsidR="004C15A7" w:rsidRPr="00C64CEF" w:rsidRDefault="004C15A7" w:rsidP="002D3B1F">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00328EA2" w14:textId="77F34048" w:rsidR="004C15A7" w:rsidRPr="00C64CEF" w:rsidRDefault="00EE6285" w:rsidP="00194DBE">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Kompiuteris ir programinė įranga</w:t>
            </w:r>
          </w:p>
        </w:tc>
        <w:tc>
          <w:tcPr>
            <w:tcW w:w="4819" w:type="dxa"/>
            <w:tcMar>
              <w:left w:w="85" w:type="dxa"/>
              <w:right w:w="28" w:type="dxa"/>
            </w:tcMar>
            <w:vAlign w:val="center"/>
          </w:tcPr>
          <w:p w14:paraId="2E969B0B" w14:textId="76305258" w:rsidR="004C15A7" w:rsidRPr="00C64CEF" w:rsidRDefault="0050774A" w:rsidP="0050774A">
            <w:pPr>
              <w:spacing w:before="20" w:after="2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Sistema pateikiama su gamintojo rekomendacijas atitinkančiu kompiuteriu bei jo priedais. Kartu turi būti pateikiama programinė įranga</w:t>
            </w:r>
            <w:r w:rsidR="007B0B3F" w:rsidRPr="00C64CEF">
              <w:rPr>
                <w:rFonts w:ascii="Times New Roman" w:eastAsia="Times New Roman" w:hAnsi="Times New Roman"/>
                <w:sz w:val="24"/>
                <w:szCs w:val="20"/>
                <w:lang w:eastAsia="lt-LT"/>
              </w:rPr>
              <w:t>,</w:t>
            </w:r>
            <w:r w:rsidRPr="00C64CEF">
              <w:rPr>
                <w:rFonts w:ascii="Times New Roman" w:eastAsia="Times New Roman" w:hAnsi="Times New Roman"/>
                <w:sz w:val="24"/>
                <w:szCs w:val="20"/>
                <w:lang w:eastAsia="lt-LT"/>
              </w:rPr>
              <w:t xml:space="preserve"> leidžian</w:t>
            </w:r>
            <w:r w:rsidR="007B0B3F" w:rsidRPr="00C64CEF">
              <w:rPr>
                <w:rFonts w:ascii="Times New Roman" w:eastAsia="Times New Roman" w:hAnsi="Times New Roman"/>
                <w:sz w:val="24"/>
                <w:szCs w:val="20"/>
                <w:lang w:eastAsia="lt-LT"/>
              </w:rPr>
              <w:t>ti</w:t>
            </w:r>
            <w:r w:rsidRPr="00C64CEF">
              <w:rPr>
                <w:rFonts w:ascii="Times New Roman" w:eastAsia="Times New Roman" w:hAnsi="Times New Roman"/>
                <w:sz w:val="24"/>
                <w:szCs w:val="20"/>
                <w:lang w:eastAsia="lt-LT"/>
              </w:rPr>
              <w:t xml:space="preserve"> kontroliuoti prietaisą ir analizuoti rezultatus. Turi būti pateikiama papildoma licencija darbui su programine įranga kitame kompiuteryje. Turi būti galima programinės įrangos pagalba simuliuoti skirtingų koncentracijų dujų mišinių spektrą pasirenkant bet kuriuos dujų spektrus iš bibliotekos.</w:t>
            </w:r>
          </w:p>
        </w:tc>
        <w:tc>
          <w:tcPr>
            <w:tcW w:w="2931" w:type="dxa"/>
            <w:tcMar>
              <w:left w:w="85" w:type="dxa"/>
              <w:right w:w="28" w:type="dxa"/>
            </w:tcMar>
          </w:tcPr>
          <w:p w14:paraId="62C6C5B2" w14:textId="77777777" w:rsidR="004C15A7" w:rsidRPr="00C64CEF" w:rsidRDefault="004C15A7" w:rsidP="00400559">
            <w:pPr>
              <w:spacing w:before="20" w:after="20" w:line="220" w:lineRule="exact"/>
              <w:rPr>
                <w:rFonts w:ascii="Times New Roman" w:hAnsi="Times New Roman"/>
                <w:color w:val="000000"/>
                <w:sz w:val="24"/>
                <w:szCs w:val="24"/>
              </w:rPr>
            </w:pPr>
          </w:p>
        </w:tc>
      </w:tr>
      <w:tr w:rsidR="004C15A7" w:rsidRPr="00C64CEF" w14:paraId="7E940689" w14:textId="77777777" w:rsidTr="00BA5D0E">
        <w:trPr>
          <w:gridBefore w:val="1"/>
          <w:gridAfter w:val="1"/>
          <w:wBefore w:w="438" w:type="dxa"/>
          <w:wAfter w:w="179" w:type="dxa"/>
          <w:trHeight w:val="227"/>
        </w:trPr>
        <w:tc>
          <w:tcPr>
            <w:tcW w:w="671" w:type="dxa"/>
            <w:tcMar>
              <w:left w:w="85" w:type="dxa"/>
              <w:right w:w="28" w:type="dxa"/>
            </w:tcMar>
            <w:vAlign w:val="center"/>
          </w:tcPr>
          <w:p w14:paraId="1EE46168" w14:textId="4ACAF934" w:rsidR="004C15A7" w:rsidRPr="00C64CEF" w:rsidRDefault="004C15A7" w:rsidP="002D3B1F">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3A79A820" w14:textId="02A3D50B" w:rsidR="004C15A7" w:rsidRPr="00C64CEF" w:rsidRDefault="00EE6285" w:rsidP="00194DBE">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Maitinimas</w:t>
            </w:r>
          </w:p>
        </w:tc>
        <w:tc>
          <w:tcPr>
            <w:tcW w:w="4819" w:type="dxa"/>
            <w:tcMar>
              <w:left w:w="85" w:type="dxa"/>
              <w:right w:w="28" w:type="dxa"/>
            </w:tcMar>
            <w:vAlign w:val="center"/>
          </w:tcPr>
          <w:p w14:paraId="6833A931" w14:textId="6B90A70C" w:rsidR="004C15A7" w:rsidRPr="00C64CEF" w:rsidRDefault="0050774A" w:rsidP="0050774A">
            <w:pPr>
              <w:spacing w:before="20" w:after="2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Tiesioginis prietaiso maitinimas iš 2</w:t>
            </w:r>
            <w:r w:rsidR="00961AD1">
              <w:rPr>
                <w:rFonts w:ascii="Times New Roman" w:eastAsia="Times New Roman" w:hAnsi="Times New Roman"/>
                <w:sz w:val="24"/>
                <w:szCs w:val="20"/>
                <w:lang w:eastAsia="lt-LT"/>
              </w:rPr>
              <w:t>3</w:t>
            </w:r>
            <w:r w:rsidRPr="00C64CEF">
              <w:rPr>
                <w:rFonts w:ascii="Times New Roman" w:eastAsia="Times New Roman" w:hAnsi="Times New Roman"/>
                <w:sz w:val="24"/>
                <w:szCs w:val="20"/>
                <w:lang w:eastAsia="lt-LT"/>
              </w:rPr>
              <w:t>0 V, 50 Hz tinklo.</w:t>
            </w:r>
          </w:p>
        </w:tc>
        <w:tc>
          <w:tcPr>
            <w:tcW w:w="2931" w:type="dxa"/>
            <w:tcMar>
              <w:left w:w="85" w:type="dxa"/>
              <w:right w:w="28" w:type="dxa"/>
            </w:tcMar>
          </w:tcPr>
          <w:p w14:paraId="20EEA747" w14:textId="77777777" w:rsidR="004C15A7" w:rsidRPr="00C64CEF" w:rsidRDefault="004C15A7" w:rsidP="00400559">
            <w:pPr>
              <w:spacing w:before="20" w:after="20" w:line="220" w:lineRule="exact"/>
              <w:rPr>
                <w:rFonts w:ascii="Times New Roman" w:hAnsi="Times New Roman"/>
                <w:color w:val="000000"/>
                <w:sz w:val="24"/>
                <w:szCs w:val="24"/>
              </w:rPr>
            </w:pPr>
          </w:p>
        </w:tc>
      </w:tr>
      <w:tr w:rsidR="004C15A7" w:rsidRPr="00C64CEF" w14:paraId="7003F0C0" w14:textId="77777777" w:rsidTr="00BA5D0E">
        <w:trPr>
          <w:gridBefore w:val="1"/>
          <w:gridAfter w:val="1"/>
          <w:wBefore w:w="438" w:type="dxa"/>
          <w:wAfter w:w="179" w:type="dxa"/>
          <w:trHeight w:val="999"/>
        </w:trPr>
        <w:tc>
          <w:tcPr>
            <w:tcW w:w="671" w:type="dxa"/>
            <w:tcMar>
              <w:left w:w="85" w:type="dxa"/>
              <w:right w:w="28" w:type="dxa"/>
            </w:tcMar>
            <w:vAlign w:val="center"/>
          </w:tcPr>
          <w:p w14:paraId="0FCBBB5F" w14:textId="2DB209AC" w:rsidR="004C15A7" w:rsidRPr="00C64CEF" w:rsidRDefault="004C15A7" w:rsidP="002D3B1F">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15DFD9E5" w14:textId="637FAD32" w:rsidR="004C15A7" w:rsidRPr="00C64CEF" w:rsidRDefault="00EE6285" w:rsidP="00194DBE">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Išmatavimai</w:t>
            </w:r>
          </w:p>
        </w:tc>
        <w:tc>
          <w:tcPr>
            <w:tcW w:w="4819" w:type="dxa"/>
            <w:tcMar>
              <w:left w:w="85" w:type="dxa"/>
              <w:right w:w="28" w:type="dxa"/>
            </w:tcMar>
            <w:vAlign w:val="center"/>
          </w:tcPr>
          <w:p w14:paraId="47B6EA60" w14:textId="6B29D5A7" w:rsidR="004C15A7" w:rsidRPr="00C64CEF" w:rsidRDefault="0050774A" w:rsidP="0050774A">
            <w:pPr>
              <w:spacing w:before="20" w:after="20" w:line="240" w:lineRule="auto"/>
              <w:rPr>
                <w:rFonts w:ascii="Times New Roman" w:hAnsi="Times New Roman"/>
                <w:color w:val="000000"/>
                <w:sz w:val="24"/>
                <w:szCs w:val="24"/>
              </w:rPr>
            </w:pPr>
            <w:r w:rsidRPr="00C64CEF">
              <w:rPr>
                <w:rFonts w:ascii="Times New Roman" w:eastAsia="Times New Roman" w:hAnsi="Times New Roman"/>
                <w:sz w:val="24"/>
                <w:szCs w:val="20"/>
                <w:lang w:eastAsia="lt-LT"/>
              </w:rPr>
              <w:t>Prietaisas turi būti kompaktiškas, ne didesnių nei 800x500x250 mm (</w:t>
            </w:r>
            <w:proofErr w:type="spellStart"/>
            <w:r w:rsidRPr="00C64CEF">
              <w:rPr>
                <w:rFonts w:ascii="Times New Roman" w:eastAsia="Times New Roman" w:hAnsi="Times New Roman"/>
                <w:sz w:val="24"/>
                <w:szCs w:val="20"/>
                <w:lang w:eastAsia="lt-LT"/>
              </w:rPr>
              <w:t>GxPxA</w:t>
            </w:r>
            <w:proofErr w:type="spellEnd"/>
            <w:r w:rsidRPr="00C64CEF">
              <w:rPr>
                <w:rFonts w:ascii="Times New Roman" w:eastAsia="Times New Roman" w:hAnsi="Times New Roman"/>
                <w:sz w:val="24"/>
                <w:szCs w:val="20"/>
                <w:lang w:eastAsia="lt-LT"/>
              </w:rPr>
              <w:t xml:space="preserve">) išmatavimų, su galimybe montuoti 19 colių </w:t>
            </w:r>
            <w:r w:rsidRPr="001F391B">
              <w:rPr>
                <w:rFonts w:ascii="Times New Roman" w:eastAsia="Times New Roman" w:hAnsi="Times New Roman"/>
                <w:sz w:val="24"/>
                <w:szCs w:val="20"/>
                <w:lang w:eastAsia="lt-LT"/>
              </w:rPr>
              <w:t xml:space="preserve">standarto </w:t>
            </w:r>
            <w:r w:rsidR="00FA2033">
              <w:rPr>
                <w:rFonts w:ascii="Times New Roman" w:eastAsia="Times New Roman" w:hAnsi="Times New Roman"/>
                <w:sz w:val="24"/>
                <w:szCs w:val="20"/>
                <w:lang w:eastAsia="lt-LT"/>
              </w:rPr>
              <w:t>stovuose</w:t>
            </w:r>
            <w:r w:rsidRPr="00C64CEF">
              <w:rPr>
                <w:rFonts w:ascii="Times New Roman" w:eastAsia="Times New Roman" w:hAnsi="Times New Roman"/>
                <w:sz w:val="24"/>
                <w:szCs w:val="20"/>
                <w:lang w:eastAsia="lt-LT"/>
              </w:rPr>
              <w:t>.</w:t>
            </w:r>
          </w:p>
        </w:tc>
        <w:tc>
          <w:tcPr>
            <w:tcW w:w="2931" w:type="dxa"/>
            <w:tcMar>
              <w:left w:w="85" w:type="dxa"/>
              <w:right w:w="28" w:type="dxa"/>
            </w:tcMar>
          </w:tcPr>
          <w:p w14:paraId="4F4A49F4" w14:textId="77777777" w:rsidR="004C15A7" w:rsidRPr="00C64CEF" w:rsidRDefault="004C15A7" w:rsidP="00400559">
            <w:pPr>
              <w:spacing w:before="20" w:after="20" w:line="220" w:lineRule="exact"/>
              <w:rPr>
                <w:rFonts w:ascii="Times New Roman" w:hAnsi="Times New Roman"/>
                <w:color w:val="000000"/>
                <w:sz w:val="24"/>
                <w:szCs w:val="24"/>
              </w:rPr>
            </w:pPr>
          </w:p>
        </w:tc>
      </w:tr>
      <w:tr w:rsidR="00243E2E" w:rsidRPr="00C64CEF" w14:paraId="3F91B656" w14:textId="77777777" w:rsidTr="00BA5D0E">
        <w:trPr>
          <w:gridBefore w:val="1"/>
          <w:gridAfter w:val="1"/>
          <w:wBefore w:w="438" w:type="dxa"/>
          <w:wAfter w:w="179" w:type="dxa"/>
          <w:trHeight w:val="227"/>
        </w:trPr>
        <w:tc>
          <w:tcPr>
            <w:tcW w:w="671" w:type="dxa"/>
            <w:tcMar>
              <w:left w:w="85" w:type="dxa"/>
              <w:right w:w="28" w:type="dxa"/>
            </w:tcMar>
            <w:vAlign w:val="center"/>
          </w:tcPr>
          <w:p w14:paraId="5A4BE483" w14:textId="3596474E" w:rsidR="00243E2E" w:rsidRPr="00C64CEF" w:rsidRDefault="00243E2E" w:rsidP="002D3B1F">
            <w:pPr>
              <w:numPr>
                <w:ilvl w:val="0"/>
                <w:numId w:val="20"/>
              </w:numPr>
              <w:spacing w:before="20" w:after="20" w:line="220" w:lineRule="exact"/>
              <w:ind w:left="470" w:hanging="357"/>
              <w:rPr>
                <w:rFonts w:ascii="Times New Roman" w:hAnsi="Times New Roman"/>
                <w:color w:val="000000"/>
                <w:sz w:val="24"/>
                <w:szCs w:val="24"/>
              </w:rPr>
            </w:pPr>
          </w:p>
        </w:tc>
        <w:tc>
          <w:tcPr>
            <w:tcW w:w="1843" w:type="dxa"/>
            <w:tcMar>
              <w:left w:w="85" w:type="dxa"/>
              <w:right w:w="28" w:type="dxa"/>
            </w:tcMar>
            <w:vAlign w:val="center"/>
          </w:tcPr>
          <w:p w14:paraId="2C8A5473" w14:textId="77777777" w:rsidR="00243E2E" w:rsidRPr="00C64CEF" w:rsidRDefault="00243E2E" w:rsidP="00B31023">
            <w:pPr>
              <w:spacing w:before="20" w:after="20" w:line="220" w:lineRule="exact"/>
              <w:rPr>
                <w:rFonts w:ascii="Times New Roman" w:hAnsi="Times New Roman"/>
                <w:color w:val="000000"/>
                <w:sz w:val="24"/>
                <w:szCs w:val="24"/>
              </w:rPr>
            </w:pPr>
            <w:r w:rsidRPr="00C64CEF">
              <w:rPr>
                <w:rFonts w:ascii="Times New Roman" w:hAnsi="Times New Roman"/>
                <w:color w:val="000000"/>
                <w:sz w:val="24"/>
                <w:szCs w:val="24"/>
              </w:rPr>
              <w:t>Dokumentacija</w:t>
            </w:r>
          </w:p>
        </w:tc>
        <w:tc>
          <w:tcPr>
            <w:tcW w:w="4819" w:type="dxa"/>
            <w:tcMar>
              <w:left w:w="85" w:type="dxa"/>
              <w:right w:w="28" w:type="dxa"/>
            </w:tcMar>
            <w:vAlign w:val="center"/>
          </w:tcPr>
          <w:p w14:paraId="51D697F8" w14:textId="77777777" w:rsidR="00243E2E" w:rsidRPr="00C64CEF" w:rsidRDefault="00243E2E" w:rsidP="0050774A">
            <w:pPr>
              <w:spacing w:before="20" w:after="20" w:line="240" w:lineRule="auto"/>
              <w:rPr>
                <w:rFonts w:ascii="Times New Roman" w:hAnsi="Times New Roman"/>
                <w:color w:val="000000"/>
                <w:sz w:val="24"/>
                <w:szCs w:val="24"/>
              </w:rPr>
            </w:pPr>
            <w:r w:rsidRPr="00C64CEF">
              <w:rPr>
                <w:rFonts w:ascii="Times New Roman" w:hAnsi="Times New Roman"/>
                <w:color w:val="000000"/>
                <w:sz w:val="24"/>
                <w:szCs w:val="24"/>
              </w:rPr>
              <w:t xml:space="preserve">Kartu su pasiūlymu tiekėjas privalo pateikti įrangos technines charakteristikas patvirtinančius gamintojo išduotus dokumentus ar kitą dokumentaciją, patvirtinančią techninės </w:t>
            </w:r>
            <w:r w:rsidRPr="00C64CEF">
              <w:rPr>
                <w:rFonts w:ascii="Times New Roman" w:hAnsi="Times New Roman"/>
                <w:color w:val="000000"/>
                <w:sz w:val="24"/>
                <w:szCs w:val="24"/>
              </w:rPr>
              <w:lastRenderedPageBreak/>
              <w:t>specifikacijos reikalavimus. Pateiktuose dokumentuose turi būti pažymėti techninių specifikacijų atitikimai</w:t>
            </w:r>
            <w:r w:rsidR="00F11923" w:rsidRPr="00C64CEF">
              <w:rPr>
                <w:rFonts w:ascii="Times New Roman" w:hAnsi="Times New Roman"/>
                <w:color w:val="000000"/>
                <w:sz w:val="24"/>
                <w:szCs w:val="24"/>
              </w:rPr>
              <w:t>.</w:t>
            </w:r>
          </w:p>
        </w:tc>
        <w:tc>
          <w:tcPr>
            <w:tcW w:w="2931" w:type="dxa"/>
            <w:tcMar>
              <w:left w:w="85" w:type="dxa"/>
              <w:right w:w="28" w:type="dxa"/>
            </w:tcMar>
          </w:tcPr>
          <w:p w14:paraId="3090D6EB" w14:textId="77777777" w:rsidR="00243E2E" w:rsidRPr="00C64CEF" w:rsidRDefault="00243E2E" w:rsidP="008E1395">
            <w:pPr>
              <w:spacing w:before="20" w:after="20" w:line="220" w:lineRule="exact"/>
              <w:rPr>
                <w:rFonts w:ascii="Times New Roman" w:hAnsi="Times New Roman"/>
                <w:color w:val="000000"/>
                <w:sz w:val="24"/>
                <w:szCs w:val="24"/>
              </w:rPr>
            </w:pPr>
          </w:p>
        </w:tc>
      </w:tr>
      <w:tr w:rsidR="0050774A" w:rsidRPr="00C64CEF" w14:paraId="5673D152" w14:textId="77777777" w:rsidTr="00BA5D0E">
        <w:trPr>
          <w:gridBefore w:val="1"/>
          <w:gridAfter w:val="1"/>
          <w:wBefore w:w="438" w:type="dxa"/>
          <w:wAfter w:w="179" w:type="dxa"/>
          <w:trHeight w:val="227"/>
        </w:trPr>
        <w:tc>
          <w:tcPr>
            <w:tcW w:w="671" w:type="dxa"/>
            <w:tcMar>
              <w:left w:w="85" w:type="dxa"/>
              <w:right w:w="28" w:type="dxa"/>
            </w:tcMar>
            <w:vAlign w:val="center"/>
          </w:tcPr>
          <w:p w14:paraId="4D5BC037" w14:textId="77777777" w:rsidR="0050774A" w:rsidRPr="00C64CEF" w:rsidRDefault="0050774A" w:rsidP="00E37312">
            <w:pPr>
              <w:numPr>
                <w:ilvl w:val="0"/>
                <w:numId w:val="20"/>
              </w:numPr>
              <w:spacing w:before="20" w:after="20" w:line="220" w:lineRule="exact"/>
              <w:ind w:left="470" w:hanging="357"/>
              <w:rPr>
                <w:rFonts w:ascii="Times New Roman" w:hAnsi="Times New Roman"/>
                <w:sz w:val="24"/>
                <w:szCs w:val="24"/>
              </w:rPr>
            </w:pPr>
          </w:p>
        </w:tc>
        <w:tc>
          <w:tcPr>
            <w:tcW w:w="1843" w:type="dxa"/>
            <w:tcMar>
              <w:left w:w="85" w:type="dxa"/>
              <w:right w:w="28" w:type="dxa"/>
            </w:tcMar>
            <w:vAlign w:val="center"/>
          </w:tcPr>
          <w:p w14:paraId="53E9E322" w14:textId="77777777" w:rsidR="0050774A" w:rsidRPr="00C64CEF" w:rsidRDefault="0050774A" w:rsidP="00E37312">
            <w:pPr>
              <w:spacing w:before="20" w:after="20" w:line="220" w:lineRule="exact"/>
              <w:rPr>
                <w:rFonts w:ascii="Times New Roman" w:hAnsi="Times New Roman"/>
                <w:sz w:val="24"/>
                <w:szCs w:val="24"/>
              </w:rPr>
            </w:pPr>
            <w:r w:rsidRPr="00C64CEF">
              <w:rPr>
                <w:rFonts w:ascii="Times New Roman" w:hAnsi="Times New Roman"/>
                <w:sz w:val="24"/>
                <w:szCs w:val="24"/>
              </w:rPr>
              <w:t>Eksploatavimo instrukcijos</w:t>
            </w:r>
          </w:p>
        </w:tc>
        <w:tc>
          <w:tcPr>
            <w:tcW w:w="4819" w:type="dxa"/>
            <w:tcMar>
              <w:left w:w="85" w:type="dxa"/>
              <w:right w:w="28" w:type="dxa"/>
            </w:tcMar>
            <w:vAlign w:val="center"/>
          </w:tcPr>
          <w:p w14:paraId="4EBB716F" w14:textId="66E13101" w:rsidR="0050774A" w:rsidRPr="00C64CEF" w:rsidRDefault="0050774A" w:rsidP="00E37312">
            <w:pPr>
              <w:spacing w:before="20" w:after="20" w:line="240" w:lineRule="auto"/>
              <w:rPr>
                <w:rFonts w:ascii="Times New Roman" w:hAnsi="Times New Roman"/>
                <w:sz w:val="24"/>
                <w:szCs w:val="24"/>
              </w:rPr>
            </w:pPr>
            <w:r w:rsidRPr="00C64CEF">
              <w:rPr>
                <w:rFonts w:ascii="Times New Roman" w:hAnsi="Times New Roman"/>
                <w:sz w:val="24"/>
                <w:szCs w:val="24"/>
              </w:rPr>
              <w:t>Lietuvių ir/ar anglų kalba</w:t>
            </w:r>
            <w:r w:rsidR="0051528C">
              <w:rPr>
                <w:rFonts w:ascii="Times New Roman" w:hAnsi="Times New Roman"/>
                <w:sz w:val="24"/>
                <w:szCs w:val="24"/>
              </w:rPr>
              <w:t>.</w:t>
            </w:r>
          </w:p>
        </w:tc>
        <w:tc>
          <w:tcPr>
            <w:tcW w:w="2931" w:type="dxa"/>
            <w:tcMar>
              <w:left w:w="85" w:type="dxa"/>
              <w:right w:w="28" w:type="dxa"/>
            </w:tcMar>
          </w:tcPr>
          <w:p w14:paraId="07FB8040" w14:textId="77777777" w:rsidR="0050774A" w:rsidRPr="00C64CEF" w:rsidRDefault="0050774A" w:rsidP="00E37312">
            <w:pPr>
              <w:spacing w:before="20" w:after="20" w:line="220" w:lineRule="exact"/>
              <w:rPr>
                <w:rFonts w:ascii="Times New Roman" w:hAnsi="Times New Roman"/>
                <w:sz w:val="24"/>
                <w:szCs w:val="24"/>
              </w:rPr>
            </w:pPr>
          </w:p>
        </w:tc>
      </w:tr>
      <w:tr w:rsidR="00E20BA8" w:rsidRPr="00C64CEF" w14:paraId="7399AD0E" w14:textId="77777777" w:rsidTr="00BA5D0E">
        <w:trPr>
          <w:gridBefore w:val="1"/>
          <w:gridAfter w:val="1"/>
          <w:wBefore w:w="438" w:type="dxa"/>
          <w:wAfter w:w="179" w:type="dxa"/>
          <w:trHeight w:val="227"/>
        </w:trPr>
        <w:tc>
          <w:tcPr>
            <w:tcW w:w="671" w:type="dxa"/>
            <w:tcMar>
              <w:left w:w="85" w:type="dxa"/>
              <w:right w:w="28" w:type="dxa"/>
            </w:tcMar>
            <w:vAlign w:val="center"/>
          </w:tcPr>
          <w:p w14:paraId="540CC739" w14:textId="3DE24F1F" w:rsidR="00E20BA8" w:rsidRPr="00C64CEF" w:rsidRDefault="00E20BA8" w:rsidP="002D3B1F">
            <w:pPr>
              <w:numPr>
                <w:ilvl w:val="0"/>
                <w:numId w:val="20"/>
              </w:numPr>
              <w:spacing w:before="20" w:after="20" w:line="220" w:lineRule="exact"/>
              <w:ind w:left="470" w:hanging="357"/>
              <w:rPr>
                <w:rFonts w:ascii="Times New Roman" w:hAnsi="Times New Roman"/>
                <w:color w:val="000000"/>
                <w:sz w:val="24"/>
                <w:szCs w:val="24"/>
              </w:rPr>
            </w:pPr>
          </w:p>
        </w:tc>
        <w:tc>
          <w:tcPr>
            <w:tcW w:w="1843" w:type="dxa"/>
            <w:tcMar>
              <w:left w:w="85" w:type="dxa"/>
              <w:right w:w="28" w:type="dxa"/>
            </w:tcMar>
            <w:vAlign w:val="center"/>
          </w:tcPr>
          <w:p w14:paraId="0943C893" w14:textId="77777777" w:rsidR="00E20BA8" w:rsidRPr="00711F59" w:rsidRDefault="00E20BA8" w:rsidP="00B31023">
            <w:pPr>
              <w:spacing w:before="20" w:after="20" w:line="220" w:lineRule="exact"/>
              <w:rPr>
                <w:rFonts w:ascii="Times New Roman" w:hAnsi="Times New Roman"/>
                <w:sz w:val="24"/>
                <w:szCs w:val="24"/>
              </w:rPr>
            </w:pPr>
            <w:r w:rsidRPr="00711F59">
              <w:rPr>
                <w:rFonts w:ascii="Times New Roman" w:hAnsi="Times New Roman"/>
                <w:sz w:val="24"/>
                <w:szCs w:val="24"/>
              </w:rPr>
              <w:t>Darbuotojų mokymas</w:t>
            </w:r>
          </w:p>
        </w:tc>
        <w:tc>
          <w:tcPr>
            <w:tcW w:w="4819" w:type="dxa"/>
            <w:tcMar>
              <w:left w:w="85" w:type="dxa"/>
              <w:right w:w="28" w:type="dxa"/>
            </w:tcMar>
            <w:vAlign w:val="center"/>
          </w:tcPr>
          <w:p w14:paraId="08727457" w14:textId="6F57921E" w:rsidR="00E20BA8" w:rsidRPr="00711F59" w:rsidRDefault="00E20BA8" w:rsidP="0050774A">
            <w:pPr>
              <w:spacing w:before="20" w:after="20" w:line="240" w:lineRule="auto"/>
              <w:rPr>
                <w:rFonts w:ascii="Times New Roman" w:hAnsi="Times New Roman"/>
                <w:color w:val="000000"/>
                <w:sz w:val="24"/>
                <w:szCs w:val="24"/>
              </w:rPr>
            </w:pPr>
            <w:r w:rsidRPr="00711F59">
              <w:rPr>
                <w:rFonts w:ascii="Times New Roman" w:hAnsi="Times New Roman"/>
                <w:color w:val="000000"/>
                <w:sz w:val="24"/>
                <w:szCs w:val="24"/>
              </w:rPr>
              <w:t xml:space="preserve">Darbuotojų mokymas po įrangos instaliavimo darbo vietoje, apmokymų trukmė ne mažiau nei </w:t>
            </w:r>
            <w:r w:rsidR="0050774A" w:rsidRPr="00711F59">
              <w:rPr>
                <w:rFonts w:ascii="Times New Roman" w:hAnsi="Times New Roman"/>
                <w:color w:val="000000"/>
                <w:sz w:val="24"/>
                <w:szCs w:val="24"/>
              </w:rPr>
              <w:t>3</w:t>
            </w:r>
            <w:r w:rsidRPr="00711F59">
              <w:rPr>
                <w:rFonts w:ascii="Times New Roman" w:hAnsi="Times New Roman"/>
                <w:color w:val="000000"/>
                <w:sz w:val="24"/>
                <w:szCs w:val="24"/>
              </w:rPr>
              <w:t xml:space="preserve"> dienos</w:t>
            </w:r>
            <w:r w:rsidR="0050774A" w:rsidRPr="00711F59">
              <w:rPr>
                <w:rFonts w:ascii="Times New Roman" w:hAnsi="Times New Roman"/>
                <w:color w:val="000000"/>
                <w:sz w:val="24"/>
                <w:szCs w:val="24"/>
              </w:rPr>
              <w:t xml:space="preserve"> 3 darbuotojams</w:t>
            </w:r>
            <w:r w:rsidR="0003160A" w:rsidRPr="00711F59">
              <w:rPr>
                <w:rFonts w:ascii="Times New Roman" w:hAnsi="Times New Roman"/>
                <w:color w:val="000000"/>
                <w:sz w:val="24"/>
                <w:szCs w:val="24"/>
              </w:rPr>
              <w:t>.</w:t>
            </w:r>
          </w:p>
        </w:tc>
        <w:tc>
          <w:tcPr>
            <w:tcW w:w="2931" w:type="dxa"/>
            <w:tcMar>
              <w:left w:w="85" w:type="dxa"/>
              <w:right w:w="28" w:type="dxa"/>
            </w:tcMar>
          </w:tcPr>
          <w:p w14:paraId="29E5E547" w14:textId="69277F2D" w:rsidR="00E20BA8" w:rsidRPr="00711F59" w:rsidRDefault="00711F59" w:rsidP="008E1395">
            <w:pPr>
              <w:spacing w:before="20" w:after="20" w:line="220" w:lineRule="exact"/>
              <w:rPr>
                <w:rFonts w:ascii="Times New Roman" w:hAnsi="Times New Roman"/>
                <w:color w:val="000000"/>
                <w:sz w:val="24"/>
                <w:szCs w:val="24"/>
              </w:rPr>
            </w:pPr>
            <w:r w:rsidRPr="00711F59">
              <w:rPr>
                <w:rFonts w:ascii="Times New Roman" w:hAnsi="Times New Roman"/>
                <w:b/>
                <w:bCs/>
              </w:rPr>
              <w:t xml:space="preserve">Šiam reikalavimui nereikalaujama pateikti atitikimą liudijančių duomenų </w:t>
            </w:r>
          </w:p>
        </w:tc>
      </w:tr>
      <w:tr w:rsidR="00974B2E" w:rsidRPr="00BA5D0E" w14:paraId="508E65E9" w14:textId="77777777" w:rsidTr="00BA5D0E">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96"/>
        </w:trPr>
        <w:tc>
          <w:tcPr>
            <w:tcW w:w="10881" w:type="dxa"/>
            <w:gridSpan w:val="6"/>
            <w:tcBorders>
              <w:top w:val="none" w:sz="6" w:space="0" w:color="auto"/>
              <w:bottom w:val="none" w:sz="6" w:space="0" w:color="auto"/>
            </w:tcBorders>
            <w:vAlign w:val="center"/>
          </w:tcPr>
          <w:p w14:paraId="4FB43CD4" w14:textId="0C91DAB8" w:rsidR="00974B2E" w:rsidRPr="00BA5D0E" w:rsidRDefault="00BA5D0E" w:rsidP="00E42AE0">
            <w:pPr>
              <w:spacing w:after="0"/>
              <w:ind w:firstLine="306"/>
              <w:jc w:val="both"/>
              <w:rPr>
                <w:rFonts w:ascii="Times New Roman" w:hAnsi="Times New Roman"/>
                <w:sz w:val="20"/>
                <w:szCs w:val="20"/>
              </w:rPr>
            </w:pPr>
            <w:r w:rsidRPr="00BA5D0E">
              <w:rPr>
                <w:rFonts w:ascii="Times New Roman" w:hAnsi="Times New Roman"/>
                <w:b/>
                <w:bCs/>
                <w:sz w:val="20"/>
                <w:szCs w:val="20"/>
              </w:rPr>
              <w:t>1</w:t>
            </w:r>
            <w:r w:rsidR="00974B2E" w:rsidRPr="00BA5D0E">
              <w:rPr>
                <w:rFonts w:ascii="Times New Roman" w:hAnsi="Times New Roman"/>
                <w:b/>
                <w:bCs/>
                <w:sz w:val="20"/>
                <w:szCs w:val="20"/>
              </w:rPr>
              <w:t xml:space="preserve"> PASTABA. </w:t>
            </w:r>
            <w:r w:rsidR="00974B2E" w:rsidRPr="00BA5D0E">
              <w:rPr>
                <w:rFonts w:ascii="Times New Roman" w:hAnsi="Times New Roman"/>
                <w:sz w:val="20"/>
                <w:szCs w:val="20"/>
              </w:rPr>
              <w:t xml:space="preserve">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 </w:t>
            </w:r>
          </w:p>
        </w:tc>
      </w:tr>
      <w:tr w:rsidR="00974B2E" w:rsidRPr="000966D0" w14:paraId="4CC7D50A" w14:textId="77777777" w:rsidTr="00BA5D0E">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96"/>
        </w:trPr>
        <w:tc>
          <w:tcPr>
            <w:tcW w:w="10881" w:type="dxa"/>
            <w:gridSpan w:val="6"/>
            <w:tcBorders>
              <w:top w:val="none" w:sz="6" w:space="0" w:color="auto"/>
              <w:bottom w:val="none" w:sz="6" w:space="0" w:color="auto"/>
            </w:tcBorders>
          </w:tcPr>
          <w:p w14:paraId="01E86DC5" w14:textId="272CE119" w:rsidR="00974B2E" w:rsidRPr="00BA5D0E" w:rsidRDefault="00BA5D0E" w:rsidP="00E42AE0">
            <w:pPr>
              <w:spacing w:after="0"/>
              <w:ind w:firstLine="306"/>
              <w:jc w:val="both"/>
              <w:rPr>
                <w:rFonts w:ascii="Times New Roman" w:hAnsi="Times New Roman"/>
                <w:sz w:val="20"/>
                <w:szCs w:val="20"/>
              </w:rPr>
            </w:pPr>
            <w:r w:rsidRPr="00BA5D0E">
              <w:rPr>
                <w:rFonts w:ascii="Times New Roman" w:hAnsi="Times New Roman"/>
                <w:b/>
                <w:bCs/>
                <w:sz w:val="20"/>
                <w:szCs w:val="20"/>
              </w:rPr>
              <w:t>2</w:t>
            </w:r>
            <w:r w:rsidR="00974B2E" w:rsidRPr="00BA5D0E">
              <w:rPr>
                <w:rFonts w:ascii="Times New Roman" w:hAnsi="Times New Roman"/>
                <w:b/>
                <w:bCs/>
                <w:sz w:val="20"/>
                <w:szCs w:val="20"/>
              </w:rPr>
              <w:t xml:space="preserve"> PASTABA. </w:t>
            </w:r>
            <w:r w:rsidR="00974B2E" w:rsidRPr="00BA5D0E">
              <w:rPr>
                <w:rFonts w:ascii="Times New Roman" w:hAnsi="Times New Roman"/>
                <w:sz w:val="20"/>
                <w:szCs w:val="20"/>
              </w:rPr>
              <w:t xml:space="preserve">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 </w:t>
            </w:r>
          </w:p>
        </w:tc>
      </w:tr>
    </w:tbl>
    <w:p w14:paraId="6183317C" w14:textId="77777777" w:rsidR="005034B9" w:rsidRPr="00C64CEF" w:rsidRDefault="005034B9" w:rsidP="005F1CA1">
      <w:pPr>
        <w:spacing w:after="0"/>
        <w:ind w:firstLine="306"/>
        <w:rPr>
          <w:rFonts w:ascii="Times New Roman" w:hAnsi="Times New Roman"/>
          <w:sz w:val="20"/>
          <w:szCs w:val="20"/>
        </w:rPr>
      </w:pPr>
    </w:p>
    <w:sectPr w:rsidR="005034B9" w:rsidRPr="00C64CEF" w:rsidSect="00B86618">
      <w:pgSz w:w="11906" w:h="16838"/>
      <w:pgMar w:top="851" w:right="141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BDE1" w14:textId="77777777" w:rsidR="00C91E84" w:rsidRDefault="00C91E84" w:rsidP="00573818">
      <w:pPr>
        <w:spacing w:after="0" w:line="240" w:lineRule="auto"/>
      </w:pPr>
      <w:r>
        <w:separator/>
      </w:r>
    </w:p>
  </w:endnote>
  <w:endnote w:type="continuationSeparator" w:id="0">
    <w:p w14:paraId="413CCF4C" w14:textId="77777777" w:rsidR="00C91E84" w:rsidRDefault="00C91E84" w:rsidP="005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7AC7" w14:textId="77777777" w:rsidR="00C91E84" w:rsidRDefault="00C91E84" w:rsidP="00573818">
      <w:pPr>
        <w:spacing w:after="0" w:line="240" w:lineRule="auto"/>
      </w:pPr>
      <w:r>
        <w:separator/>
      </w:r>
    </w:p>
  </w:footnote>
  <w:footnote w:type="continuationSeparator" w:id="0">
    <w:p w14:paraId="033503BF" w14:textId="77777777" w:rsidR="00C91E84" w:rsidRDefault="00C91E84" w:rsidP="0057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D78"/>
    <w:multiLevelType w:val="hybridMultilevel"/>
    <w:tmpl w:val="F51CB5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5D6C3C"/>
    <w:multiLevelType w:val="multilevel"/>
    <w:tmpl w:val="15B04AA6"/>
    <w:lvl w:ilvl="0">
      <w:start w:val="1"/>
      <w:numFmt w:val="decimal"/>
      <w:lvlText w:val="%1.1"/>
      <w:lvlJc w:val="left"/>
      <w:pPr>
        <w:tabs>
          <w:tab w:val="num" w:pos="537"/>
        </w:tabs>
        <w:ind w:left="537" w:hanging="341"/>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2ED3647"/>
    <w:multiLevelType w:val="multilevel"/>
    <w:tmpl w:val="142C2C5E"/>
    <w:lvl w:ilvl="0">
      <w:start w:val="1"/>
      <w:numFmt w:val="decimal"/>
      <w:lvlText w:val="%1."/>
      <w:lvlJc w:val="left"/>
      <w:pPr>
        <w:tabs>
          <w:tab w:val="num" w:pos="537"/>
        </w:tabs>
        <w:ind w:left="537" w:hanging="34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A76EDE"/>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4945F0"/>
    <w:multiLevelType w:val="hybridMultilevel"/>
    <w:tmpl w:val="610441E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F75040"/>
    <w:multiLevelType w:val="hybridMultilevel"/>
    <w:tmpl w:val="D148428C"/>
    <w:lvl w:ilvl="0" w:tplc="9EAE28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45E687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3E78B8"/>
    <w:multiLevelType w:val="hybridMultilevel"/>
    <w:tmpl w:val="E4006F52"/>
    <w:lvl w:ilvl="0" w:tplc="3EB0778C">
      <w:start w:val="1"/>
      <w:numFmt w:val="lowerLetter"/>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D592E38"/>
    <w:multiLevelType w:val="hybridMultilevel"/>
    <w:tmpl w:val="A9B035B2"/>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074E1E"/>
    <w:multiLevelType w:val="hybridMultilevel"/>
    <w:tmpl w:val="424E38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B827B5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3047FC0"/>
    <w:multiLevelType w:val="hybridMultilevel"/>
    <w:tmpl w:val="E9B8CEA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C6422D"/>
    <w:multiLevelType w:val="hybridMultilevel"/>
    <w:tmpl w:val="49DA978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7935BC2"/>
    <w:multiLevelType w:val="hybridMultilevel"/>
    <w:tmpl w:val="F5C660E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D635CC8"/>
    <w:multiLevelType w:val="hybridMultilevel"/>
    <w:tmpl w:val="157C7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10D0066"/>
    <w:multiLevelType w:val="hybridMultilevel"/>
    <w:tmpl w:val="4F24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42E7A4C"/>
    <w:multiLevelType w:val="hybridMultilevel"/>
    <w:tmpl w:val="EC4017EC"/>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B34025"/>
    <w:multiLevelType w:val="hybridMultilevel"/>
    <w:tmpl w:val="15B07490"/>
    <w:lvl w:ilvl="0" w:tplc="0427000F">
      <w:start w:val="1"/>
      <w:numFmt w:val="decimal"/>
      <w:lvlText w:val="%1."/>
      <w:lvlJc w:val="left"/>
      <w:pPr>
        <w:ind w:left="739" w:hanging="360"/>
      </w:p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18" w15:restartNumberingAfterBreak="0">
    <w:nsid w:val="6C402961"/>
    <w:multiLevelType w:val="hybridMultilevel"/>
    <w:tmpl w:val="57109664"/>
    <w:lvl w:ilvl="0" w:tplc="04090017">
      <w:start w:val="1"/>
      <w:numFmt w:val="lowerLetter"/>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53A76A2"/>
    <w:multiLevelType w:val="hybridMultilevel"/>
    <w:tmpl w:val="D58E2DDA"/>
    <w:lvl w:ilvl="0" w:tplc="9EAE286C">
      <w:start w:val="1"/>
      <w:numFmt w:val="lowerLetter"/>
      <w:lvlText w:val="%1)"/>
      <w:lvlJc w:val="left"/>
      <w:pPr>
        <w:ind w:left="831" w:hanging="360"/>
      </w:pPr>
      <w:rPr>
        <w:rFonts w:cs="Times New Roman" w:hint="default"/>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num w:numId="1" w16cid:durableId="1501967608">
    <w:abstractNumId w:val="1"/>
  </w:num>
  <w:num w:numId="2" w16cid:durableId="1266038811">
    <w:abstractNumId w:val="8"/>
  </w:num>
  <w:num w:numId="3" w16cid:durableId="1015764484">
    <w:abstractNumId w:val="2"/>
  </w:num>
  <w:num w:numId="4" w16cid:durableId="992022602">
    <w:abstractNumId w:val="16"/>
  </w:num>
  <w:num w:numId="5" w16cid:durableId="134564554">
    <w:abstractNumId w:val="13"/>
  </w:num>
  <w:num w:numId="6" w16cid:durableId="421024547">
    <w:abstractNumId w:val="14"/>
  </w:num>
  <w:num w:numId="7" w16cid:durableId="543097781">
    <w:abstractNumId w:val="3"/>
  </w:num>
  <w:num w:numId="8" w16cid:durableId="83960732">
    <w:abstractNumId w:val="4"/>
  </w:num>
  <w:num w:numId="9" w16cid:durableId="2053965148">
    <w:abstractNumId w:val="12"/>
  </w:num>
  <w:num w:numId="10" w16cid:durableId="1893032809">
    <w:abstractNumId w:val="9"/>
  </w:num>
  <w:num w:numId="11" w16cid:durableId="986859397">
    <w:abstractNumId w:val="11"/>
  </w:num>
  <w:num w:numId="12" w16cid:durableId="1282882396">
    <w:abstractNumId w:val="15"/>
  </w:num>
  <w:num w:numId="13" w16cid:durableId="1279724083">
    <w:abstractNumId w:val="0"/>
  </w:num>
  <w:num w:numId="14" w16cid:durableId="1298532169">
    <w:abstractNumId w:val="7"/>
  </w:num>
  <w:num w:numId="15" w16cid:durableId="2037995965">
    <w:abstractNumId w:val="5"/>
  </w:num>
  <w:num w:numId="16" w16cid:durableId="787967087">
    <w:abstractNumId w:val="19"/>
  </w:num>
  <w:num w:numId="17" w16cid:durableId="2047172465">
    <w:abstractNumId w:val="18"/>
  </w:num>
  <w:num w:numId="18" w16cid:durableId="2039310916">
    <w:abstractNumId w:val="10"/>
  </w:num>
  <w:num w:numId="19" w16cid:durableId="2135370114">
    <w:abstractNumId w:val="6"/>
  </w:num>
  <w:num w:numId="20" w16cid:durableId="1542136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28"/>
  <w:drawingGridVerticalSpacing w:val="2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F8"/>
    <w:rsid w:val="00004FD2"/>
    <w:rsid w:val="000076C7"/>
    <w:rsid w:val="0001189B"/>
    <w:rsid w:val="0001567C"/>
    <w:rsid w:val="00021C4D"/>
    <w:rsid w:val="0003160A"/>
    <w:rsid w:val="00045023"/>
    <w:rsid w:val="00057EF2"/>
    <w:rsid w:val="00066E60"/>
    <w:rsid w:val="0008658F"/>
    <w:rsid w:val="00095FB7"/>
    <w:rsid w:val="000966D0"/>
    <w:rsid w:val="000A2F77"/>
    <w:rsid w:val="000B28EB"/>
    <w:rsid w:val="000C090E"/>
    <w:rsid w:val="00106432"/>
    <w:rsid w:val="00110173"/>
    <w:rsid w:val="00124491"/>
    <w:rsid w:val="001358E6"/>
    <w:rsid w:val="001443A4"/>
    <w:rsid w:val="00156F0C"/>
    <w:rsid w:val="001576D5"/>
    <w:rsid w:val="00164682"/>
    <w:rsid w:val="001661C3"/>
    <w:rsid w:val="00176DFA"/>
    <w:rsid w:val="00193FAA"/>
    <w:rsid w:val="00194DBE"/>
    <w:rsid w:val="00196829"/>
    <w:rsid w:val="001A0F66"/>
    <w:rsid w:val="001A195B"/>
    <w:rsid w:val="001C218A"/>
    <w:rsid w:val="001C5A94"/>
    <w:rsid w:val="001C7F72"/>
    <w:rsid w:val="001D2156"/>
    <w:rsid w:val="001D7CE1"/>
    <w:rsid w:val="001E69F4"/>
    <w:rsid w:val="001F391B"/>
    <w:rsid w:val="0020049E"/>
    <w:rsid w:val="0020311A"/>
    <w:rsid w:val="00204585"/>
    <w:rsid w:val="00214E86"/>
    <w:rsid w:val="0021786C"/>
    <w:rsid w:val="002269AB"/>
    <w:rsid w:val="0023225C"/>
    <w:rsid w:val="00235853"/>
    <w:rsid w:val="00236C2B"/>
    <w:rsid w:val="00243E2E"/>
    <w:rsid w:val="002503E9"/>
    <w:rsid w:val="0025245A"/>
    <w:rsid w:val="00256738"/>
    <w:rsid w:val="002743DD"/>
    <w:rsid w:val="00284075"/>
    <w:rsid w:val="0029315F"/>
    <w:rsid w:val="00295777"/>
    <w:rsid w:val="002A5710"/>
    <w:rsid w:val="002C39B5"/>
    <w:rsid w:val="002D3B1F"/>
    <w:rsid w:val="002E313F"/>
    <w:rsid w:val="00345820"/>
    <w:rsid w:val="003546DD"/>
    <w:rsid w:val="00361F79"/>
    <w:rsid w:val="00362FD0"/>
    <w:rsid w:val="00371319"/>
    <w:rsid w:val="0037499E"/>
    <w:rsid w:val="00390485"/>
    <w:rsid w:val="0039095A"/>
    <w:rsid w:val="003A2AD9"/>
    <w:rsid w:val="003B0F7B"/>
    <w:rsid w:val="003B541D"/>
    <w:rsid w:val="003C2A46"/>
    <w:rsid w:val="003C4E2F"/>
    <w:rsid w:val="003D7B80"/>
    <w:rsid w:val="003E08C6"/>
    <w:rsid w:val="003F74BA"/>
    <w:rsid w:val="00400559"/>
    <w:rsid w:val="00424D1F"/>
    <w:rsid w:val="00427690"/>
    <w:rsid w:val="004350C1"/>
    <w:rsid w:val="004358E8"/>
    <w:rsid w:val="00436717"/>
    <w:rsid w:val="00457936"/>
    <w:rsid w:val="004607F8"/>
    <w:rsid w:val="00460AF8"/>
    <w:rsid w:val="00475C95"/>
    <w:rsid w:val="0048714F"/>
    <w:rsid w:val="00492713"/>
    <w:rsid w:val="004A73BE"/>
    <w:rsid w:val="004C15A7"/>
    <w:rsid w:val="004C18C1"/>
    <w:rsid w:val="004E2AB7"/>
    <w:rsid w:val="004F330B"/>
    <w:rsid w:val="005033D6"/>
    <w:rsid w:val="005034B9"/>
    <w:rsid w:val="0050774A"/>
    <w:rsid w:val="0051528C"/>
    <w:rsid w:val="00551945"/>
    <w:rsid w:val="005537A5"/>
    <w:rsid w:val="005573FD"/>
    <w:rsid w:val="00567DF5"/>
    <w:rsid w:val="0057014F"/>
    <w:rsid w:val="005713B8"/>
    <w:rsid w:val="00573818"/>
    <w:rsid w:val="00582A9C"/>
    <w:rsid w:val="005844D9"/>
    <w:rsid w:val="005859AE"/>
    <w:rsid w:val="005943E8"/>
    <w:rsid w:val="005A7B06"/>
    <w:rsid w:val="005B0955"/>
    <w:rsid w:val="005C28BD"/>
    <w:rsid w:val="005C72F5"/>
    <w:rsid w:val="005D3E48"/>
    <w:rsid w:val="005E5374"/>
    <w:rsid w:val="005F1CA1"/>
    <w:rsid w:val="005F32B3"/>
    <w:rsid w:val="00627802"/>
    <w:rsid w:val="006306CB"/>
    <w:rsid w:val="006534DF"/>
    <w:rsid w:val="00663635"/>
    <w:rsid w:val="00673660"/>
    <w:rsid w:val="0067766B"/>
    <w:rsid w:val="006A0F4B"/>
    <w:rsid w:val="006A7CE3"/>
    <w:rsid w:val="006C0637"/>
    <w:rsid w:val="006C14AE"/>
    <w:rsid w:val="006C266E"/>
    <w:rsid w:val="006C4546"/>
    <w:rsid w:val="006D3CB0"/>
    <w:rsid w:val="006E566A"/>
    <w:rsid w:val="006E7A7A"/>
    <w:rsid w:val="0070123E"/>
    <w:rsid w:val="007056FA"/>
    <w:rsid w:val="00706A14"/>
    <w:rsid w:val="007077DA"/>
    <w:rsid w:val="00711F59"/>
    <w:rsid w:val="007433C1"/>
    <w:rsid w:val="00761082"/>
    <w:rsid w:val="00771411"/>
    <w:rsid w:val="00773FAB"/>
    <w:rsid w:val="00791FF1"/>
    <w:rsid w:val="007A4604"/>
    <w:rsid w:val="007B0B3F"/>
    <w:rsid w:val="007B200F"/>
    <w:rsid w:val="007B4695"/>
    <w:rsid w:val="007C083D"/>
    <w:rsid w:val="007C3953"/>
    <w:rsid w:val="007C7103"/>
    <w:rsid w:val="007D5861"/>
    <w:rsid w:val="007E37D0"/>
    <w:rsid w:val="007E6785"/>
    <w:rsid w:val="007F1A88"/>
    <w:rsid w:val="007F3D3A"/>
    <w:rsid w:val="008018C4"/>
    <w:rsid w:val="0080203D"/>
    <w:rsid w:val="00813990"/>
    <w:rsid w:val="00827628"/>
    <w:rsid w:val="0083099D"/>
    <w:rsid w:val="00836ADE"/>
    <w:rsid w:val="008452B8"/>
    <w:rsid w:val="00887B4D"/>
    <w:rsid w:val="008A277F"/>
    <w:rsid w:val="008A519B"/>
    <w:rsid w:val="008A5EA1"/>
    <w:rsid w:val="008B355D"/>
    <w:rsid w:val="008B4429"/>
    <w:rsid w:val="008B4765"/>
    <w:rsid w:val="008B50B7"/>
    <w:rsid w:val="008B7461"/>
    <w:rsid w:val="008C1FB2"/>
    <w:rsid w:val="008D3257"/>
    <w:rsid w:val="008E0A28"/>
    <w:rsid w:val="008E1395"/>
    <w:rsid w:val="008E2697"/>
    <w:rsid w:val="00903057"/>
    <w:rsid w:val="00907486"/>
    <w:rsid w:val="00907E21"/>
    <w:rsid w:val="00910501"/>
    <w:rsid w:val="00922842"/>
    <w:rsid w:val="00922B48"/>
    <w:rsid w:val="009511E7"/>
    <w:rsid w:val="00961321"/>
    <w:rsid w:val="00961AD1"/>
    <w:rsid w:val="00973C1B"/>
    <w:rsid w:val="00974B2E"/>
    <w:rsid w:val="00992EEC"/>
    <w:rsid w:val="009A146A"/>
    <w:rsid w:val="009A2671"/>
    <w:rsid w:val="009D5412"/>
    <w:rsid w:val="00A222AB"/>
    <w:rsid w:val="00A26EE1"/>
    <w:rsid w:val="00A270D6"/>
    <w:rsid w:val="00A31F0F"/>
    <w:rsid w:val="00A35569"/>
    <w:rsid w:val="00A36506"/>
    <w:rsid w:val="00A64154"/>
    <w:rsid w:val="00A72577"/>
    <w:rsid w:val="00AD6527"/>
    <w:rsid w:val="00AE2A41"/>
    <w:rsid w:val="00AF3E0E"/>
    <w:rsid w:val="00B164FA"/>
    <w:rsid w:val="00B17AEA"/>
    <w:rsid w:val="00B41FDB"/>
    <w:rsid w:val="00B430CE"/>
    <w:rsid w:val="00B55C04"/>
    <w:rsid w:val="00B57330"/>
    <w:rsid w:val="00B61A57"/>
    <w:rsid w:val="00B64508"/>
    <w:rsid w:val="00B84D4B"/>
    <w:rsid w:val="00B85382"/>
    <w:rsid w:val="00B86618"/>
    <w:rsid w:val="00B947E5"/>
    <w:rsid w:val="00B9507F"/>
    <w:rsid w:val="00BA2BE4"/>
    <w:rsid w:val="00BA5D0E"/>
    <w:rsid w:val="00BE03AE"/>
    <w:rsid w:val="00BE072F"/>
    <w:rsid w:val="00BE7A10"/>
    <w:rsid w:val="00C140C4"/>
    <w:rsid w:val="00C3266E"/>
    <w:rsid w:val="00C41677"/>
    <w:rsid w:val="00C461F6"/>
    <w:rsid w:val="00C64CEF"/>
    <w:rsid w:val="00C75844"/>
    <w:rsid w:val="00C77512"/>
    <w:rsid w:val="00C91E84"/>
    <w:rsid w:val="00C92168"/>
    <w:rsid w:val="00C92DBF"/>
    <w:rsid w:val="00CC4750"/>
    <w:rsid w:val="00CD0D35"/>
    <w:rsid w:val="00CD1AB9"/>
    <w:rsid w:val="00CD62B4"/>
    <w:rsid w:val="00CE0C7B"/>
    <w:rsid w:val="00CF26CC"/>
    <w:rsid w:val="00CF5306"/>
    <w:rsid w:val="00D107BC"/>
    <w:rsid w:val="00D15077"/>
    <w:rsid w:val="00D30FE7"/>
    <w:rsid w:val="00D310AF"/>
    <w:rsid w:val="00D354B1"/>
    <w:rsid w:val="00D36699"/>
    <w:rsid w:val="00D53A67"/>
    <w:rsid w:val="00D645B4"/>
    <w:rsid w:val="00D76DBB"/>
    <w:rsid w:val="00D838DB"/>
    <w:rsid w:val="00DA2ED4"/>
    <w:rsid w:val="00DA4E4C"/>
    <w:rsid w:val="00DC6E24"/>
    <w:rsid w:val="00DE2881"/>
    <w:rsid w:val="00DE46BF"/>
    <w:rsid w:val="00DE7531"/>
    <w:rsid w:val="00E0675F"/>
    <w:rsid w:val="00E12F5F"/>
    <w:rsid w:val="00E20BA8"/>
    <w:rsid w:val="00E2399F"/>
    <w:rsid w:val="00E32E8A"/>
    <w:rsid w:val="00E36B84"/>
    <w:rsid w:val="00E42AE0"/>
    <w:rsid w:val="00E63EF9"/>
    <w:rsid w:val="00E64A44"/>
    <w:rsid w:val="00E67EC4"/>
    <w:rsid w:val="00E74370"/>
    <w:rsid w:val="00E907A3"/>
    <w:rsid w:val="00E91330"/>
    <w:rsid w:val="00EA01C4"/>
    <w:rsid w:val="00EC5508"/>
    <w:rsid w:val="00ED59ED"/>
    <w:rsid w:val="00EE6285"/>
    <w:rsid w:val="00F048CF"/>
    <w:rsid w:val="00F11923"/>
    <w:rsid w:val="00F16C07"/>
    <w:rsid w:val="00F24EA2"/>
    <w:rsid w:val="00F27FF6"/>
    <w:rsid w:val="00F317CD"/>
    <w:rsid w:val="00F32C2D"/>
    <w:rsid w:val="00F41725"/>
    <w:rsid w:val="00F417E8"/>
    <w:rsid w:val="00F449CF"/>
    <w:rsid w:val="00F85105"/>
    <w:rsid w:val="00F95246"/>
    <w:rsid w:val="00FA2033"/>
    <w:rsid w:val="00FA2F11"/>
    <w:rsid w:val="00FB1EE0"/>
    <w:rsid w:val="00FB4588"/>
    <w:rsid w:val="00FB7BD4"/>
    <w:rsid w:val="00FC3CE3"/>
    <w:rsid w:val="00FE5F25"/>
    <w:rsid w:val="00FF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E6348"/>
  <w15:docId w15:val="{A8C55B50-D62A-4DCF-8576-6B70D057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D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818"/>
    <w:pPr>
      <w:tabs>
        <w:tab w:val="center" w:pos="4680"/>
        <w:tab w:val="right" w:pos="9360"/>
      </w:tabs>
    </w:pPr>
  </w:style>
  <w:style w:type="character" w:customStyle="1" w:styleId="HeaderChar">
    <w:name w:val="Header Char"/>
    <w:link w:val="Header"/>
    <w:uiPriority w:val="99"/>
    <w:locked/>
    <w:rsid w:val="00573818"/>
    <w:rPr>
      <w:sz w:val="22"/>
      <w:lang w:eastAsia="en-US"/>
    </w:rPr>
  </w:style>
  <w:style w:type="paragraph" w:styleId="Footer">
    <w:name w:val="footer"/>
    <w:basedOn w:val="Normal"/>
    <w:link w:val="FooterChar"/>
    <w:uiPriority w:val="99"/>
    <w:rsid w:val="00573818"/>
    <w:pPr>
      <w:tabs>
        <w:tab w:val="center" w:pos="4680"/>
        <w:tab w:val="right" w:pos="9360"/>
      </w:tabs>
    </w:pPr>
  </w:style>
  <w:style w:type="character" w:customStyle="1" w:styleId="FooterChar">
    <w:name w:val="Footer Char"/>
    <w:link w:val="Footer"/>
    <w:uiPriority w:val="99"/>
    <w:locked/>
    <w:rsid w:val="00573818"/>
    <w:rPr>
      <w:sz w:val="22"/>
      <w:lang w:eastAsia="en-US"/>
    </w:rPr>
  </w:style>
  <w:style w:type="paragraph" w:styleId="Revision">
    <w:name w:val="Revision"/>
    <w:hidden/>
    <w:uiPriority w:val="99"/>
    <w:semiHidden/>
    <w:rsid w:val="00961AD1"/>
    <w:rPr>
      <w:sz w:val="22"/>
      <w:szCs w:val="22"/>
      <w:lang w:eastAsia="en-US"/>
    </w:rPr>
  </w:style>
  <w:style w:type="character" w:styleId="CommentReference">
    <w:name w:val="annotation reference"/>
    <w:basedOn w:val="DefaultParagraphFont"/>
    <w:uiPriority w:val="99"/>
    <w:semiHidden/>
    <w:unhideWhenUsed/>
    <w:rsid w:val="001F391B"/>
    <w:rPr>
      <w:sz w:val="16"/>
      <w:szCs w:val="16"/>
    </w:rPr>
  </w:style>
  <w:style w:type="paragraph" w:styleId="CommentText">
    <w:name w:val="annotation text"/>
    <w:basedOn w:val="Normal"/>
    <w:link w:val="CommentTextChar"/>
    <w:uiPriority w:val="99"/>
    <w:unhideWhenUsed/>
    <w:rsid w:val="001F391B"/>
    <w:pPr>
      <w:spacing w:line="240" w:lineRule="auto"/>
    </w:pPr>
    <w:rPr>
      <w:sz w:val="20"/>
      <w:szCs w:val="20"/>
    </w:rPr>
  </w:style>
  <w:style w:type="character" w:customStyle="1" w:styleId="CommentTextChar">
    <w:name w:val="Comment Text Char"/>
    <w:basedOn w:val="DefaultParagraphFont"/>
    <w:link w:val="CommentText"/>
    <w:uiPriority w:val="99"/>
    <w:rsid w:val="001F391B"/>
    <w:rPr>
      <w:lang w:eastAsia="en-US"/>
    </w:rPr>
  </w:style>
  <w:style w:type="paragraph" w:styleId="CommentSubject">
    <w:name w:val="annotation subject"/>
    <w:basedOn w:val="CommentText"/>
    <w:next w:val="CommentText"/>
    <w:link w:val="CommentSubjectChar"/>
    <w:uiPriority w:val="99"/>
    <w:semiHidden/>
    <w:unhideWhenUsed/>
    <w:rsid w:val="001F391B"/>
    <w:rPr>
      <w:b/>
      <w:bCs/>
    </w:rPr>
  </w:style>
  <w:style w:type="character" w:customStyle="1" w:styleId="CommentSubjectChar">
    <w:name w:val="Comment Subject Char"/>
    <w:basedOn w:val="CommentTextChar"/>
    <w:link w:val="CommentSubject"/>
    <w:uiPriority w:val="99"/>
    <w:semiHidden/>
    <w:rsid w:val="001F39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7117">
      <w:marLeft w:val="0"/>
      <w:marRight w:val="0"/>
      <w:marTop w:val="0"/>
      <w:marBottom w:val="0"/>
      <w:divBdr>
        <w:top w:val="none" w:sz="0" w:space="0" w:color="auto"/>
        <w:left w:val="none" w:sz="0" w:space="0" w:color="auto"/>
        <w:bottom w:val="none" w:sz="0" w:space="0" w:color="auto"/>
        <w:right w:val="none" w:sz="0" w:space="0" w:color="auto"/>
      </w:divBdr>
    </w:div>
    <w:div w:id="1488087118">
      <w:marLeft w:val="0"/>
      <w:marRight w:val="0"/>
      <w:marTop w:val="0"/>
      <w:marBottom w:val="0"/>
      <w:divBdr>
        <w:top w:val="none" w:sz="0" w:space="0" w:color="auto"/>
        <w:left w:val="none" w:sz="0" w:space="0" w:color="auto"/>
        <w:bottom w:val="none" w:sz="0" w:space="0" w:color="auto"/>
        <w:right w:val="none" w:sz="0" w:space="0" w:color="auto"/>
      </w:divBdr>
    </w:div>
    <w:div w:id="1488087119">
      <w:marLeft w:val="0"/>
      <w:marRight w:val="0"/>
      <w:marTop w:val="0"/>
      <w:marBottom w:val="0"/>
      <w:divBdr>
        <w:top w:val="none" w:sz="0" w:space="0" w:color="auto"/>
        <w:left w:val="none" w:sz="0" w:space="0" w:color="auto"/>
        <w:bottom w:val="none" w:sz="0" w:space="0" w:color="auto"/>
        <w:right w:val="none" w:sz="0" w:space="0" w:color="auto"/>
      </w:divBdr>
    </w:div>
    <w:div w:id="1488087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5CB8-6531-4810-B5F1-651C2A7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3195</Words>
  <Characters>1822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16</cp:revision>
  <dcterms:created xsi:type="dcterms:W3CDTF">2026-04-08T10:33:00Z</dcterms:created>
  <dcterms:modified xsi:type="dcterms:W3CDTF">2026-05-04T11:04:00Z</dcterms:modified>
</cp:coreProperties>
</file>