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57E20D78" w14:textId="5CF0D41B" w:rsidR="00900AAA" w:rsidRPr="00E15301" w:rsidRDefault="00C0552B" w:rsidP="00900AAA">
      <w:pPr>
        <w:jc w:val="center"/>
        <w:rPr>
          <w:b/>
          <w:szCs w:val="20"/>
          <w:lang w:eastAsia="lt-LT"/>
        </w:rPr>
      </w:pPr>
      <w:r w:rsidRPr="006248CB">
        <w:rPr>
          <w:b/>
        </w:rPr>
        <w:t xml:space="preserve">DĖL </w:t>
      </w:r>
      <w:r w:rsidR="00333FF9">
        <w:rPr>
          <w:b/>
        </w:rPr>
        <w:t xml:space="preserve"> LAIKINŲJŲ KELIO PLOKŠČIŲ</w:t>
      </w:r>
      <w:r w:rsidR="007E461A">
        <w:rPr>
          <w:b/>
        </w:rPr>
        <w:t xml:space="preserve"> </w:t>
      </w:r>
      <w:r w:rsidR="008E578F">
        <w:rPr>
          <w:b/>
        </w:rPr>
        <w:t xml:space="preserve"> </w:t>
      </w:r>
    </w:p>
    <w:p w14:paraId="7F76ED4A" w14:textId="3452E8D2" w:rsidR="00C0552B" w:rsidRPr="006248CB" w:rsidRDefault="007B3CFE" w:rsidP="00C0552B">
      <w:pPr>
        <w:jc w:val="center"/>
      </w:pPr>
      <w:r>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 xml:space="preserve">Subrangovo (-ų), subtiekėjo (-ų) ar </w:t>
            </w:r>
            <w:proofErr w:type="spellStart"/>
            <w:r w:rsidRPr="00865954">
              <w:rPr>
                <w:b/>
                <w:bCs/>
                <w:spacing w:val="-4"/>
                <w:sz w:val="22"/>
                <w:szCs w:val="22"/>
              </w:rPr>
              <w:t>subteikėjo</w:t>
            </w:r>
            <w:proofErr w:type="spellEnd"/>
            <w:r w:rsidRPr="00865954">
              <w:rPr>
                <w:b/>
                <w:bCs/>
                <w:spacing w:val="-4"/>
                <w:sz w:val="22"/>
                <w:szCs w:val="22"/>
              </w:rPr>
              <w:t xml:space="preserve">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w:t>
            </w:r>
            <w:r w:rsidR="00C0552B" w:rsidRPr="00865954">
              <w:rPr>
                <w:b/>
                <w:bCs/>
                <w:sz w:val="22"/>
                <w:szCs w:val="22"/>
              </w:rPr>
              <w:lastRenderedPageBreak/>
              <w:t xml:space="preserve">pavardė (individualios 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464"/>
        <w:gridCol w:w="1639"/>
        <w:gridCol w:w="1418"/>
        <w:gridCol w:w="1559"/>
        <w:gridCol w:w="1417"/>
      </w:tblGrid>
      <w:tr w:rsidR="00FA5E4B" w:rsidRPr="0094451A" w14:paraId="2B3EA5D9" w14:textId="77777777" w:rsidTr="00FA5E4B">
        <w:trPr>
          <w:trHeight w:val="501"/>
        </w:trPr>
        <w:tc>
          <w:tcPr>
            <w:tcW w:w="851" w:type="dxa"/>
            <w:shd w:val="clear" w:color="auto" w:fill="auto"/>
            <w:vAlign w:val="center"/>
          </w:tcPr>
          <w:p w14:paraId="1E15289C" w14:textId="77777777" w:rsidR="00FA5E4B" w:rsidRPr="0094451A" w:rsidRDefault="00FA5E4B"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3464" w:type="dxa"/>
            <w:shd w:val="clear" w:color="auto" w:fill="auto"/>
            <w:vAlign w:val="center"/>
          </w:tcPr>
          <w:p w14:paraId="2CC3AAD6" w14:textId="77777777" w:rsidR="00FA5E4B" w:rsidRPr="0094451A" w:rsidRDefault="00FA5E4B" w:rsidP="009C4856">
            <w:pPr>
              <w:jc w:val="center"/>
              <w:rPr>
                <w:b/>
                <w:color w:val="000000"/>
              </w:rPr>
            </w:pPr>
            <w:r w:rsidRPr="0094451A">
              <w:rPr>
                <w:b/>
                <w:color w:val="000000"/>
              </w:rPr>
              <w:t>Prekės pavadinimas</w:t>
            </w:r>
          </w:p>
        </w:tc>
        <w:tc>
          <w:tcPr>
            <w:tcW w:w="1639" w:type="dxa"/>
            <w:shd w:val="clear" w:color="auto" w:fill="auto"/>
            <w:vAlign w:val="center"/>
          </w:tcPr>
          <w:p w14:paraId="697D9620" w14:textId="23BC903F" w:rsidR="00FA5E4B" w:rsidRPr="0094451A" w:rsidRDefault="00FA5E4B" w:rsidP="009C4856">
            <w:pPr>
              <w:jc w:val="center"/>
              <w:rPr>
                <w:b/>
                <w:color w:val="000000"/>
              </w:rPr>
            </w:pPr>
            <w:r>
              <w:rPr>
                <w:b/>
                <w:color w:val="000000"/>
              </w:rPr>
              <w:t>Mato</w:t>
            </w:r>
            <w:r w:rsidRPr="0094451A">
              <w:rPr>
                <w:b/>
                <w:color w:val="000000"/>
              </w:rPr>
              <w:t xml:space="preserve"> vienetais</w:t>
            </w:r>
          </w:p>
        </w:tc>
        <w:tc>
          <w:tcPr>
            <w:tcW w:w="1418" w:type="dxa"/>
          </w:tcPr>
          <w:p w14:paraId="20FD1C15" w14:textId="2D095045" w:rsidR="00FA5E4B" w:rsidRDefault="00FA5E4B" w:rsidP="00FA5E4B">
            <w:pPr>
              <w:rPr>
                <w:b/>
                <w:color w:val="000000"/>
              </w:rPr>
            </w:pPr>
          </w:p>
          <w:p w14:paraId="3A232AD9" w14:textId="53B4CCF7" w:rsidR="00FA5E4B" w:rsidRPr="00FA5E4B" w:rsidRDefault="00FA5E4B" w:rsidP="00FA5E4B">
            <w:pPr>
              <w:rPr>
                <w:b/>
              </w:rPr>
            </w:pPr>
            <w:r w:rsidRPr="00FA5E4B">
              <w:rPr>
                <w:b/>
              </w:rPr>
              <w:t>Perkamas</w:t>
            </w:r>
          </w:p>
          <w:p w14:paraId="6D33CB30" w14:textId="425AC897" w:rsidR="00FA5E4B" w:rsidRPr="00FA5E4B" w:rsidRDefault="00FA5E4B" w:rsidP="00FA5E4B">
            <w:pPr>
              <w:jc w:val="center"/>
              <w:rPr>
                <w:b/>
              </w:rPr>
            </w:pPr>
            <w:r>
              <w:rPr>
                <w:b/>
              </w:rPr>
              <w:t>k</w:t>
            </w:r>
            <w:r w:rsidRPr="00FA5E4B">
              <w:rPr>
                <w:b/>
              </w:rPr>
              <w:t>iekis</w:t>
            </w:r>
          </w:p>
        </w:tc>
        <w:tc>
          <w:tcPr>
            <w:tcW w:w="1559" w:type="dxa"/>
            <w:shd w:val="clear" w:color="auto" w:fill="auto"/>
            <w:vAlign w:val="center"/>
          </w:tcPr>
          <w:p w14:paraId="11F54748" w14:textId="303BD33B" w:rsidR="00FA5E4B" w:rsidRPr="0094451A" w:rsidRDefault="00562B1E" w:rsidP="009C4856">
            <w:pPr>
              <w:jc w:val="center"/>
              <w:rPr>
                <w:b/>
                <w:color w:val="000000"/>
              </w:rPr>
            </w:pPr>
            <w:r>
              <w:rPr>
                <w:rFonts w:ascii="Arial" w:hAnsi="Arial" w:cs="Arial"/>
                <w:b/>
                <w:sz w:val="22"/>
                <w:szCs w:val="22"/>
              </w:rPr>
              <w:t>Vieneto įkainis EUR be PVM</w:t>
            </w:r>
          </w:p>
        </w:tc>
        <w:tc>
          <w:tcPr>
            <w:tcW w:w="1417" w:type="dxa"/>
            <w:shd w:val="clear" w:color="auto" w:fill="auto"/>
            <w:vAlign w:val="center"/>
          </w:tcPr>
          <w:p w14:paraId="09BC6017" w14:textId="77777777" w:rsidR="00FA5E4B" w:rsidRPr="0094451A" w:rsidRDefault="00FA5E4B" w:rsidP="009C485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1ABEF80C" w14:textId="69EA299D" w:rsidR="00FA5E4B" w:rsidRPr="0094451A" w:rsidRDefault="00FA5E4B" w:rsidP="009C4856">
            <w:pPr>
              <w:jc w:val="center"/>
              <w:rPr>
                <w:b/>
                <w:color w:val="000000"/>
                <w:sz w:val="14"/>
                <w:szCs w:val="14"/>
              </w:rPr>
            </w:pPr>
            <w:r>
              <w:rPr>
                <w:b/>
                <w:color w:val="000000"/>
                <w:sz w:val="14"/>
                <w:szCs w:val="14"/>
              </w:rPr>
              <w:t>(4 ir 5</w:t>
            </w:r>
            <w:r w:rsidRPr="0094451A">
              <w:rPr>
                <w:b/>
                <w:color w:val="000000"/>
                <w:sz w:val="14"/>
                <w:szCs w:val="14"/>
              </w:rPr>
              <w:t xml:space="preserve"> stulpelių sandauga)</w:t>
            </w:r>
          </w:p>
        </w:tc>
      </w:tr>
      <w:tr w:rsidR="00FA5E4B" w:rsidRPr="0094451A" w14:paraId="12A41908" w14:textId="77777777" w:rsidTr="00FA5E4B">
        <w:trPr>
          <w:trHeight w:val="172"/>
        </w:trPr>
        <w:tc>
          <w:tcPr>
            <w:tcW w:w="851" w:type="dxa"/>
            <w:shd w:val="clear" w:color="auto" w:fill="auto"/>
          </w:tcPr>
          <w:p w14:paraId="1D6D463C" w14:textId="77777777" w:rsidR="00FA5E4B" w:rsidRPr="0094451A" w:rsidRDefault="00FA5E4B" w:rsidP="009C4856">
            <w:pPr>
              <w:jc w:val="center"/>
              <w:rPr>
                <w:b/>
                <w:color w:val="000000"/>
                <w:sz w:val="16"/>
                <w:szCs w:val="16"/>
              </w:rPr>
            </w:pPr>
            <w:r w:rsidRPr="0094451A">
              <w:rPr>
                <w:b/>
                <w:color w:val="000000"/>
                <w:sz w:val="16"/>
                <w:szCs w:val="16"/>
              </w:rPr>
              <w:t>1</w:t>
            </w:r>
          </w:p>
        </w:tc>
        <w:tc>
          <w:tcPr>
            <w:tcW w:w="3464" w:type="dxa"/>
            <w:shd w:val="clear" w:color="auto" w:fill="auto"/>
            <w:vAlign w:val="center"/>
          </w:tcPr>
          <w:p w14:paraId="042C1B75" w14:textId="77777777" w:rsidR="00FA5E4B" w:rsidRPr="0094451A" w:rsidRDefault="00FA5E4B" w:rsidP="009C4856">
            <w:pPr>
              <w:jc w:val="center"/>
              <w:rPr>
                <w:b/>
                <w:color w:val="000000"/>
                <w:sz w:val="16"/>
                <w:szCs w:val="16"/>
              </w:rPr>
            </w:pPr>
            <w:r w:rsidRPr="0094451A">
              <w:rPr>
                <w:b/>
                <w:color w:val="000000"/>
                <w:sz w:val="16"/>
                <w:szCs w:val="16"/>
              </w:rPr>
              <w:t>2</w:t>
            </w:r>
          </w:p>
        </w:tc>
        <w:tc>
          <w:tcPr>
            <w:tcW w:w="1639" w:type="dxa"/>
            <w:shd w:val="clear" w:color="auto" w:fill="auto"/>
          </w:tcPr>
          <w:p w14:paraId="2B25F8B3" w14:textId="77777777" w:rsidR="00FA5E4B" w:rsidRPr="0094451A" w:rsidRDefault="00FA5E4B" w:rsidP="009C4856">
            <w:pPr>
              <w:jc w:val="center"/>
              <w:rPr>
                <w:b/>
                <w:color w:val="000000"/>
                <w:sz w:val="16"/>
                <w:szCs w:val="16"/>
              </w:rPr>
            </w:pPr>
            <w:r w:rsidRPr="0094451A">
              <w:rPr>
                <w:b/>
                <w:color w:val="000000"/>
                <w:sz w:val="16"/>
                <w:szCs w:val="16"/>
              </w:rPr>
              <w:t>3</w:t>
            </w:r>
          </w:p>
        </w:tc>
        <w:tc>
          <w:tcPr>
            <w:tcW w:w="1418" w:type="dxa"/>
          </w:tcPr>
          <w:p w14:paraId="77AE1215" w14:textId="04DBF481" w:rsidR="00FA5E4B" w:rsidRPr="0094451A" w:rsidRDefault="00FA5E4B" w:rsidP="009C4856">
            <w:pPr>
              <w:jc w:val="center"/>
              <w:rPr>
                <w:b/>
                <w:color w:val="000000"/>
                <w:sz w:val="16"/>
                <w:szCs w:val="16"/>
              </w:rPr>
            </w:pPr>
            <w:r>
              <w:rPr>
                <w:b/>
                <w:color w:val="000000"/>
                <w:sz w:val="16"/>
                <w:szCs w:val="16"/>
              </w:rPr>
              <w:t>4</w:t>
            </w:r>
          </w:p>
        </w:tc>
        <w:tc>
          <w:tcPr>
            <w:tcW w:w="1559" w:type="dxa"/>
            <w:shd w:val="clear" w:color="auto" w:fill="auto"/>
          </w:tcPr>
          <w:p w14:paraId="6AC2B069" w14:textId="4B3BE5EA" w:rsidR="00FA5E4B" w:rsidRPr="0094451A" w:rsidRDefault="00FA5E4B" w:rsidP="009C4856">
            <w:pPr>
              <w:jc w:val="center"/>
              <w:rPr>
                <w:b/>
                <w:color w:val="000000"/>
                <w:sz w:val="16"/>
                <w:szCs w:val="16"/>
              </w:rPr>
            </w:pPr>
            <w:r>
              <w:rPr>
                <w:b/>
                <w:color w:val="000000"/>
                <w:sz w:val="16"/>
                <w:szCs w:val="16"/>
              </w:rPr>
              <w:t>5</w:t>
            </w:r>
          </w:p>
        </w:tc>
        <w:tc>
          <w:tcPr>
            <w:tcW w:w="1417" w:type="dxa"/>
            <w:shd w:val="clear" w:color="auto" w:fill="auto"/>
          </w:tcPr>
          <w:p w14:paraId="49F68DA0" w14:textId="1587CE13" w:rsidR="00FA5E4B" w:rsidRPr="0094451A" w:rsidRDefault="00FA5E4B" w:rsidP="009C4856">
            <w:pPr>
              <w:jc w:val="center"/>
              <w:rPr>
                <w:b/>
                <w:color w:val="000000"/>
                <w:sz w:val="16"/>
                <w:szCs w:val="16"/>
              </w:rPr>
            </w:pPr>
            <w:r>
              <w:rPr>
                <w:b/>
                <w:color w:val="000000"/>
                <w:sz w:val="16"/>
                <w:szCs w:val="16"/>
              </w:rPr>
              <w:t>6</w:t>
            </w:r>
          </w:p>
        </w:tc>
      </w:tr>
      <w:tr w:rsidR="003220D0" w:rsidRPr="0094451A" w14:paraId="78956284" w14:textId="77777777" w:rsidTr="00FA5E4B">
        <w:trPr>
          <w:trHeight w:val="172"/>
        </w:trPr>
        <w:tc>
          <w:tcPr>
            <w:tcW w:w="851" w:type="dxa"/>
            <w:shd w:val="clear" w:color="auto" w:fill="auto"/>
          </w:tcPr>
          <w:p w14:paraId="3A90F9CB" w14:textId="5C7AE6FD" w:rsidR="003220D0" w:rsidRPr="003220D0" w:rsidRDefault="003220D0" w:rsidP="009C4856">
            <w:pPr>
              <w:jc w:val="center"/>
              <w:rPr>
                <w:color w:val="000000"/>
              </w:rPr>
            </w:pPr>
            <w:r w:rsidRPr="003220D0">
              <w:rPr>
                <w:color w:val="000000"/>
              </w:rPr>
              <w:t>1.</w:t>
            </w:r>
          </w:p>
        </w:tc>
        <w:tc>
          <w:tcPr>
            <w:tcW w:w="3464" w:type="dxa"/>
            <w:shd w:val="clear" w:color="auto" w:fill="auto"/>
            <w:vAlign w:val="center"/>
          </w:tcPr>
          <w:p w14:paraId="66CBB543" w14:textId="552F23AB" w:rsidR="003220D0" w:rsidRPr="00333FF9" w:rsidRDefault="00333FF9" w:rsidP="00333FF9">
            <w:pPr>
              <w:jc w:val="center"/>
            </w:pPr>
            <w:r>
              <w:t>Laikinojo kelio plokštė</w:t>
            </w:r>
          </w:p>
        </w:tc>
        <w:tc>
          <w:tcPr>
            <w:tcW w:w="1639" w:type="dxa"/>
            <w:shd w:val="clear" w:color="auto" w:fill="auto"/>
          </w:tcPr>
          <w:p w14:paraId="2FF5C759" w14:textId="58EDAE62" w:rsidR="003220D0" w:rsidRPr="003220D0" w:rsidRDefault="003220D0" w:rsidP="009C4856">
            <w:pPr>
              <w:jc w:val="center"/>
              <w:rPr>
                <w:color w:val="000000"/>
                <w:sz w:val="16"/>
                <w:szCs w:val="16"/>
              </w:rPr>
            </w:pPr>
            <w:r w:rsidRPr="003220D0">
              <w:t>vnt.</w:t>
            </w:r>
          </w:p>
        </w:tc>
        <w:tc>
          <w:tcPr>
            <w:tcW w:w="1418" w:type="dxa"/>
          </w:tcPr>
          <w:p w14:paraId="02ED6C6A" w14:textId="6EC27885" w:rsidR="003220D0" w:rsidRPr="003220D0" w:rsidRDefault="00333FF9" w:rsidP="009C4856">
            <w:pPr>
              <w:jc w:val="center"/>
              <w:rPr>
                <w:color w:val="000000"/>
              </w:rPr>
            </w:pPr>
            <w:r>
              <w:rPr>
                <w:color w:val="000000"/>
              </w:rPr>
              <w:t>200</w:t>
            </w:r>
          </w:p>
        </w:tc>
        <w:tc>
          <w:tcPr>
            <w:tcW w:w="1559" w:type="dxa"/>
            <w:shd w:val="clear" w:color="auto" w:fill="auto"/>
          </w:tcPr>
          <w:p w14:paraId="6964D222" w14:textId="77777777" w:rsidR="003220D0" w:rsidRDefault="003220D0" w:rsidP="009C4856">
            <w:pPr>
              <w:jc w:val="center"/>
              <w:rPr>
                <w:b/>
                <w:color w:val="000000"/>
                <w:sz w:val="16"/>
                <w:szCs w:val="16"/>
              </w:rPr>
            </w:pPr>
          </w:p>
        </w:tc>
        <w:tc>
          <w:tcPr>
            <w:tcW w:w="1417" w:type="dxa"/>
            <w:shd w:val="clear" w:color="auto" w:fill="auto"/>
          </w:tcPr>
          <w:p w14:paraId="5BDE41F6" w14:textId="77777777" w:rsidR="003220D0" w:rsidRDefault="003220D0" w:rsidP="009C4856">
            <w:pPr>
              <w:jc w:val="center"/>
              <w:rPr>
                <w:b/>
                <w:color w:val="000000"/>
                <w:sz w:val="16"/>
                <w:szCs w:val="16"/>
              </w:rPr>
            </w:pPr>
          </w:p>
        </w:tc>
      </w:tr>
      <w:tr w:rsidR="00562B1E" w:rsidRPr="0094451A" w14:paraId="435953E4" w14:textId="77777777" w:rsidTr="00562B1E">
        <w:trPr>
          <w:trHeight w:val="319"/>
        </w:trPr>
        <w:tc>
          <w:tcPr>
            <w:tcW w:w="851" w:type="dxa"/>
          </w:tcPr>
          <w:p w14:paraId="2ADC7FAA" w14:textId="77777777" w:rsidR="00562B1E" w:rsidRPr="0094451A" w:rsidRDefault="00562B1E" w:rsidP="00562B1E">
            <w:pPr>
              <w:jc w:val="right"/>
              <w:rPr>
                <w:b/>
                <w:color w:val="000000"/>
              </w:rPr>
            </w:pPr>
          </w:p>
        </w:tc>
        <w:tc>
          <w:tcPr>
            <w:tcW w:w="8080" w:type="dxa"/>
            <w:gridSpan w:val="4"/>
            <w:shd w:val="clear" w:color="auto" w:fill="auto"/>
            <w:noWrap/>
          </w:tcPr>
          <w:p w14:paraId="49CB49DC" w14:textId="20A9BDA1" w:rsidR="00562B1E" w:rsidRPr="0094451A" w:rsidRDefault="00562B1E" w:rsidP="00562B1E">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417" w:type="dxa"/>
            <w:shd w:val="clear" w:color="auto" w:fill="auto"/>
          </w:tcPr>
          <w:p w14:paraId="16DD502C" w14:textId="77777777" w:rsidR="00562B1E" w:rsidRPr="0094451A" w:rsidRDefault="00562B1E" w:rsidP="00562B1E">
            <w:pPr>
              <w:jc w:val="center"/>
              <w:rPr>
                <w:bCs/>
                <w:color w:val="000000"/>
              </w:rPr>
            </w:pPr>
          </w:p>
        </w:tc>
      </w:tr>
      <w:tr w:rsidR="00562B1E" w:rsidRPr="0094451A" w14:paraId="1386906E" w14:textId="77777777" w:rsidTr="00562B1E">
        <w:trPr>
          <w:trHeight w:val="267"/>
        </w:trPr>
        <w:tc>
          <w:tcPr>
            <w:tcW w:w="851" w:type="dxa"/>
          </w:tcPr>
          <w:p w14:paraId="5664E9DF" w14:textId="77777777" w:rsidR="00562B1E" w:rsidRDefault="00562B1E" w:rsidP="00562B1E">
            <w:pPr>
              <w:jc w:val="right"/>
              <w:rPr>
                <w:rFonts w:ascii="Arial" w:hAnsi="Arial" w:cs="Arial"/>
                <w:b/>
                <w:sz w:val="22"/>
                <w:szCs w:val="22"/>
              </w:rPr>
            </w:pPr>
          </w:p>
        </w:tc>
        <w:tc>
          <w:tcPr>
            <w:tcW w:w="8080" w:type="dxa"/>
            <w:gridSpan w:val="4"/>
            <w:shd w:val="clear" w:color="auto" w:fill="auto"/>
            <w:noWrap/>
          </w:tcPr>
          <w:p w14:paraId="54F43C9A" w14:textId="681A5CBF" w:rsidR="00562B1E" w:rsidRPr="0094451A" w:rsidRDefault="00562B1E" w:rsidP="00562B1E">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417" w:type="dxa"/>
            <w:shd w:val="clear" w:color="auto" w:fill="auto"/>
          </w:tcPr>
          <w:p w14:paraId="38C5B391" w14:textId="77777777" w:rsidR="00562B1E" w:rsidRPr="0094451A" w:rsidRDefault="00562B1E" w:rsidP="00562B1E">
            <w:pPr>
              <w:jc w:val="center"/>
              <w:rPr>
                <w:bCs/>
                <w:color w:val="000000"/>
              </w:rPr>
            </w:pPr>
          </w:p>
        </w:tc>
      </w:tr>
      <w:tr w:rsidR="00562B1E" w:rsidRPr="0094451A" w14:paraId="56FB072B" w14:textId="77777777" w:rsidTr="00562B1E">
        <w:trPr>
          <w:trHeight w:val="272"/>
        </w:trPr>
        <w:tc>
          <w:tcPr>
            <w:tcW w:w="851" w:type="dxa"/>
          </w:tcPr>
          <w:p w14:paraId="059BFEA3" w14:textId="77777777" w:rsidR="00562B1E" w:rsidRPr="0094451A" w:rsidRDefault="00562B1E" w:rsidP="00562B1E">
            <w:pPr>
              <w:jc w:val="right"/>
              <w:rPr>
                <w:b/>
                <w:color w:val="000000"/>
              </w:rPr>
            </w:pPr>
          </w:p>
        </w:tc>
        <w:tc>
          <w:tcPr>
            <w:tcW w:w="8080" w:type="dxa"/>
            <w:gridSpan w:val="4"/>
            <w:shd w:val="clear" w:color="auto" w:fill="auto"/>
            <w:noWrap/>
          </w:tcPr>
          <w:p w14:paraId="2C5F7BC4" w14:textId="6A43638C" w:rsidR="00562B1E" w:rsidRPr="0094451A" w:rsidRDefault="00562B1E" w:rsidP="00562B1E">
            <w:pPr>
              <w:jc w:val="right"/>
              <w:rPr>
                <w:bCs/>
                <w:color w:val="000000"/>
              </w:rPr>
            </w:pPr>
            <w:r>
              <w:rPr>
                <w:b/>
                <w:color w:val="000000"/>
              </w:rPr>
              <w:t>Iš viso bendra kaina su</w:t>
            </w:r>
            <w:r w:rsidRPr="0094451A">
              <w:rPr>
                <w:b/>
                <w:color w:val="000000"/>
              </w:rPr>
              <w:t xml:space="preserve"> PVM, </w:t>
            </w:r>
            <w:proofErr w:type="spellStart"/>
            <w:r w:rsidRPr="0094451A">
              <w:rPr>
                <w:b/>
                <w:color w:val="000000"/>
              </w:rPr>
              <w:t>Eur</w:t>
            </w:r>
            <w:proofErr w:type="spellEnd"/>
          </w:p>
        </w:tc>
        <w:tc>
          <w:tcPr>
            <w:tcW w:w="1417" w:type="dxa"/>
            <w:shd w:val="clear" w:color="auto" w:fill="auto"/>
          </w:tcPr>
          <w:p w14:paraId="661BE3B2" w14:textId="77777777" w:rsidR="00562B1E" w:rsidRPr="0094451A" w:rsidRDefault="00562B1E" w:rsidP="00562B1E">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6C14E650" w14:textId="1AE153BD" w:rsidR="00DA50A7" w:rsidRDefault="00F451FF" w:rsidP="00A40C5E">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515647BC" w14:textId="5A508C6B" w:rsidR="002033BC" w:rsidRDefault="002033BC" w:rsidP="002033BC">
      <w:pPr>
        <w:jc w:val="both"/>
        <w:rPr>
          <w:color w:val="000000"/>
        </w:rPr>
      </w:pPr>
    </w:p>
    <w:p w14:paraId="5F27D650" w14:textId="7B084A7D" w:rsidR="002033BC" w:rsidRDefault="002033BC" w:rsidP="002033BC">
      <w:pPr>
        <w:jc w:val="both"/>
        <w:rPr>
          <w:color w:val="000000"/>
        </w:rPr>
      </w:pPr>
    </w:p>
    <w:p w14:paraId="081E97C6" w14:textId="21092F92" w:rsidR="002033BC" w:rsidRDefault="002033BC" w:rsidP="002033BC">
      <w:pPr>
        <w:jc w:val="both"/>
        <w:rPr>
          <w:color w:val="000000"/>
        </w:rPr>
      </w:pPr>
    </w:p>
    <w:p w14:paraId="545BBF6E" w14:textId="6DC0393C" w:rsidR="002033BC" w:rsidRPr="002033BC" w:rsidRDefault="002033BC" w:rsidP="002033BC">
      <w:pPr>
        <w:jc w:val="both"/>
        <w:rPr>
          <w:color w:val="000000"/>
        </w:rPr>
      </w:pPr>
    </w:p>
    <w:p w14:paraId="7C9689D0" w14:textId="3A9D1023"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D42AC5">
        <w:rPr>
          <w:b/>
          <w:bCs/>
          <w:i/>
          <w:iCs/>
          <w:color w:val="000000" w:themeColor="text1"/>
        </w:rPr>
        <w:t>“</w:t>
      </w:r>
    </w:p>
    <w:tbl>
      <w:tblPr>
        <w:tblpPr w:leftFromText="180" w:rightFromText="180" w:vertAnchor="text" w:tblpX="-34"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3544"/>
        <w:gridCol w:w="2727"/>
      </w:tblGrid>
      <w:tr w:rsidR="000F0296" w:rsidRPr="005A455D" w14:paraId="3ED280D2" w14:textId="77777777" w:rsidTr="00333FF9">
        <w:tc>
          <w:tcPr>
            <w:tcW w:w="2972" w:type="dxa"/>
            <w:vAlign w:val="center"/>
          </w:tcPr>
          <w:p w14:paraId="351C5EE2" w14:textId="77777777" w:rsidR="000F0296" w:rsidRPr="005A455D" w:rsidRDefault="000F0296" w:rsidP="0064391E">
            <w:pPr>
              <w:jc w:val="center"/>
              <w:rPr>
                <w:b/>
              </w:rPr>
            </w:pPr>
            <w:r>
              <w:rPr>
                <w:b/>
              </w:rPr>
              <w:lastRenderedPageBreak/>
              <w:t>Pavadinimas/</w:t>
            </w:r>
            <w:r w:rsidRPr="005A455D">
              <w:rPr>
                <w:b/>
              </w:rPr>
              <w:t>Funkcija</w:t>
            </w:r>
          </w:p>
        </w:tc>
        <w:tc>
          <w:tcPr>
            <w:tcW w:w="3544" w:type="dxa"/>
            <w:vAlign w:val="center"/>
          </w:tcPr>
          <w:p w14:paraId="1C70C8E3" w14:textId="77777777" w:rsidR="000F0296" w:rsidRPr="005A455D" w:rsidRDefault="000F0296" w:rsidP="0064391E">
            <w:pPr>
              <w:jc w:val="center"/>
              <w:rPr>
                <w:b/>
              </w:rPr>
            </w:pPr>
            <w:r>
              <w:rPr>
                <w:b/>
                <w:bCs/>
                <w:color w:val="000000"/>
              </w:rPr>
              <w:t>Pirkėjo reikalaujamos charakteristikos</w:t>
            </w:r>
          </w:p>
        </w:tc>
        <w:tc>
          <w:tcPr>
            <w:tcW w:w="2727" w:type="dxa"/>
          </w:tcPr>
          <w:p w14:paraId="2DD77C91" w14:textId="77777777" w:rsidR="000F0296" w:rsidRPr="007402E5" w:rsidRDefault="000F0296"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3220D0" w:rsidRPr="005A455D" w14:paraId="64192D50" w14:textId="77777777" w:rsidTr="00333FF9">
        <w:tc>
          <w:tcPr>
            <w:tcW w:w="2972" w:type="dxa"/>
            <w:vAlign w:val="center"/>
          </w:tcPr>
          <w:p w14:paraId="78D4AEDA" w14:textId="77777777" w:rsidR="00333FF9" w:rsidRDefault="00333FF9" w:rsidP="00333FF9">
            <w:pPr>
              <w:jc w:val="center"/>
            </w:pPr>
            <w:r>
              <w:t>Laikinojo kelio plokštė</w:t>
            </w:r>
          </w:p>
          <w:p w14:paraId="4EC38678" w14:textId="5EEA19C8" w:rsidR="003220D0" w:rsidRDefault="00333FF9" w:rsidP="00333FF9">
            <w:pPr>
              <w:jc w:val="center"/>
              <w:rPr>
                <w:b/>
              </w:rPr>
            </w:pPr>
            <w:r>
              <w:object w:dxaOrig="7350" w:dyaOrig="5205" w14:anchorId="52DCB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38pt;height:123pt" o:ole="">
                  <v:imagedata r:id="rId8" o:title=""/>
                </v:shape>
                <o:OLEObject Type="Embed" ProgID="PBrush" ShapeID="_x0000_i1052" DrawAspect="Content" ObjectID="_1839402380" r:id="rId9"/>
              </w:object>
            </w:r>
          </w:p>
        </w:tc>
        <w:tc>
          <w:tcPr>
            <w:tcW w:w="3544" w:type="dxa"/>
            <w:vAlign w:val="center"/>
          </w:tcPr>
          <w:p w14:paraId="688B6B46" w14:textId="77777777" w:rsidR="00333FF9" w:rsidRDefault="00333FF9" w:rsidP="00333FF9">
            <w:pPr>
              <w:pStyle w:val="NormalWeb"/>
              <w:jc w:val="both"/>
              <w:rPr>
                <w:bCs/>
              </w:rPr>
            </w:pPr>
            <w:r w:rsidRPr="00D91C6B">
              <w:rPr>
                <w:bCs/>
              </w:rPr>
              <w:t>Gaminio savybės:</w:t>
            </w:r>
          </w:p>
          <w:p w14:paraId="3317FD19" w14:textId="7D98C35B" w:rsidR="00333FF9" w:rsidRDefault="00333FF9" w:rsidP="00333FF9">
            <w:pPr>
              <w:pStyle w:val="NormalWeb"/>
              <w:jc w:val="both"/>
              <w:rPr>
                <w:bCs/>
              </w:rPr>
            </w:pPr>
            <w:r>
              <w:rPr>
                <w:bCs/>
              </w:rPr>
              <w:t>Plokštės ilgis: 2400 (</w:t>
            </w:r>
            <w:r>
              <w:rPr>
                <w:rFonts w:eastAsia="Calibri"/>
              </w:rPr>
              <w:t>± 100)</w:t>
            </w:r>
            <w:r>
              <w:rPr>
                <w:bCs/>
              </w:rPr>
              <w:t xml:space="preserve"> mm;</w:t>
            </w:r>
          </w:p>
          <w:p w14:paraId="3A55673F" w14:textId="77777777" w:rsidR="00333FF9" w:rsidRPr="00D91C6B" w:rsidRDefault="00333FF9" w:rsidP="00333FF9">
            <w:pPr>
              <w:pStyle w:val="NormalWeb"/>
              <w:jc w:val="both"/>
              <w:rPr>
                <w:bCs/>
              </w:rPr>
            </w:pPr>
            <w:r>
              <w:rPr>
                <w:bCs/>
              </w:rPr>
              <w:t>Plokštės plotis: 1200 (</w:t>
            </w:r>
            <w:r>
              <w:rPr>
                <w:rFonts w:eastAsia="Calibri"/>
              </w:rPr>
              <w:t>± 100) mm;</w:t>
            </w:r>
          </w:p>
          <w:p w14:paraId="7966BA71" w14:textId="77777777" w:rsidR="00333FF9" w:rsidRPr="006870AB" w:rsidRDefault="00333FF9" w:rsidP="00333FF9">
            <w:pPr>
              <w:pStyle w:val="NormalWeb"/>
              <w:jc w:val="both"/>
            </w:pPr>
            <w:r>
              <w:t>Plokštės storis</w:t>
            </w:r>
            <w:r w:rsidRPr="00D91C6B">
              <w:t xml:space="preserve">: </w:t>
            </w:r>
            <w:r w:rsidRPr="006870AB">
              <w:t>nuo 15 mm iki 20 mm</w:t>
            </w:r>
            <w:r>
              <w:t>;</w:t>
            </w:r>
          </w:p>
          <w:p w14:paraId="750B8A17" w14:textId="77777777" w:rsidR="00333FF9" w:rsidRPr="006870AB" w:rsidRDefault="00333FF9" w:rsidP="00333FF9">
            <w:pPr>
              <w:pStyle w:val="NormalWeb"/>
              <w:jc w:val="both"/>
            </w:pPr>
            <w:r w:rsidRPr="006870AB">
              <w:t>Plokštės svoris: iki 55 kg</w:t>
            </w:r>
            <w:r>
              <w:t>;</w:t>
            </w:r>
          </w:p>
          <w:p w14:paraId="56BD9D19" w14:textId="77777777" w:rsidR="00333FF9" w:rsidRPr="006870AB" w:rsidRDefault="00333FF9" w:rsidP="00333FF9">
            <w:pPr>
              <w:pStyle w:val="NormalWeb"/>
              <w:jc w:val="both"/>
            </w:pPr>
            <w:r w:rsidRPr="006870AB">
              <w:t xml:space="preserve">Maksimali apkrova: ne mažiau </w:t>
            </w:r>
            <w:r>
              <w:t xml:space="preserve">kaip </w:t>
            </w:r>
            <w:r w:rsidRPr="006870AB">
              <w:t>50 tonų</w:t>
            </w:r>
            <w:r>
              <w:t>;</w:t>
            </w:r>
          </w:p>
          <w:p w14:paraId="246ACB8F" w14:textId="0D5C105B" w:rsidR="00333FF9" w:rsidRPr="006870AB" w:rsidRDefault="00333FF9" w:rsidP="00333FF9">
            <w:pPr>
              <w:pStyle w:val="NormalWeb"/>
              <w:jc w:val="both"/>
            </w:pPr>
            <w:r w:rsidRPr="006870AB">
              <w:t>Plokštės spalva: pilka arba juoda.</w:t>
            </w:r>
          </w:p>
          <w:p w14:paraId="300FFB67" w14:textId="77777777" w:rsidR="00333FF9" w:rsidRPr="006870AB" w:rsidRDefault="00333FF9" w:rsidP="00333FF9">
            <w:pPr>
              <w:pStyle w:val="NormalWeb"/>
              <w:jc w:val="both"/>
            </w:pPr>
            <w:r w:rsidRPr="006870AB">
              <w:t>Eksploatacijos sąlygos:</w:t>
            </w:r>
          </w:p>
          <w:p w14:paraId="702C58B6" w14:textId="77777777" w:rsidR="00333FF9" w:rsidRPr="006870AB" w:rsidRDefault="00333FF9" w:rsidP="00333FF9">
            <w:pPr>
              <w:pStyle w:val="NormalWeb"/>
              <w:jc w:val="both"/>
            </w:pPr>
            <w:r w:rsidRPr="006870AB">
              <w:t>Plokštė</w:t>
            </w:r>
            <w:r>
              <w:t xml:space="preserve"> </w:t>
            </w:r>
            <w:r w:rsidRPr="006870AB">
              <w:t>atspari tirpikliams ir kitiems naftos produktams.</w:t>
            </w:r>
          </w:p>
          <w:p w14:paraId="70542418" w14:textId="77777777" w:rsidR="00333FF9" w:rsidRPr="006870AB" w:rsidRDefault="00333FF9" w:rsidP="00333FF9">
            <w:pPr>
              <w:pStyle w:val="NormalWeb"/>
              <w:jc w:val="both"/>
            </w:pPr>
            <w:r w:rsidRPr="006870AB">
              <w:t>Plokštė atspari UV spindulių poveikiui.</w:t>
            </w:r>
          </w:p>
          <w:p w14:paraId="66F98ECC" w14:textId="77777777" w:rsidR="00333FF9" w:rsidRPr="006870AB" w:rsidRDefault="00333FF9" w:rsidP="00333FF9">
            <w:pPr>
              <w:pStyle w:val="NormalWeb"/>
              <w:jc w:val="both"/>
            </w:pPr>
            <w:r w:rsidRPr="006870AB">
              <w:t>Plokštės paviršius neslystantis.</w:t>
            </w:r>
          </w:p>
          <w:p w14:paraId="7A0C25FE" w14:textId="77FAE117" w:rsidR="00333FF9" w:rsidRPr="006870AB" w:rsidRDefault="00333FF9" w:rsidP="00333FF9">
            <w:pPr>
              <w:pStyle w:val="NormalWeb"/>
              <w:jc w:val="both"/>
            </w:pPr>
            <w:r w:rsidRPr="006870AB">
              <w:t>Plokštės naudojimo aplinkos temperatūra</w:t>
            </w:r>
            <w:r>
              <w:t xml:space="preserve"> </w:t>
            </w:r>
            <w:r w:rsidRPr="006870AB">
              <w:t>pritaikyta Lietuvos klimatinėms sąlygoms.</w:t>
            </w:r>
          </w:p>
          <w:p w14:paraId="3F1A7497" w14:textId="77777777" w:rsidR="00333FF9" w:rsidRPr="006870AB" w:rsidRDefault="00333FF9" w:rsidP="00333FF9">
            <w:pPr>
              <w:pStyle w:val="NormalWeb"/>
              <w:jc w:val="both"/>
            </w:pPr>
            <w:r w:rsidRPr="006870AB">
              <w:t>Kiti reikalavimai:</w:t>
            </w:r>
          </w:p>
          <w:p w14:paraId="74F78D4F" w14:textId="77777777" w:rsidR="00333FF9" w:rsidRPr="006870AB" w:rsidRDefault="00333FF9" w:rsidP="00333FF9">
            <w:pPr>
              <w:pStyle w:val="NormalWeb"/>
              <w:jc w:val="both"/>
            </w:pPr>
            <w:r w:rsidRPr="006870AB">
              <w:t xml:space="preserve">Plokštė pritaikyta važiavimui transporto priemonėmis. </w:t>
            </w:r>
          </w:p>
          <w:p w14:paraId="57F50257" w14:textId="77777777" w:rsidR="00333FF9" w:rsidRPr="006870AB" w:rsidRDefault="00333FF9" w:rsidP="00333FF9">
            <w:pPr>
              <w:pStyle w:val="NormalWeb"/>
              <w:jc w:val="both"/>
            </w:pPr>
            <w:r>
              <w:t>Plokštė</w:t>
            </w:r>
            <w:r w:rsidRPr="006870AB">
              <w:t xml:space="preserve"> </w:t>
            </w:r>
            <w:r>
              <w:t>tinkanti</w:t>
            </w:r>
            <w:r w:rsidRPr="006870AB">
              <w:t xml:space="preserve"> visiems žemės paviršiaus tipams. </w:t>
            </w:r>
          </w:p>
          <w:p w14:paraId="6D679A25" w14:textId="77777777" w:rsidR="00333FF9" w:rsidRDefault="00333FF9" w:rsidP="00333FF9">
            <w:pPr>
              <w:pStyle w:val="NormalWeb"/>
              <w:jc w:val="both"/>
            </w:pPr>
            <w:r>
              <w:lastRenderedPageBreak/>
              <w:t>G</w:t>
            </w:r>
            <w:r w:rsidRPr="006870AB">
              <w:t>alimybė sujungti atskirus plokščių segmentus.</w:t>
            </w:r>
          </w:p>
          <w:p w14:paraId="3A9175C7" w14:textId="77777777" w:rsidR="00333FF9" w:rsidRPr="006870AB" w:rsidRDefault="00333FF9" w:rsidP="00333FF9">
            <w:pPr>
              <w:pStyle w:val="NormalWeb"/>
              <w:jc w:val="both"/>
            </w:pPr>
            <w:r>
              <w:t>Plokštės komplektacijoje ne mažiau 3 vnt. sujungimų.</w:t>
            </w:r>
            <w:r w:rsidRPr="006870AB">
              <w:t xml:space="preserve"> </w:t>
            </w:r>
          </w:p>
          <w:p w14:paraId="79602257" w14:textId="77777777" w:rsidR="00333FF9" w:rsidRPr="006870AB" w:rsidRDefault="00333FF9" w:rsidP="00333FF9">
            <w:pPr>
              <w:pStyle w:val="NormalWeb"/>
              <w:jc w:val="both"/>
            </w:pPr>
            <w:r w:rsidRPr="006870AB">
              <w:t>Plokštės pagamintos iš ne mažiau kaip</w:t>
            </w:r>
            <w:bookmarkStart w:id="4" w:name="_GoBack"/>
            <w:bookmarkEnd w:id="4"/>
            <w:r w:rsidRPr="006870AB">
              <w:t xml:space="preserve"> 80</w:t>
            </w:r>
            <w:r>
              <w:t> </w:t>
            </w:r>
            <w:r w:rsidRPr="006870AB">
              <w:t>% perdirbto plastiko.</w:t>
            </w:r>
          </w:p>
          <w:p w14:paraId="3E0A945E" w14:textId="7C32C99B" w:rsidR="003220D0" w:rsidRDefault="00333FF9" w:rsidP="00333FF9">
            <w:pPr>
              <w:jc w:val="both"/>
              <w:rPr>
                <w:b/>
                <w:bCs/>
                <w:color w:val="000000"/>
              </w:rPr>
            </w:pPr>
            <w:r w:rsidRPr="006870AB">
              <w:t>G</w:t>
            </w:r>
            <w:r>
              <w:t xml:space="preserve">arantija turi būti ne trumpesnė </w:t>
            </w:r>
            <w:r w:rsidRPr="006870AB">
              <w:t>kaip 24 mėn</w:t>
            </w:r>
            <w:r>
              <w:t>.</w:t>
            </w:r>
          </w:p>
        </w:tc>
        <w:tc>
          <w:tcPr>
            <w:tcW w:w="2727" w:type="dxa"/>
          </w:tcPr>
          <w:p w14:paraId="36EAADC5" w14:textId="77777777" w:rsidR="003220D0" w:rsidRPr="007402E5" w:rsidRDefault="003220D0" w:rsidP="0064391E">
            <w:pPr>
              <w:rPr>
                <w:bCs/>
              </w:rPr>
            </w:pPr>
          </w:p>
        </w:tc>
      </w:tr>
    </w:tbl>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1"/>
      <w:proofErr w:type="spellEnd"/>
      <w:r w:rsidR="00DA50A7">
        <w:rPr>
          <w:sz w:val="22"/>
          <w:szCs w:val="22"/>
        </w:rPr>
        <w:t>)</w:t>
      </w:r>
    </w:p>
    <w:sectPr w:rsidR="00E77213" w:rsidRPr="00DA50A7">
      <w:headerReference w:type="default" r:id="rId10"/>
      <w:footerReference w:type="default" r:id="rId11"/>
      <w:headerReference w:type="first" r:id="rId12"/>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25E2E" w14:textId="77777777" w:rsidR="00B2620C" w:rsidRDefault="00B2620C" w:rsidP="00C0552B">
      <w:r>
        <w:separator/>
      </w:r>
    </w:p>
  </w:endnote>
  <w:endnote w:type="continuationSeparator" w:id="0">
    <w:p w14:paraId="7A0A6A96" w14:textId="77777777" w:rsidR="00B2620C" w:rsidRDefault="00B2620C"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2B8054A6"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333FF9">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63D26" w14:textId="77777777" w:rsidR="00B2620C" w:rsidRDefault="00B2620C" w:rsidP="00C0552B">
      <w:r>
        <w:separator/>
      </w:r>
    </w:p>
  </w:footnote>
  <w:footnote w:type="continuationSeparator" w:id="0">
    <w:p w14:paraId="15D9F8FC" w14:textId="77777777" w:rsidR="00B2620C" w:rsidRDefault="00B2620C"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4C8C"/>
    <w:rsid w:val="0001535B"/>
    <w:rsid w:val="00015806"/>
    <w:rsid w:val="000233B8"/>
    <w:rsid w:val="00046A38"/>
    <w:rsid w:val="000500F8"/>
    <w:rsid w:val="000522E8"/>
    <w:rsid w:val="000620CE"/>
    <w:rsid w:val="000926EF"/>
    <w:rsid w:val="00095BC8"/>
    <w:rsid w:val="000B0ACA"/>
    <w:rsid w:val="000C0314"/>
    <w:rsid w:val="000E347F"/>
    <w:rsid w:val="000F0296"/>
    <w:rsid w:val="00117053"/>
    <w:rsid w:val="001206A5"/>
    <w:rsid w:val="00122225"/>
    <w:rsid w:val="0012605A"/>
    <w:rsid w:val="001305D2"/>
    <w:rsid w:val="00140BFD"/>
    <w:rsid w:val="0015374C"/>
    <w:rsid w:val="001573D3"/>
    <w:rsid w:val="001932F7"/>
    <w:rsid w:val="001A6F98"/>
    <w:rsid w:val="001C276F"/>
    <w:rsid w:val="001D075D"/>
    <w:rsid w:val="001D31AB"/>
    <w:rsid w:val="001E0499"/>
    <w:rsid w:val="00200888"/>
    <w:rsid w:val="002033BC"/>
    <w:rsid w:val="002163DD"/>
    <w:rsid w:val="00220252"/>
    <w:rsid w:val="00234AF3"/>
    <w:rsid w:val="00237A5B"/>
    <w:rsid w:val="002429ED"/>
    <w:rsid w:val="00250C8D"/>
    <w:rsid w:val="00254EE9"/>
    <w:rsid w:val="00277590"/>
    <w:rsid w:val="00295531"/>
    <w:rsid w:val="002B32FE"/>
    <w:rsid w:val="002B5DAF"/>
    <w:rsid w:val="002E7A89"/>
    <w:rsid w:val="003074F9"/>
    <w:rsid w:val="00310725"/>
    <w:rsid w:val="003220D0"/>
    <w:rsid w:val="00333FF9"/>
    <w:rsid w:val="0035321E"/>
    <w:rsid w:val="003806B3"/>
    <w:rsid w:val="00386EE6"/>
    <w:rsid w:val="0039183F"/>
    <w:rsid w:val="003B4B8A"/>
    <w:rsid w:val="003C0523"/>
    <w:rsid w:val="003C2C9B"/>
    <w:rsid w:val="003D00C1"/>
    <w:rsid w:val="003F0FED"/>
    <w:rsid w:val="003F7A8D"/>
    <w:rsid w:val="004063C5"/>
    <w:rsid w:val="00424FC9"/>
    <w:rsid w:val="0045046A"/>
    <w:rsid w:val="00451B33"/>
    <w:rsid w:val="00463841"/>
    <w:rsid w:val="00473DAB"/>
    <w:rsid w:val="00481266"/>
    <w:rsid w:val="004825F2"/>
    <w:rsid w:val="00484E37"/>
    <w:rsid w:val="004B06E5"/>
    <w:rsid w:val="004C2491"/>
    <w:rsid w:val="004C2840"/>
    <w:rsid w:val="004F5885"/>
    <w:rsid w:val="004F64B0"/>
    <w:rsid w:val="00506341"/>
    <w:rsid w:val="00507541"/>
    <w:rsid w:val="005216E7"/>
    <w:rsid w:val="005302AB"/>
    <w:rsid w:val="00533FB8"/>
    <w:rsid w:val="00534009"/>
    <w:rsid w:val="00562B1E"/>
    <w:rsid w:val="005630C4"/>
    <w:rsid w:val="0059148B"/>
    <w:rsid w:val="00596689"/>
    <w:rsid w:val="005D5CA5"/>
    <w:rsid w:val="005E1706"/>
    <w:rsid w:val="00602077"/>
    <w:rsid w:val="006047B8"/>
    <w:rsid w:val="006048B8"/>
    <w:rsid w:val="00620CF5"/>
    <w:rsid w:val="006248CB"/>
    <w:rsid w:val="0063354A"/>
    <w:rsid w:val="0064656F"/>
    <w:rsid w:val="00647932"/>
    <w:rsid w:val="006521A8"/>
    <w:rsid w:val="00654120"/>
    <w:rsid w:val="00672B3F"/>
    <w:rsid w:val="0067727D"/>
    <w:rsid w:val="00693EEC"/>
    <w:rsid w:val="006948F0"/>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B3CFE"/>
    <w:rsid w:val="007C2B8E"/>
    <w:rsid w:val="007D3C6C"/>
    <w:rsid w:val="007E461A"/>
    <w:rsid w:val="00800955"/>
    <w:rsid w:val="00804CDD"/>
    <w:rsid w:val="0081147C"/>
    <w:rsid w:val="00817AF1"/>
    <w:rsid w:val="008207C2"/>
    <w:rsid w:val="00822F23"/>
    <w:rsid w:val="00835E99"/>
    <w:rsid w:val="00865954"/>
    <w:rsid w:val="008758E5"/>
    <w:rsid w:val="00881B1E"/>
    <w:rsid w:val="008A59F8"/>
    <w:rsid w:val="008D5371"/>
    <w:rsid w:val="008E3501"/>
    <w:rsid w:val="008E3E2E"/>
    <w:rsid w:val="008E578F"/>
    <w:rsid w:val="008F14BC"/>
    <w:rsid w:val="00900AAA"/>
    <w:rsid w:val="009150F0"/>
    <w:rsid w:val="00923C73"/>
    <w:rsid w:val="00925900"/>
    <w:rsid w:val="00927F2F"/>
    <w:rsid w:val="00932B9A"/>
    <w:rsid w:val="00936041"/>
    <w:rsid w:val="00972719"/>
    <w:rsid w:val="00974A9E"/>
    <w:rsid w:val="00987B91"/>
    <w:rsid w:val="009917B2"/>
    <w:rsid w:val="009C08C0"/>
    <w:rsid w:val="009F2AA8"/>
    <w:rsid w:val="009F5552"/>
    <w:rsid w:val="00A0601C"/>
    <w:rsid w:val="00A22A21"/>
    <w:rsid w:val="00A27AD4"/>
    <w:rsid w:val="00A40C5E"/>
    <w:rsid w:val="00A511FF"/>
    <w:rsid w:val="00A6032C"/>
    <w:rsid w:val="00A76F37"/>
    <w:rsid w:val="00A857A4"/>
    <w:rsid w:val="00AB348C"/>
    <w:rsid w:val="00AC1EFF"/>
    <w:rsid w:val="00AE1528"/>
    <w:rsid w:val="00AE2520"/>
    <w:rsid w:val="00B02BBD"/>
    <w:rsid w:val="00B12BEA"/>
    <w:rsid w:val="00B22E5B"/>
    <w:rsid w:val="00B23F10"/>
    <w:rsid w:val="00B2620C"/>
    <w:rsid w:val="00B26F2F"/>
    <w:rsid w:val="00B4131B"/>
    <w:rsid w:val="00B518CD"/>
    <w:rsid w:val="00BA7130"/>
    <w:rsid w:val="00BC758D"/>
    <w:rsid w:val="00BD3367"/>
    <w:rsid w:val="00BE6489"/>
    <w:rsid w:val="00BF117F"/>
    <w:rsid w:val="00BF6532"/>
    <w:rsid w:val="00C01053"/>
    <w:rsid w:val="00C0552B"/>
    <w:rsid w:val="00C21CC2"/>
    <w:rsid w:val="00C35C63"/>
    <w:rsid w:val="00C47F8F"/>
    <w:rsid w:val="00C63FF1"/>
    <w:rsid w:val="00C648D6"/>
    <w:rsid w:val="00C7251B"/>
    <w:rsid w:val="00CA4BBD"/>
    <w:rsid w:val="00CB4456"/>
    <w:rsid w:val="00CC66B9"/>
    <w:rsid w:val="00CE226A"/>
    <w:rsid w:val="00CF6040"/>
    <w:rsid w:val="00D03EEF"/>
    <w:rsid w:val="00D128BB"/>
    <w:rsid w:val="00D21377"/>
    <w:rsid w:val="00D25ACE"/>
    <w:rsid w:val="00D27F60"/>
    <w:rsid w:val="00D42AC5"/>
    <w:rsid w:val="00D43BCF"/>
    <w:rsid w:val="00D5037D"/>
    <w:rsid w:val="00D539E0"/>
    <w:rsid w:val="00D56CE3"/>
    <w:rsid w:val="00D6023B"/>
    <w:rsid w:val="00D7141B"/>
    <w:rsid w:val="00D81823"/>
    <w:rsid w:val="00DA50A7"/>
    <w:rsid w:val="00DB5131"/>
    <w:rsid w:val="00DB5570"/>
    <w:rsid w:val="00DD0C57"/>
    <w:rsid w:val="00DD3A2D"/>
    <w:rsid w:val="00E05693"/>
    <w:rsid w:val="00E201CA"/>
    <w:rsid w:val="00E26CEB"/>
    <w:rsid w:val="00E33439"/>
    <w:rsid w:val="00E370ED"/>
    <w:rsid w:val="00E77213"/>
    <w:rsid w:val="00EA5DCC"/>
    <w:rsid w:val="00EC49F3"/>
    <w:rsid w:val="00EF769F"/>
    <w:rsid w:val="00F1560C"/>
    <w:rsid w:val="00F16994"/>
    <w:rsid w:val="00F451FF"/>
    <w:rsid w:val="00F468B8"/>
    <w:rsid w:val="00F5287A"/>
    <w:rsid w:val="00F60DBD"/>
    <w:rsid w:val="00FA5E4B"/>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nhideWhenUsed/>
    <w:qFormat/>
    <w:rsid w:val="00CF6040"/>
    <w:pPr>
      <w:autoSpaceDN/>
      <w:spacing w:beforeAutospacing="1" w:afterAutospacing="1"/>
    </w:pPr>
    <w:rPr>
      <w:lang w:eastAsia="lt-LT"/>
    </w:rPr>
  </w:style>
  <w:style w:type="paragraph" w:customStyle="1" w:styleId="Default">
    <w:name w:val="Default"/>
    <w:rsid w:val="00D2137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2D6BC-BB68-4BCD-B1DA-097351A9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5</cp:revision>
  <dcterms:created xsi:type="dcterms:W3CDTF">2026-04-21T06:06:00Z</dcterms:created>
  <dcterms:modified xsi:type="dcterms:W3CDTF">2026-05-04T09:20:00Z</dcterms:modified>
</cp:coreProperties>
</file>