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02B99" w14:textId="77777777" w:rsidR="00FD593A" w:rsidRDefault="00FD593A" w:rsidP="00FD593A">
      <w:pPr>
        <w:pStyle w:val="NormalWeb"/>
        <w:spacing w:after="159" w:line="252" w:lineRule="auto"/>
        <w:jc w:val="center"/>
        <w:rPr>
          <w:b/>
          <w:bCs/>
          <w:shd w:val="clear" w:color="auto" w:fill="FFFFFF"/>
        </w:rPr>
      </w:pPr>
      <w:r>
        <w:t xml:space="preserve">Pirkimą numatoma atlikti </w:t>
      </w:r>
      <w:r>
        <w:rPr>
          <w:b/>
          <w:bCs/>
        </w:rPr>
        <w:t xml:space="preserve">Dinaminės pirkimų sistemos pagrindu: </w:t>
      </w:r>
      <w:r>
        <w:rPr>
          <w:rFonts w:eastAsia="NSimSun"/>
          <w:color w:val="000000" w:themeColor="text1"/>
          <w:kern w:val="2"/>
          <w:lang w:eastAsia="zh-CN" w:bidi="hi-IN"/>
        </w:rPr>
        <w:t xml:space="preserve">Programinės įrangos įsigijimas, nuoma ir (ar) priežiūra (Seno CVP IS </w:t>
      </w:r>
      <w:proofErr w:type="spellStart"/>
      <w:r>
        <w:rPr>
          <w:rFonts w:eastAsia="NSimSun"/>
          <w:color w:val="000000" w:themeColor="text1"/>
          <w:kern w:val="2"/>
          <w:lang w:eastAsia="zh-CN" w:bidi="hi-IN"/>
        </w:rPr>
        <w:t>Nr</w:t>
      </w:r>
      <w:proofErr w:type="spellEnd"/>
      <w:r>
        <w:rPr>
          <w:rFonts w:eastAsia="NSimSun"/>
          <w:color w:val="000000" w:themeColor="text1"/>
          <w:kern w:val="2"/>
          <w:lang w:eastAsia="zh-CN" w:bidi="hi-IN"/>
        </w:rPr>
        <w:t xml:space="preserve"> 692531)</w:t>
      </w:r>
      <w:r>
        <w:rPr>
          <w:rFonts w:eastAsia="NSimSun"/>
          <w:kern w:val="2"/>
          <w:lang w:eastAsia="zh-CN" w:bidi="hi-IN"/>
        </w:rPr>
        <w:t xml:space="preserve"> naujos CVP IS ID:54874</w:t>
      </w:r>
    </w:p>
    <w:p w14:paraId="3F156FCA" w14:textId="77777777" w:rsidR="00FD593A" w:rsidRDefault="00FD593A" w:rsidP="00FD593A">
      <w:pPr>
        <w:pStyle w:val="NormalWeb"/>
        <w:spacing w:after="159" w:line="252" w:lineRule="auto"/>
        <w:jc w:val="center"/>
      </w:pPr>
      <w:r>
        <w:t>Dalyvauti pirkime galės Dinaminėje pirkimų sistemoje patvirtinti tiekėjai.</w:t>
      </w:r>
    </w:p>
    <w:p w14:paraId="346E75BF" w14:textId="77777777" w:rsidR="00FD593A" w:rsidRDefault="00FD593A" w:rsidP="00FD593A">
      <w:pPr>
        <w:pStyle w:val="NormalWeb"/>
        <w:spacing w:after="159" w:line="252" w:lineRule="auto"/>
        <w:jc w:val="center"/>
        <w:rPr>
          <w:rStyle w:val="IntenseReference"/>
          <w:b w:val="0"/>
          <w:bCs w:val="0"/>
        </w:rPr>
      </w:pPr>
      <w:r>
        <w:t>Prisijungti prie dinaminės pirkimų sistemos galite čia:</w:t>
      </w:r>
      <w:r w:rsidRPr="00FD593A">
        <w:t xml:space="preserve"> </w:t>
      </w:r>
      <w:r>
        <w:rPr>
          <w:b/>
          <w:bCs/>
          <w:shd w:val="clear" w:color="auto" w:fill="FFFFFF"/>
        </w:rPr>
        <w:t>(</w:t>
      </w:r>
      <w:hyperlink r:id="rId6" w:history="1">
        <w:r>
          <w:rPr>
            <w:rStyle w:val="Hyperlink"/>
            <w:rFonts w:eastAsiaTheme="majorEastAsia"/>
            <w:b/>
            <w:bCs/>
            <w:shd w:val="clear" w:color="auto" w:fill="FFFFFF"/>
          </w:rPr>
          <w:t>https://cvpp.eviesiejipirkimai.lt/Notice/Details/2023-627724</w:t>
        </w:r>
      </w:hyperlink>
      <w:r>
        <w:rPr>
          <w:b/>
          <w:bCs/>
          <w:shd w:val="clear" w:color="auto" w:fill="FFFFFF"/>
        </w:rPr>
        <w:t xml:space="preserve">  naujosios CVP IS </w:t>
      </w:r>
      <w:hyperlink r:id="rId7" w:history="1">
        <w:r>
          <w:rPr>
            <w:rStyle w:val="Hyperlink"/>
            <w:rFonts w:eastAsiaTheme="majorEastAsia"/>
            <w:b/>
            <w:bCs/>
            <w:shd w:val="clear" w:color="auto" w:fill="FFFFFF"/>
          </w:rPr>
          <w:t>https://viesiejipirkimai.lt/epps/dps/prepareViewCfTDPSWS.do?resourceId=54874</w:t>
        </w:r>
      </w:hyperlink>
      <w:r>
        <w:rPr>
          <w:b/>
          <w:bCs/>
          <w:shd w:val="clear" w:color="auto" w:fill="FFFFFF"/>
        </w:rPr>
        <w:t>)</w:t>
      </w:r>
    </w:p>
    <w:p w14:paraId="6004E1BF" w14:textId="77777777" w:rsidR="00FD593A" w:rsidRDefault="00FD593A" w:rsidP="006C0C84">
      <w:pPr>
        <w:pStyle w:val="Heading1"/>
        <w:spacing w:before="0"/>
        <w:jc w:val="center"/>
        <w:rPr>
          <w:rStyle w:val="IntenseReference"/>
          <w:rFonts w:ascii="Times New Roman" w:hAnsi="Times New Roman" w:cs="Times New Roman"/>
          <w:color w:val="auto"/>
          <w:sz w:val="24"/>
          <w:szCs w:val="24"/>
        </w:rPr>
      </w:pPr>
    </w:p>
    <w:p w14:paraId="63A92B53" w14:textId="118FB83F" w:rsidR="00FD593A" w:rsidRDefault="00FD593A" w:rsidP="00FD593A">
      <w:pPr>
        <w:pStyle w:val="Heading1"/>
        <w:spacing w:before="0"/>
        <w:rPr>
          <w:rStyle w:val="IntenseReference"/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</w:p>
    <w:p w14:paraId="756E0D6F" w14:textId="78E42695" w:rsidR="006C0C84" w:rsidRPr="00327F52" w:rsidRDefault="006E4BE5" w:rsidP="006C0C84">
      <w:pPr>
        <w:pStyle w:val="Heading1"/>
        <w:spacing w:before="0"/>
        <w:jc w:val="center"/>
        <w:rPr>
          <w:rStyle w:val="IntenseReference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IntenseReference"/>
          <w:rFonts w:ascii="Times New Roman" w:hAnsi="Times New Roman" w:cs="Times New Roman"/>
          <w:color w:val="auto"/>
          <w:sz w:val="24"/>
          <w:szCs w:val="24"/>
        </w:rPr>
        <w:t xml:space="preserve">SPECIALIZUOTOS </w:t>
      </w:r>
      <w:r w:rsidR="006C0C84" w:rsidRPr="00327F52">
        <w:rPr>
          <w:rStyle w:val="IntenseReference"/>
          <w:rFonts w:ascii="Times New Roman" w:hAnsi="Times New Roman" w:cs="Times New Roman"/>
          <w:color w:val="auto"/>
          <w:sz w:val="24"/>
          <w:szCs w:val="24"/>
        </w:rPr>
        <w:t xml:space="preserve">MOBILIŲJŲ ĮRENGINIŲ </w:t>
      </w:r>
      <w:r>
        <w:rPr>
          <w:rStyle w:val="IntenseReference"/>
          <w:rFonts w:ascii="Times New Roman" w:hAnsi="Times New Roman" w:cs="Times New Roman"/>
          <w:color w:val="auto"/>
          <w:sz w:val="24"/>
          <w:szCs w:val="24"/>
        </w:rPr>
        <w:t>TYRIMAMS</w:t>
      </w:r>
      <w:r w:rsidR="006C0C84" w:rsidRPr="00327F52">
        <w:rPr>
          <w:rStyle w:val="IntenseReferenc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C0C84" w:rsidRPr="00793B75">
        <w:rPr>
          <w:rStyle w:val="IntenseReference"/>
          <w:rFonts w:ascii="Times New Roman" w:hAnsi="Times New Roman" w:cs="Times New Roman"/>
          <w:color w:val="auto"/>
          <w:sz w:val="24"/>
          <w:szCs w:val="24"/>
        </w:rPr>
        <w:t>PROGRAMINĖS</w:t>
      </w:r>
      <w:r w:rsidR="006C0C84" w:rsidRPr="00327F52">
        <w:rPr>
          <w:rStyle w:val="IntenseReference"/>
          <w:rFonts w:ascii="Times New Roman" w:hAnsi="Times New Roman" w:cs="Times New Roman"/>
          <w:color w:val="auto"/>
          <w:sz w:val="24"/>
          <w:szCs w:val="24"/>
        </w:rPr>
        <w:t xml:space="preserve"> ĮRANGOS LICENCIJ</w:t>
      </w:r>
      <w:r w:rsidR="00881058">
        <w:rPr>
          <w:rStyle w:val="IntenseReference"/>
          <w:rFonts w:ascii="Times New Roman" w:hAnsi="Times New Roman" w:cs="Times New Roman"/>
          <w:color w:val="auto"/>
          <w:sz w:val="24"/>
          <w:szCs w:val="24"/>
        </w:rPr>
        <w:t>Ų</w:t>
      </w:r>
      <w:r w:rsidR="006C0C84" w:rsidRPr="00327F52">
        <w:rPr>
          <w:rStyle w:val="IntenseReference"/>
          <w:rFonts w:ascii="Times New Roman" w:hAnsi="Times New Roman" w:cs="Times New Roman"/>
          <w:color w:val="auto"/>
          <w:sz w:val="24"/>
          <w:szCs w:val="24"/>
        </w:rPr>
        <w:t xml:space="preserve"> ATNAUJINIMO</w:t>
      </w:r>
      <w:r>
        <w:rPr>
          <w:rStyle w:val="IntenseReference"/>
          <w:rFonts w:ascii="Times New Roman" w:hAnsi="Times New Roman" w:cs="Times New Roman"/>
          <w:color w:val="auto"/>
          <w:sz w:val="24"/>
          <w:szCs w:val="24"/>
        </w:rPr>
        <w:t xml:space="preserve"> IR PALAIKYMO</w:t>
      </w:r>
    </w:p>
    <w:p w14:paraId="1A065D1A" w14:textId="77777777" w:rsidR="006C0C84" w:rsidRPr="00327F52" w:rsidRDefault="006C0C84" w:rsidP="006C0C84">
      <w:pPr>
        <w:pStyle w:val="Heading1"/>
        <w:spacing w:before="0"/>
        <w:jc w:val="center"/>
        <w:rPr>
          <w:rStyle w:val="IntenseReference"/>
          <w:rFonts w:ascii="Times New Roman" w:hAnsi="Times New Roman" w:cs="Times New Roman"/>
          <w:color w:val="auto"/>
          <w:sz w:val="24"/>
          <w:szCs w:val="24"/>
        </w:rPr>
      </w:pPr>
      <w:r w:rsidRPr="00327F52">
        <w:rPr>
          <w:rStyle w:val="IntenseReference"/>
          <w:rFonts w:ascii="Times New Roman" w:hAnsi="Times New Roman" w:cs="Times New Roman"/>
          <w:color w:val="auto"/>
          <w:sz w:val="24"/>
          <w:szCs w:val="24"/>
        </w:rPr>
        <w:t>TECHNINĖ SPECIFIKACIJA</w:t>
      </w:r>
    </w:p>
    <w:p w14:paraId="012E7901" w14:textId="77777777" w:rsidR="006C0C84" w:rsidRPr="00327F52" w:rsidRDefault="006C0C84" w:rsidP="006C0C84">
      <w:pPr>
        <w:pStyle w:val="Rodykl"/>
        <w:jc w:val="center"/>
        <w:rPr>
          <w:rStyle w:val="SubtleReference"/>
          <w:rFonts w:ascii="Times New Roman" w:hAnsi="Times New Roman" w:cs="Times New Roman"/>
          <w:b/>
        </w:rPr>
      </w:pPr>
    </w:p>
    <w:tbl>
      <w:tblPr>
        <w:tblW w:w="12764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8"/>
        <w:gridCol w:w="2126"/>
        <w:gridCol w:w="6673"/>
        <w:gridCol w:w="2977"/>
      </w:tblGrid>
      <w:tr w:rsidR="00B552D0" w:rsidRPr="00327F52" w14:paraId="0F58DDFA" w14:textId="56A6DE35" w:rsidTr="00B552D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4C492" w14:textId="77777777" w:rsidR="00B552D0" w:rsidRPr="00D25A9B" w:rsidRDefault="00B552D0" w:rsidP="00B506F8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5A9B">
              <w:rPr>
                <w:rFonts w:ascii="Times New Roman" w:hAnsi="Times New Roman" w:cs="Times New Roman"/>
                <w:sz w:val="22"/>
                <w:szCs w:val="22"/>
              </w:rPr>
              <w:t>Eil. Nr.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6117F" w14:textId="77777777" w:rsidR="00B552D0" w:rsidRPr="00D25A9B" w:rsidRDefault="00B552D0" w:rsidP="00B506F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5A9B">
              <w:rPr>
                <w:rFonts w:ascii="Times New Roman" w:hAnsi="Times New Roman" w:cs="Times New Roman"/>
                <w:sz w:val="22"/>
                <w:szCs w:val="22"/>
              </w:rPr>
              <w:t>Komponento pavadinimas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A0F46" w14:textId="77777777" w:rsidR="00B552D0" w:rsidRPr="00D25A9B" w:rsidRDefault="00B552D0" w:rsidP="00B506F8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5A9B">
              <w:rPr>
                <w:rFonts w:ascii="Times New Roman" w:hAnsi="Times New Roman" w:cs="Times New Roman"/>
                <w:sz w:val="22"/>
                <w:szCs w:val="22"/>
              </w:rPr>
              <w:t>Reikalavimas komponentui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88B0" w14:textId="2EBDCD20" w:rsidR="00B552D0" w:rsidRPr="00D25A9B" w:rsidRDefault="00B552D0" w:rsidP="00B506F8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Pastabos/ siūlymai</w:t>
            </w:r>
          </w:p>
        </w:tc>
      </w:tr>
      <w:tr w:rsidR="00B552D0" w:rsidRPr="00327F52" w14:paraId="13907627" w14:textId="652611D4" w:rsidTr="00B552D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F4888B9" w14:textId="77777777" w:rsidR="00B552D0" w:rsidRPr="00D25A9B" w:rsidRDefault="00B552D0" w:rsidP="003012A1">
            <w:pPr>
              <w:widowControl w:val="0"/>
              <w:numPr>
                <w:ilvl w:val="0"/>
                <w:numId w:val="1"/>
              </w:numPr>
              <w:suppressAutoHyphens/>
              <w:ind w:left="473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347C46" w14:textId="700CBBCA" w:rsidR="00B552D0" w:rsidRPr="00881058" w:rsidRDefault="00B552D0" w:rsidP="00881058">
            <w:pPr>
              <w:widowControl w:val="0"/>
              <w:tabs>
                <w:tab w:val="left" w:pos="395"/>
              </w:tabs>
              <w:spacing w:before="120" w:after="120"/>
              <w:ind w:left="124" w:right="112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proofErr w:type="spellStart"/>
            <w:r w:rsidRPr="00113BC8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Cellebrite</w:t>
            </w:r>
            <w:proofErr w:type="spellEnd"/>
            <w:r w:rsidRPr="00113BC8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113BC8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Inseyets</w:t>
            </w:r>
            <w:proofErr w:type="spellEnd"/>
            <w:r w:rsidRPr="00113BC8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113BC8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On-Prem</w:t>
            </w:r>
            <w:proofErr w:type="spellEnd"/>
            <w:r w:rsidRPr="00113BC8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113BC8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Unlimited</w:t>
            </w:r>
            <w:proofErr w:type="spellEnd"/>
            <w:r w:rsidRPr="00113BC8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113BC8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Unlocks</w:t>
            </w:r>
            <w:proofErr w:type="spellEnd"/>
            <w:r w:rsidRPr="00881058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(arba lygiavertė)*, </w:t>
            </w:r>
            <w:r w:rsidRPr="00881058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</w:rPr>
              <w:t>1 vnt.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2450" w14:textId="77777777" w:rsidR="00B552D0" w:rsidRPr="00113BC8" w:rsidRDefault="00B552D0" w:rsidP="00881058">
            <w:pPr>
              <w:widowControl w:val="0"/>
              <w:tabs>
                <w:tab w:val="left" w:pos="395"/>
              </w:tabs>
              <w:spacing w:before="120" w:after="120"/>
              <w:ind w:left="124" w:right="112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B552D0" w:rsidRPr="00327F52" w14:paraId="1CDAF0E9" w14:textId="5066A9CA" w:rsidTr="00B552D0">
        <w:trPr>
          <w:trHeight w:val="95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117F26" w14:textId="77777777" w:rsidR="00B552D0" w:rsidRPr="00D25A9B" w:rsidRDefault="00B552D0" w:rsidP="003012A1">
            <w:pPr>
              <w:widowControl w:val="0"/>
              <w:numPr>
                <w:ilvl w:val="1"/>
                <w:numId w:val="3"/>
              </w:numPr>
              <w:suppressAutoHyphens/>
              <w:ind w:left="545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47AB7F" w14:textId="77777777" w:rsidR="00B552D0" w:rsidRPr="00D25A9B" w:rsidRDefault="00B552D0" w:rsidP="00B506F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5A9B">
              <w:rPr>
                <w:rFonts w:ascii="Times New Roman" w:hAnsi="Times New Roman" w:cs="Times New Roman"/>
                <w:sz w:val="22"/>
                <w:szCs w:val="22"/>
              </w:rPr>
              <w:t>Reikalavimai</w:t>
            </w:r>
          </w:p>
          <w:p w14:paraId="528B070B" w14:textId="77777777" w:rsidR="00B552D0" w:rsidRPr="00D25A9B" w:rsidRDefault="00B552D0" w:rsidP="00B506F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5A9B">
              <w:rPr>
                <w:rFonts w:ascii="Times New Roman" w:hAnsi="Times New Roman" w:cs="Times New Roman"/>
                <w:sz w:val="22"/>
                <w:szCs w:val="22"/>
              </w:rPr>
              <w:t>licencijai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7E644E" w14:textId="7C5AFBFD" w:rsidR="00B552D0" w:rsidRPr="00D25A9B" w:rsidRDefault="00B552D0" w:rsidP="008C4E82">
            <w:pPr>
              <w:widowControl w:val="0"/>
              <w:tabs>
                <w:tab w:val="left" w:pos="395"/>
              </w:tabs>
              <w:ind w:left="124" w:right="112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25A9B">
              <w:rPr>
                <w:rFonts w:ascii="Times New Roman" w:hAnsi="Times New Roman" w:cs="Times New Roman"/>
                <w:sz w:val="22"/>
                <w:szCs w:val="22"/>
              </w:rPr>
              <w:t>Licencijos atnaujinimas ir palaikymas turi būti skirt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D25A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25A9B">
              <w:rPr>
                <w:rFonts w:ascii="Times New Roman" w:hAnsi="Times New Roman" w:cs="Times New Roman"/>
                <w:i/>
                <w:sz w:val="22"/>
                <w:szCs w:val="22"/>
              </w:rPr>
              <w:t>Cellebrite</w:t>
            </w:r>
            <w:proofErr w:type="spellEnd"/>
            <w:r w:rsidRPr="00D25A9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25A9B">
              <w:rPr>
                <w:rFonts w:ascii="Times New Roman" w:hAnsi="Times New Roman" w:cs="Times New Roman"/>
                <w:i/>
                <w:sz w:val="22"/>
                <w:szCs w:val="22"/>
              </w:rPr>
              <w:t>Inseyets</w:t>
            </w:r>
            <w:proofErr w:type="spellEnd"/>
            <w:r w:rsidRPr="00D25A9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25A9B">
              <w:rPr>
                <w:rFonts w:ascii="Times New Roman" w:hAnsi="Times New Roman" w:cs="Times New Roman"/>
                <w:i/>
                <w:sz w:val="22"/>
                <w:szCs w:val="22"/>
              </w:rPr>
              <w:t>On-Prem</w:t>
            </w:r>
            <w:proofErr w:type="spellEnd"/>
            <w:r w:rsidRPr="00D25A9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25A9B">
              <w:rPr>
                <w:rFonts w:ascii="Times New Roman" w:hAnsi="Times New Roman" w:cs="Times New Roman"/>
                <w:i/>
                <w:sz w:val="22"/>
                <w:szCs w:val="22"/>
              </w:rPr>
              <w:t>Unlimited</w:t>
            </w:r>
            <w:proofErr w:type="spellEnd"/>
            <w:r w:rsidRPr="00D25A9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25A9B">
              <w:rPr>
                <w:rFonts w:ascii="Times New Roman" w:hAnsi="Times New Roman" w:cs="Times New Roman"/>
                <w:i/>
                <w:sz w:val="22"/>
                <w:szCs w:val="22"/>
              </w:rPr>
              <w:t>Unlocks</w:t>
            </w:r>
            <w:proofErr w:type="spellEnd"/>
            <w:r w:rsidRPr="00D25A9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D25A9B">
              <w:rPr>
                <w:rFonts w:ascii="Times New Roman" w:hAnsi="Times New Roman" w:cs="Times New Roman"/>
                <w:sz w:val="22"/>
                <w:szCs w:val="22"/>
              </w:rPr>
              <w:t>programinei įrangai, kurios</w:t>
            </w:r>
            <w:r w:rsidRPr="00D25A9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numeris yra - 1470523431.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77BE" w14:textId="77777777" w:rsidR="00B552D0" w:rsidRPr="00D25A9B" w:rsidRDefault="00B552D0" w:rsidP="008C4E82">
            <w:pPr>
              <w:widowControl w:val="0"/>
              <w:tabs>
                <w:tab w:val="left" w:pos="395"/>
              </w:tabs>
              <w:ind w:left="124" w:right="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2D0" w:rsidRPr="00327F52" w14:paraId="3BE6FB39" w14:textId="60EA90AA" w:rsidTr="00B552D0">
        <w:trPr>
          <w:trHeight w:val="54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B3CE8F" w14:textId="77777777" w:rsidR="00B552D0" w:rsidRPr="00D25A9B" w:rsidRDefault="00B552D0" w:rsidP="00881058">
            <w:pPr>
              <w:widowControl w:val="0"/>
              <w:numPr>
                <w:ilvl w:val="1"/>
                <w:numId w:val="3"/>
              </w:numPr>
              <w:suppressAutoHyphens/>
              <w:ind w:left="432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C0817CB" w14:textId="27409067" w:rsidR="00B552D0" w:rsidRPr="00D25A9B" w:rsidRDefault="00B552D0" w:rsidP="00B506F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5A9B">
              <w:rPr>
                <w:rFonts w:ascii="Times New Roman" w:hAnsi="Times New Roman" w:cs="Times New Roman"/>
                <w:sz w:val="22"/>
                <w:szCs w:val="22"/>
              </w:rPr>
              <w:t>Funkcionalumo reikalavimai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0645465" w14:textId="5D0854B5" w:rsidR="00B552D0" w:rsidRPr="00D25A9B" w:rsidRDefault="00B552D0" w:rsidP="00881058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520"/>
              </w:tabs>
              <w:ind w:left="814" w:right="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5A9B">
              <w:rPr>
                <w:rFonts w:ascii="Times New Roman" w:hAnsi="Times New Roman" w:cs="Times New Roman"/>
                <w:sz w:val="22"/>
                <w:szCs w:val="22"/>
              </w:rPr>
              <w:t xml:space="preserve">Turi veikti nepriklausomai nuo programinės įrangos </w:t>
            </w:r>
            <w:proofErr w:type="spellStart"/>
            <w:r w:rsidRPr="00D25A9B">
              <w:rPr>
                <w:rFonts w:ascii="Times New Roman" w:hAnsi="Times New Roman" w:cs="Times New Roman"/>
                <w:sz w:val="22"/>
                <w:szCs w:val="22"/>
              </w:rPr>
              <w:t>lokacijos</w:t>
            </w:r>
            <w:proofErr w:type="spellEnd"/>
            <w:r w:rsidRPr="00D25A9B">
              <w:rPr>
                <w:rFonts w:ascii="Times New Roman" w:hAnsi="Times New Roman" w:cs="Times New Roman"/>
                <w:sz w:val="22"/>
                <w:szCs w:val="22"/>
              </w:rPr>
              <w:t xml:space="preserve"> vietos (turi būti galimybė naudoti programinę įrangą mobiliuoju būdu – mobilioji versija.</w:t>
            </w:r>
          </w:p>
          <w:p w14:paraId="3F2A085D" w14:textId="79A8DA07" w:rsidR="00B552D0" w:rsidRPr="00D25A9B" w:rsidRDefault="00B552D0" w:rsidP="00881058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520"/>
              </w:tabs>
              <w:ind w:left="814" w:right="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5A9B">
              <w:rPr>
                <w:rFonts w:ascii="Times New Roman" w:hAnsi="Times New Roman" w:cs="Times New Roman"/>
                <w:sz w:val="22"/>
                <w:szCs w:val="22"/>
              </w:rPr>
              <w:t xml:space="preserve">Programinė įranga turi atlikti neribotą kiekį atrakinimų/nuskaitymų per licencijos palaikymo laikotarpį mobiliesiems įrenginiams su </w:t>
            </w:r>
            <w:proofErr w:type="spellStart"/>
            <w:r w:rsidRPr="00D25A9B">
              <w:rPr>
                <w:rFonts w:ascii="Times New Roman" w:hAnsi="Times New Roman" w:cs="Times New Roman"/>
                <w:i/>
                <w:sz w:val="22"/>
                <w:szCs w:val="22"/>
              </w:rPr>
              <w:t>Android</w:t>
            </w:r>
            <w:proofErr w:type="spellEnd"/>
            <w:r w:rsidRPr="00D25A9B">
              <w:rPr>
                <w:rFonts w:ascii="Times New Roman" w:hAnsi="Times New Roman" w:cs="Times New Roman"/>
                <w:sz w:val="22"/>
                <w:szCs w:val="22"/>
              </w:rPr>
              <w:t xml:space="preserve"> ir </w:t>
            </w:r>
            <w:proofErr w:type="spellStart"/>
            <w:r w:rsidRPr="00D25A9B">
              <w:rPr>
                <w:rFonts w:ascii="Times New Roman" w:hAnsi="Times New Roman" w:cs="Times New Roman"/>
                <w:i/>
                <w:sz w:val="22"/>
                <w:szCs w:val="22"/>
              </w:rPr>
              <w:t>iOS</w:t>
            </w:r>
            <w:proofErr w:type="spellEnd"/>
            <w:r w:rsidRPr="00D25A9B">
              <w:rPr>
                <w:rFonts w:ascii="Times New Roman" w:hAnsi="Times New Roman" w:cs="Times New Roman"/>
                <w:sz w:val="22"/>
                <w:szCs w:val="22"/>
              </w:rPr>
              <w:t xml:space="preserve"> operacinėmis sistemomis, įskaitant ir užrakintus telefonus.</w:t>
            </w:r>
          </w:p>
          <w:p w14:paraId="01C0C92D" w14:textId="726D1992" w:rsidR="00B552D0" w:rsidRPr="00D25A9B" w:rsidRDefault="00B552D0" w:rsidP="00881058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520"/>
              </w:tabs>
              <w:ind w:left="814" w:right="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5A9B">
              <w:rPr>
                <w:rFonts w:ascii="Times New Roman" w:hAnsi="Times New Roman" w:cs="Times New Roman"/>
                <w:sz w:val="22"/>
                <w:szCs w:val="22"/>
              </w:rPr>
              <w:t xml:space="preserve">Programinė įranga turi suteikti prieigos galimybes atrakinant ir nuskaitant duomenis iš atrakintų ir užrakintų, slaptažodžiais apsaugotų bei šifruotų mobiliųjų įrenginių su </w:t>
            </w:r>
            <w:proofErr w:type="spellStart"/>
            <w:r w:rsidRPr="00D25A9B">
              <w:rPr>
                <w:rFonts w:ascii="Times New Roman" w:hAnsi="Times New Roman" w:cs="Times New Roman"/>
                <w:i/>
                <w:sz w:val="22"/>
                <w:szCs w:val="22"/>
              </w:rPr>
              <w:t>iOS</w:t>
            </w:r>
            <w:proofErr w:type="spellEnd"/>
            <w:r w:rsidRPr="00D25A9B">
              <w:rPr>
                <w:rFonts w:ascii="Times New Roman" w:hAnsi="Times New Roman" w:cs="Times New Roman"/>
                <w:sz w:val="22"/>
                <w:szCs w:val="22"/>
              </w:rPr>
              <w:t xml:space="preserve"> ir </w:t>
            </w:r>
            <w:proofErr w:type="spellStart"/>
            <w:r w:rsidRPr="00D25A9B">
              <w:rPr>
                <w:rFonts w:ascii="Times New Roman" w:hAnsi="Times New Roman" w:cs="Times New Roman"/>
                <w:i/>
                <w:sz w:val="22"/>
                <w:szCs w:val="22"/>
              </w:rPr>
              <w:t>Android</w:t>
            </w:r>
            <w:proofErr w:type="spellEnd"/>
            <w:r w:rsidRPr="00D25A9B">
              <w:rPr>
                <w:rFonts w:ascii="Times New Roman" w:hAnsi="Times New Roman" w:cs="Times New Roman"/>
                <w:sz w:val="22"/>
                <w:szCs w:val="22"/>
              </w:rPr>
              <w:t xml:space="preserve"> operacinėmis sistemomis.</w:t>
            </w:r>
          </w:p>
          <w:p w14:paraId="63509B14" w14:textId="5DC12977" w:rsidR="00B552D0" w:rsidRPr="00D25A9B" w:rsidRDefault="00B552D0" w:rsidP="00881058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520"/>
              </w:tabs>
              <w:ind w:left="814" w:right="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5A9B">
              <w:rPr>
                <w:rFonts w:ascii="Times New Roman" w:hAnsi="Times New Roman" w:cs="Times New Roman"/>
                <w:sz w:val="22"/>
                <w:szCs w:val="22"/>
              </w:rPr>
              <w:t xml:space="preserve">Programinė įranga turi atlikti pilną failų sistemos nuskaitymą (angl. k. </w:t>
            </w:r>
            <w:proofErr w:type="spellStart"/>
            <w:r w:rsidRPr="00D25A9B">
              <w:rPr>
                <w:rFonts w:ascii="Times New Roman" w:hAnsi="Times New Roman" w:cs="Times New Roman"/>
                <w:i/>
                <w:sz w:val="22"/>
                <w:szCs w:val="22"/>
              </w:rPr>
              <w:t>Full</w:t>
            </w:r>
            <w:proofErr w:type="spellEnd"/>
            <w:r w:rsidRPr="00D25A9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File System</w:t>
            </w:r>
            <w:r w:rsidRPr="00D25A9B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D25A9B">
              <w:rPr>
                <w:rFonts w:ascii="Times New Roman" w:hAnsi="Times New Roman" w:cs="Times New Roman"/>
                <w:i/>
                <w:sz w:val="22"/>
                <w:szCs w:val="22"/>
              </w:rPr>
              <w:t>FFS</w:t>
            </w:r>
            <w:r w:rsidRPr="00D25A9B">
              <w:rPr>
                <w:rFonts w:ascii="Times New Roman" w:hAnsi="Times New Roman" w:cs="Times New Roman"/>
                <w:sz w:val="22"/>
                <w:szCs w:val="22"/>
              </w:rPr>
              <w:t xml:space="preserve">) iš atrakintų išmaniųjų įrenginių, </w:t>
            </w:r>
            <w:r w:rsidRPr="00D25A9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turinčių failais pagrįstą šifravimą (angl. k. </w:t>
            </w:r>
            <w:r w:rsidRPr="00D25A9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File </w:t>
            </w:r>
            <w:proofErr w:type="spellStart"/>
            <w:r w:rsidRPr="00D25A9B">
              <w:rPr>
                <w:rFonts w:ascii="Times New Roman" w:hAnsi="Times New Roman" w:cs="Times New Roman"/>
                <w:i/>
                <w:sz w:val="22"/>
                <w:szCs w:val="22"/>
              </w:rPr>
              <w:t>based</w:t>
            </w:r>
            <w:proofErr w:type="spellEnd"/>
            <w:r w:rsidRPr="00D25A9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25A9B">
              <w:rPr>
                <w:rFonts w:ascii="Times New Roman" w:hAnsi="Times New Roman" w:cs="Times New Roman"/>
                <w:i/>
                <w:sz w:val="22"/>
                <w:szCs w:val="22"/>
              </w:rPr>
              <w:t>Encryption</w:t>
            </w:r>
            <w:proofErr w:type="spellEnd"/>
            <w:r w:rsidRPr="00D25A9B">
              <w:rPr>
                <w:rFonts w:ascii="Times New Roman" w:hAnsi="Times New Roman" w:cs="Times New Roman"/>
                <w:sz w:val="22"/>
                <w:szCs w:val="22"/>
              </w:rPr>
              <w:t xml:space="preserve">) ir pilną fizinį nuskaitymą iš atrakintų įrenginių turinčių pilną disko šifravimą (angl. k. </w:t>
            </w:r>
            <w:proofErr w:type="spellStart"/>
            <w:r w:rsidRPr="00D25A9B">
              <w:rPr>
                <w:rFonts w:ascii="Times New Roman" w:hAnsi="Times New Roman" w:cs="Times New Roman"/>
                <w:i/>
                <w:sz w:val="22"/>
                <w:szCs w:val="22"/>
              </w:rPr>
              <w:t>Full</w:t>
            </w:r>
            <w:proofErr w:type="spellEnd"/>
            <w:r w:rsidRPr="00D25A9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25A9B">
              <w:rPr>
                <w:rFonts w:ascii="Times New Roman" w:hAnsi="Times New Roman" w:cs="Times New Roman"/>
                <w:i/>
                <w:sz w:val="22"/>
                <w:szCs w:val="22"/>
              </w:rPr>
              <w:t>disk</w:t>
            </w:r>
            <w:proofErr w:type="spellEnd"/>
            <w:r w:rsidRPr="00D25A9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25A9B">
              <w:rPr>
                <w:rFonts w:ascii="Times New Roman" w:hAnsi="Times New Roman" w:cs="Times New Roman"/>
                <w:i/>
                <w:sz w:val="22"/>
                <w:szCs w:val="22"/>
              </w:rPr>
              <w:t>Encryption</w:t>
            </w:r>
            <w:proofErr w:type="spellEnd"/>
            <w:r w:rsidRPr="00D25A9B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14:paraId="29F356A3" w14:textId="6783A444" w:rsidR="00B552D0" w:rsidRPr="00D25A9B" w:rsidRDefault="00B552D0" w:rsidP="00881058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520"/>
              </w:tabs>
              <w:ind w:left="814" w:right="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5A9B">
              <w:rPr>
                <w:rFonts w:ascii="Times New Roman" w:hAnsi="Times New Roman" w:cs="Times New Roman"/>
                <w:sz w:val="22"/>
                <w:szCs w:val="22"/>
              </w:rPr>
              <w:t>Programinė įranga turi užtikrinti pilną failų sistemos (</w:t>
            </w:r>
            <w:r w:rsidRPr="00D25A9B">
              <w:rPr>
                <w:rFonts w:ascii="Times New Roman" w:hAnsi="Times New Roman" w:cs="Times New Roman"/>
                <w:i/>
                <w:sz w:val="22"/>
                <w:szCs w:val="22"/>
              </w:rPr>
              <w:t>FFS</w:t>
            </w:r>
            <w:r w:rsidRPr="00D25A9B">
              <w:rPr>
                <w:rFonts w:ascii="Times New Roman" w:hAnsi="Times New Roman" w:cs="Times New Roman"/>
                <w:sz w:val="22"/>
                <w:szCs w:val="22"/>
              </w:rPr>
              <w:t xml:space="preserve">) nuskaitymą po pirmojo atrakinimo (angl. k. </w:t>
            </w:r>
            <w:proofErr w:type="spellStart"/>
            <w:r w:rsidRPr="00D25A9B">
              <w:rPr>
                <w:rFonts w:ascii="Times New Roman" w:hAnsi="Times New Roman" w:cs="Times New Roman"/>
                <w:i/>
                <w:sz w:val="22"/>
                <w:szCs w:val="22"/>
              </w:rPr>
              <w:t>After</w:t>
            </w:r>
            <w:proofErr w:type="spellEnd"/>
            <w:r w:rsidRPr="00D25A9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25A9B">
              <w:rPr>
                <w:rFonts w:ascii="Times New Roman" w:hAnsi="Times New Roman" w:cs="Times New Roman"/>
                <w:i/>
                <w:sz w:val="22"/>
                <w:szCs w:val="22"/>
              </w:rPr>
              <w:t>First</w:t>
            </w:r>
            <w:proofErr w:type="spellEnd"/>
            <w:r w:rsidRPr="00D25A9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25A9B">
              <w:rPr>
                <w:rFonts w:ascii="Times New Roman" w:hAnsi="Times New Roman" w:cs="Times New Roman"/>
                <w:i/>
                <w:sz w:val="22"/>
                <w:szCs w:val="22"/>
              </w:rPr>
              <w:t>Unlock</w:t>
            </w:r>
            <w:proofErr w:type="spellEnd"/>
            <w:r w:rsidRPr="00D25A9B">
              <w:rPr>
                <w:rFonts w:ascii="Times New Roman" w:hAnsi="Times New Roman" w:cs="Times New Roman"/>
                <w:sz w:val="22"/>
                <w:szCs w:val="22"/>
              </w:rPr>
              <w:t>) iš užrakintų išmaniųjų mobiliųjų įrenginių, užšifruotų naudojant pilną disko šifravimą ir failais pagrįstą šifravimą.</w:t>
            </w:r>
          </w:p>
          <w:p w14:paraId="2F95C595" w14:textId="4B412138" w:rsidR="00B552D0" w:rsidRPr="00D25A9B" w:rsidRDefault="00B552D0" w:rsidP="00881058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520"/>
              </w:tabs>
              <w:ind w:left="814" w:right="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5A9B">
              <w:rPr>
                <w:rFonts w:ascii="Times New Roman" w:hAnsi="Times New Roman" w:cs="Times New Roman"/>
                <w:sz w:val="22"/>
                <w:szCs w:val="22"/>
              </w:rPr>
              <w:t xml:space="preserve">Programinė įranga turi užtikrinti pilną failų sistemos nuskaitymą po pirmojo atrakinimo (angl. k. </w:t>
            </w:r>
            <w:proofErr w:type="spellStart"/>
            <w:r w:rsidRPr="00D25A9B">
              <w:rPr>
                <w:rFonts w:ascii="Times New Roman" w:hAnsi="Times New Roman" w:cs="Times New Roman"/>
                <w:i/>
                <w:sz w:val="22"/>
                <w:szCs w:val="22"/>
              </w:rPr>
              <w:t>After</w:t>
            </w:r>
            <w:proofErr w:type="spellEnd"/>
            <w:r w:rsidRPr="00D25A9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25A9B">
              <w:rPr>
                <w:rFonts w:ascii="Times New Roman" w:hAnsi="Times New Roman" w:cs="Times New Roman"/>
                <w:i/>
                <w:sz w:val="22"/>
                <w:szCs w:val="22"/>
              </w:rPr>
              <w:t>First</w:t>
            </w:r>
            <w:proofErr w:type="spellEnd"/>
            <w:r w:rsidRPr="00D25A9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25A9B">
              <w:rPr>
                <w:rFonts w:ascii="Times New Roman" w:hAnsi="Times New Roman" w:cs="Times New Roman"/>
                <w:i/>
                <w:sz w:val="22"/>
                <w:szCs w:val="22"/>
              </w:rPr>
              <w:t>Unlock</w:t>
            </w:r>
            <w:proofErr w:type="spellEnd"/>
            <w:r w:rsidRPr="00D25A9B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14:paraId="1B2F9B4E" w14:textId="0C65BB5B" w:rsidR="00B552D0" w:rsidRPr="00D25A9B" w:rsidRDefault="00B552D0" w:rsidP="00881058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520"/>
              </w:tabs>
              <w:ind w:left="814" w:right="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5A9B">
              <w:rPr>
                <w:rFonts w:ascii="Times New Roman" w:hAnsi="Times New Roman" w:cs="Times New Roman"/>
                <w:sz w:val="22"/>
                <w:szCs w:val="22"/>
              </w:rPr>
              <w:t>Programinė įranga turi leisti: peržiūrėti failų turinius šešioliktainėje skaičiavimo sistemoje, atkurti nuskaityto mobiliojo įrenginio failų sistemos informaciją ir struktūrą, dekoduoti skirtingus duomenų tipus: kontaktų sąrašus, momentinius pranešimus, skambučių žurnalų registrus, įrenginių identifikacinę informaciją (</w:t>
            </w:r>
            <w:r w:rsidRPr="00D25A9B">
              <w:rPr>
                <w:rFonts w:ascii="Times New Roman" w:hAnsi="Times New Roman" w:cs="Times New Roman"/>
                <w:i/>
                <w:sz w:val="22"/>
                <w:szCs w:val="22"/>
              </w:rPr>
              <w:t>IMSI</w:t>
            </w:r>
            <w:r w:rsidRPr="00D25A9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25A9B">
              <w:rPr>
                <w:rFonts w:ascii="Times New Roman" w:hAnsi="Times New Roman" w:cs="Times New Roman"/>
                <w:i/>
                <w:sz w:val="22"/>
                <w:szCs w:val="22"/>
              </w:rPr>
              <w:t>IMEI</w:t>
            </w:r>
            <w:r w:rsidRPr="00D25A9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25A9B">
              <w:rPr>
                <w:rFonts w:ascii="Times New Roman" w:hAnsi="Times New Roman" w:cs="Times New Roman"/>
                <w:i/>
                <w:sz w:val="22"/>
                <w:szCs w:val="22"/>
              </w:rPr>
              <w:t>ICCID</w:t>
            </w:r>
            <w:r w:rsidRPr="00D25A9B">
              <w:rPr>
                <w:rFonts w:ascii="Times New Roman" w:hAnsi="Times New Roman" w:cs="Times New Roman"/>
                <w:sz w:val="22"/>
                <w:szCs w:val="22"/>
              </w:rPr>
              <w:t xml:space="preserve"> kodai), skirtingų programų informaciją (pokalbių išklotinės, žurnalai).</w:t>
            </w:r>
          </w:p>
          <w:p w14:paraId="5E7AEB4D" w14:textId="16C9F6C3" w:rsidR="00B552D0" w:rsidRPr="00D25A9B" w:rsidRDefault="00B552D0" w:rsidP="00881058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520"/>
              </w:tabs>
              <w:ind w:left="814" w:right="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5A9B">
              <w:rPr>
                <w:rFonts w:ascii="Times New Roman" w:hAnsi="Times New Roman" w:cs="Times New Roman"/>
                <w:sz w:val="22"/>
                <w:szCs w:val="22"/>
              </w:rPr>
              <w:t>Programinėje įrangoje turi būti įdiegtas vizualizacijos pagal įvykių sukūrimo datą ir laiką modulis.</w:t>
            </w:r>
          </w:p>
          <w:p w14:paraId="6D85AA66" w14:textId="299D5CCF" w:rsidR="00B552D0" w:rsidRPr="00D25A9B" w:rsidRDefault="00B552D0" w:rsidP="00881058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520"/>
              </w:tabs>
              <w:ind w:left="814" w:right="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5A9B">
              <w:rPr>
                <w:rFonts w:ascii="Times New Roman" w:hAnsi="Times New Roman" w:cs="Times New Roman"/>
                <w:sz w:val="22"/>
                <w:szCs w:val="22"/>
              </w:rPr>
              <w:t>Programinėje įrangoje turi būti sukurtas atskiras modulis, leidžiantis kopijuoti ir analizuoti duomenis iš nutolusiuose serveriuose (</w:t>
            </w:r>
            <w:proofErr w:type="spellStart"/>
            <w:r w:rsidRPr="00D25A9B">
              <w:rPr>
                <w:rFonts w:ascii="Times New Roman" w:hAnsi="Times New Roman" w:cs="Times New Roman"/>
                <w:sz w:val="22"/>
                <w:szCs w:val="22"/>
              </w:rPr>
              <w:t>debesijos</w:t>
            </w:r>
            <w:proofErr w:type="spellEnd"/>
            <w:r w:rsidRPr="00D25A9B">
              <w:rPr>
                <w:rFonts w:ascii="Times New Roman" w:hAnsi="Times New Roman" w:cs="Times New Roman"/>
                <w:sz w:val="22"/>
                <w:szCs w:val="22"/>
              </w:rPr>
              <w:t xml:space="preserve"> angl. </w:t>
            </w:r>
            <w:proofErr w:type="spellStart"/>
            <w:r w:rsidRPr="00D25A9B">
              <w:rPr>
                <w:rFonts w:ascii="Times New Roman" w:hAnsi="Times New Roman" w:cs="Times New Roman"/>
                <w:i/>
                <w:sz w:val="22"/>
                <w:szCs w:val="22"/>
              </w:rPr>
              <w:t>Cloud</w:t>
            </w:r>
            <w:proofErr w:type="spellEnd"/>
            <w:r w:rsidRPr="00D25A9B">
              <w:rPr>
                <w:rFonts w:ascii="Times New Roman" w:hAnsi="Times New Roman" w:cs="Times New Roman"/>
                <w:sz w:val="22"/>
                <w:szCs w:val="22"/>
              </w:rPr>
              <w:t xml:space="preserve">) saugomų vartotojų paskyrų. Programinė įranga turėtų leisti prieigą prie nuotolinių debesies duomenų šaltinių naudojant debesies prisijungimo raktus, gautus iš mobiliųjų įrenginių, palaikančių </w:t>
            </w:r>
            <w:proofErr w:type="spellStart"/>
            <w:r w:rsidRPr="00D25A9B">
              <w:rPr>
                <w:rFonts w:ascii="Times New Roman" w:hAnsi="Times New Roman" w:cs="Times New Roman"/>
                <w:i/>
                <w:sz w:val="22"/>
                <w:szCs w:val="22"/>
              </w:rPr>
              <w:t>iOS</w:t>
            </w:r>
            <w:proofErr w:type="spellEnd"/>
            <w:r w:rsidRPr="00D25A9B">
              <w:rPr>
                <w:rFonts w:ascii="Times New Roman" w:hAnsi="Times New Roman" w:cs="Times New Roman"/>
                <w:sz w:val="22"/>
                <w:szCs w:val="22"/>
              </w:rPr>
              <w:t xml:space="preserve"> ir </w:t>
            </w:r>
            <w:proofErr w:type="spellStart"/>
            <w:r w:rsidRPr="00D25A9B">
              <w:rPr>
                <w:rFonts w:ascii="Times New Roman" w:hAnsi="Times New Roman" w:cs="Times New Roman"/>
                <w:i/>
                <w:sz w:val="22"/>
                <w:szCs w:val="22"/>
              </w:rPr>
              <w:t>Android</w:t>
            </w:r>
            <w:proofErr w:type="spellEnd"/>
            <w:r w:rsidRPr="00D25A9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DE4B" w14:textId="77777777" w:rsidR="00B552D0" w:rsidRPr="00B552D0" w:rsidRDefault="00B552D0" w:rsidP="00B552D0">
            <w:pPr>
              <w:widowControl w:val="0"/>
              <w:tabs>
                <w:tab w:val="left" w:pos="520"/>
              </w:tabs>
              <w:ind w:right="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2D0" w:rsidRPr="00327F52" w14:paraId="4B9A1EAF" w14:textId="5D4A3157" w:rsidTr="00B552D0">
        <w:trPr>
          <w:trHeight w:val="68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658D5B1" w14:textId="77777777" w:rsidR="00B552D0" w:rsidRPr="00D25A9B" w:rsidRDefault="00B552D0" w:rsidP="00881058">
            <w:pPr>
              <w:widowControl w:val="0"/>
              <w:numPr>
                <w:ilvl w:val="1"/>
                <w:numId w:val="3"/>
              </w:numPr>
              <w:suppressAutoHyphens/>
              <w:ind w:left="432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0A9FDF" w14:textId="2D44638B" w:rsidR="00B552D0" w:rsidRPr="00D25A9B" w:rsidRDefault="00B552D0" w:rsidP="00B506F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5A9B">
              <w:rPr>
                <w:rFonts w:ascii="Times New Roman" w:hAnsi="Times New Roman" w:cs="Times New Roman"/>
                <w:sz w:val="22"/>
                <w:szCs w:val="22"/>
              </w:rPr>
              <w:t>Licencijos atnaujinimo ir palaikymo laikotarpis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A40D2B" w14:textId="66DC59D9" w:rsidR="00B552D0" w:rsidRPr="00D25A9B" w:rsidRDefault="00B552D0" w:rsidP="001A5898">
            <w:pPr>
              <w:widowControl w:val="0"/>
              <w:tabs>
                <w:tab w:val="left" w:pos="395"/>
              </w:tabs>
              <w:ind w:left="124" w:right="112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5A1DC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Programinės įrangos licencijos atnaujinimas ir palaikymas turi galioti 12 </w:t>
            </w:r>
            <w:r w:rsidRPr="0088105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mėnesių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t</w:t>
            </w:r>
            <w:r w:rsidRPr="0088105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erminą skaičiuojant nuo 2026 m. birželio 12 d.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D755" w14:textId="77777777" w:rsidR="00B552D0" w:rsidRPr="005A1DC1" w:rsidRDefault="00B552D0" w:rsidP="001A5898">
            <w:pPr>
              <w:widowControl w:val="0"/>
              <w:tabs>
                <w:tab w:val="left" w:pos="395"/>
              </w:tabs>
              <w:ind w:left="124" w:right="112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B552D0" w:rsidRPr="00327F52" w14:paraId="3A86C00E" w14:textId="5F1ADD4B" w:rsidTr="00B552D0">
        <w:trPr>
          <w:trHeight w:val="1232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2980746" w14:textId="77777777" w:rsidR="00B552D0" w:rsidRPr="00D25A9B" w:rsidRDefault="00B552D0" w:rsidP="00881058">
            <w:pPr>
              <w:widowControl w:val="0"/>
              <w:numPr>
                <w:ilvl w:val="1"/>
                <w:numId w:val="3"/>
              </w:numPr>
              <w:suppressAutoHyphens/>
              <w:ind w:left="43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D5BF141" w14:textId="1D3D8D13" w:rsidR="00B552D0" w:rsidRPr="00D25A9B" w:rsidRDefault="00B552D0" w:rsidP="00B506F8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25A9B">
              <w:rPr>
                <w:rFonts w:ascii="Times New Roman" w:hAnsi="Times New Roman" w:cs="Times New Roman"/>
                <w:sz w:val="22"/>
                <w:szCs w:val="22"/>
              </w:rPr>
              <w:t>Licencijos atnaujinimo ir palaikymo garantija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B4328F2" w14:textId="3FCFBDB0" w:rsidR="00B552D0" w:rsidRPr="00D25A9B" w:rsidRDefault="00B552D0" w:rsidP="00BB72EB">
            <w:pPr>
              <w:widowControl w:val="0"/>
              <w:tabs>
                <w:tab w:val="left" w:pos="395"/>
              </w:tabs>
              <w:ind w:left="124" w:right="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5A9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Programinės įrangos atnaujinimas turi būti atliekamas internetu. Taip pat turi būti galimybė </w:t>
            </w:r>
            <w:proofErr w:type="spellStart"/>
            <w:r w:rsidRPr="00D25A9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atnaujinimus</w:t>
            </w:r>
            <w:proofErr w:type="spellEnd"/>
            <w:r w:rsidRPr="00D25A9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atsisiųsti iš gamintojo svetainės visą priežiūros ir palaikymo laikotarpį. </w:t>
            </w:r>
            <w:r w:rsidRPr="00D25A9B">
              <w:rPr>
                <w:rFonts w:ascii="Times New Roman" w:hAnsi="Times New Roman" w:cs="Times New Roman"/>
                <w:sz w:val="22"/>
                <w:szCs w:val="22"/>
              </w:rPr>
              <w:t xml:space="preserve">Licencijos palaikymo galiojimo laikotarpiu </w:t>
            </w:r>
            <w:r w:rsidRPr="00D25A9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be papildomo mokesčio turi būti privalomai pristatomi visų naujų nuskaitomų mobiliųjų įrenginių duomenų perdavimo kabeliai ir programinės įrangos atnaujinimai naujiems įrenginiams nuskaityti (angl. </w:t>
            </w:r>
            <w:proofErr w:type="spellStart"/>
            <w:r w:rsidRPr="00D25A9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upgrade</w:t>
            </w:r>
            <w:proofErr w:type="spellEnd"/>
            <w:r w:rsidRPr="00D25A9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25A9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kit</w:t>
            </w:r>
            <w:proofErr w:type="spellEnd"/>
            <w:r w:rsidRPr="00D25A9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).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C73E" w14:textId="77777777" w:rsidR="00B552D0" w:rsidRPr="00D25A9B" w:rsidRDefault="00B552D0" w:rsidP="00BB72EB">
            <w:pPr>
              <w:widowControl w:val="0"/>
              <w:tabs>
                <w:tab w:val="left" w:pos="395"/>
              </w:tabs>
              <w:ind w:left="124" w:right="112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B552D0" w:rsidRPr="00327F52" w14:paraId="4D1F141E" w14:textId="6B4FCB18" w:rsidTr="00B552D0">
        <w:trPr>
          <w:trHeight w:val="1232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CAEFC1" w14:textId="77777777" w:rsidR="00B552D0" w:rsidRPr="00D25A9B" w:rsidRDefault="00B552D0" w:rsidP="00881058">
            <w:pPr>
              <w:widowControl w:val="0"/>
              <w:numPr>
                <w:ilvl w:val="1"/>
                <w:numId w:val="3"/>
              </w:numPr>
              <w:suppressAutoHyphens/>
              <w:ind w:left="43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85C8F97" w14:textId="5C9B5C97" w:rsidR="00B552D0" w:rsidRPr="00D25A9B" w:rsidRDefault="00B552D0" w:rsidP="00B506F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5A9B">
              <w:rPr>
                <w:rFonts w:ascii="Times New Roman" w:hAnsi="Times New Roman" w:cs="Times New Roman"/>
                <w:sz w:val="22"/>
                <w:szCs w:val="22"/>
              </w:rPr>
              <w:t>Aplinkosauginiai reikalavimai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FD43C7" w14:textId="2F52F64F" w:rsidR="00B552D0" w:rsidRPr="00D25A9B" w:rsidRDefault="00B552D0" w:rsidP="008E79EE">
            <w:pPr>
              <w:widowControl w:val="0"/>
              <w:tabs>
                <w:tab w:val="left" w:pos="395"/>
              </w:tabs>
              <w:ind w:left="124" w:right="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5A9B">
              <w:rPr>
                <w:rFonts w:ascii="Times New Roman" w:hAnsi="Times New Roman" w:cs="Times New Roman"/>
                <w:sz w:val="22"/>
                <w:szCs w:val="22"/>
              </w:rPr>
              <w:t>Aplinkosauginiai reikalavimai nustatyti, vadovaujantis Aplinkos apsaugos kriterijų taikymo, vykdant žaliuosius pirkimus, tvarkos aprašo, patvirtinto Lietuvos Respublikos aplinkos ministro 2011 m. birželio 28 d. įsakymu Nr. D1-508 (Lietuvos Respublikos aplinkos ministro 2024 m. sausio 16 d. įsakymo Nr. D1-17 redakcija) (toliau Tvarkos aprašas).</w:t>
            </w:r>
          </w:p>
          <w:p w14:paraId="61FD4A7A" w14:textId="5C1E077A" w:rsidR="00B552D0" w:rsidRPr="00D25A9B" w:rsidRDefault="00B552D0" w:rsidP="008E79EE">
            <w:pPr>
              <w:widowControl w:val="0"/>
              <w:tabs>
                <w:tab w:val="left" w:pos="395"/>
              </w:tabs>
              <w:ind w:left="124" w:right="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5A9B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Aplinkos apsaugos kriterijai nustatyti pagal Tvarkos aprašo 4.4.3 papunktį (perkama tik nematerialaus pobūdžio (intelektinė) ar kitokia paslauga, nesusijusi su materialaus objekto sukūrimu).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DD97" w14:textId="77777777" w:rsidR="00B552D0" w:rsidRPr="00D25A9B" w:rsidRDefault="00B552D0" w:rsidP="008E79EE">
            <w:pPr>
              <w:widowControl w:val="0"/>
              <w:tabs>
                <w:tab w:val="left" w:pos="395"/>
              </w:tabs>
              <w:ind w:left="124" w:right="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E82A164" w14:textId="77777777" w:rsidR="00F117E8" w:rsidRDefault="00F117E8"/>
    <w:p w14:paraId="47F4BB24" w14:textId="77777777" w:rsidR="00113BC8" w:rsidRDefault="00113BC8"/>
    <w:tbl>
      <w:tblPr>
        <w:tblW w:w="1289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6"/>
        <w:gridCol w:w="2123"/>
        <w:gridCol w:w="7654"/>
        <w:gridCol w:w="2552"/>
      </w:tblGrid>
      <w:tr w:rsidR="00B552D0" w:rsidRPr="00523A20" w14:paraId="6C723D4C" w14:textId="3F5F43E1" w:rsidTr="00B552D0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5D4BE" w14:textId="77777777" w:rsidR="00B552D0" w:rsidRPr="00113BC8" w:rsidRDefault="00B552D0" w:rsidP="00036C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3BC8">
              <w:rPr>
                <w:rFonts w:ascii="Times New Roman" w:hAnsi="Times New Roman" w:cs="Times New Roman"/>
                <w:sz w:val="22"/>
                <w:szCs w:val="22"/>
              </w:rPr>
              <w:t>Eil. Nr.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F5F40" w14:textId="77777777" w:rsidR="00B552D0" w:rsidRPr="00113BC8" w:rsidRDefault="00B552D0" w:rsidP="00036C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13BC8">
              <w:rPr>
                <w:rFonts w:ascii="Times New Roman" w:hAnsi="Times New Roman" w:cs="Times New Roman"/>
                <w:sz w:val="22"/>
                <w:szCs w:val="22"/>
              </w:rPr>
              <w:t>Komponento pavadinimas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61F7A" w14:textId="77777777" w:rsidR="00B552D0" w:rsidRPr="00113BC8" w:rsidRDefault="00B552D0" w:rsidP="00036C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3BC8">
              <w:rPr>
                <w:rFonts w:ascii="Times New Roman" w:hAnsi="Times New Roman" w:cs="Times New Roman"/>
                <w:sz w:val="22"/>
                <w:szCs w:val="22"/>
              </w:rPr>
              <w:t>Reikalavimas komponentui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EBE0" w14:textId="0C97F7F1" w:rsidR="00B552D0" w:rsidRPr="00113BC8" w:rsidRDefault="00B552D0" w:rsidP="00036C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Pastabos/ siūlymai</w:t>
            </w:r>
          </w:p>
        </w:tc>
      </w:tr>
      <w:tr w:rsidR="00B552D0" w:rsidRPr="00523A20" w14:paraId="585C8784" w14:textId="7854C1BE" w:rsidTr="00B552D0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A66C5D" w14:textId="5B48C80E" w:rsidR="00B552D0" w:rsidRPr="00113BC8" w:rsidRDefault="00B552D0" w:rsidP="003012A1">
            <w:pPr>
              <w:pStyle w:val="ListParagraph"/>
              <w:numPr>
                <w:ilvl w:val="0"/>
                <w:numId w:val="3"/>
              </w:numPr>
              <w:suppressAutoHyphens/>
              <w:ind w:left="473"/>
              <w:rPr>
                <w:rFonts w:ascii="Times New Roman" w:hAnsi="Times New Roman" w:cs="Times New Roman"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9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AB5158" w14:textId="2C16B603" w:rsidR="00B552D0" w:rsidRPr="00113BC8" w:rsidRDefault="00B552D0" w:rsidP="00113BC8">
            <w:pPr>
              <w:tabs>
                <w:tab w:val="left" w:pos="395"/>
              </w:tabs>
              <w:spacing w:before="120" w:after="120"/>
              <w:ind w:right="112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proofErr w:type="spellStart"/>
            <w:r w:rsidRPr="00E81839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Cellebrite</w:t>
            </w:r>
            <w:proofErr w:type="spellEnd"/>
            <w:r w:rsidRPr="00E81839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E81839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Inseyets</w:t>
            </w:r>
            <w:proofErr w:type="spellEnd"/>
            <w:r w:rsidRPr="00E81839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 xml:space="preserve"> Online Pro </w:t>
            </w:r>
            <w:r w:rsidRPr="00113BC8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(arba lygiavertė)</w:t>
            </w: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*, 1 vnt.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A044" w14:textId="77777777" w:rsidR="00B552D0" w:rsidRPr="00E81839" w:rsidRDefault="00B552D0" w:rsidP="00113BC8">
            <w:pPr>
              <w:tabs>
                <w:tab w:val="left" w:pos="395"/>
              </w:tabs>
              <w:spacing w:before="120" w:after="120"/>
              <w:ind w:right="112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B552D0" w:rsidRPr="00523A20" w14:paraId="72FC3EC6" w14:textId="2EA62F7D" w:rsidTr="00B552D0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C7B807" w14:textId="0A999A7F" w:rsidR="00B552D0" w:rsidRPr="00113BC8" w:rsidRDefault="00B552D0" w:rsidP="003012A1">
            <w:pPr>
              <w:pStyle w:val="ListParagraph"/>
              <w:numPr>
                <w:ilvl w:val="1"/>
                <w:numId w:val="3"/>
              </w:numPr>
              <w:suppressAutoHyphens/>
              <w:ind w:left="545"/>
              <w:rPr>
                <w:rFonts w:ascii="Times New Roman" w:hAnsi="Times New Roman" w:cs="Times New Roman"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EBE605" w14:textId="77777777" w:rsidR="00B552D0" w:rsidRPr="00113BC8" w:rsidRDefault="00B552D0" w:rsidP="00036C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13BC8">
              <w:rPr>
                <w:rFonts w:ascii="Times New Roman" w:hAnsi="Times New Roman" w:cs="Times New Roman"/>
                <w:sz w:val="22"/>
                <w:szCs w:val="22"/>
              </w:rPr>
              <w:t>Reikalavimai</w:t>
            </w:r>
          </w:p>
          <w:p w14:paraId="4CE422DC" w14:textId="77777777" w:rsidR="00B552D0" w:rsidRPr="00113BC8" w:rsidRDefault="00B552D0" w:rsidP="00036C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13BC8">
              <w:rPr>
                <w:rFonts w:ascii="Times New Roman" w:hAnsi="Times New Roman" w:cs="Times New Roman"/>
                <w:sz w:val="22"/>
                <w:szCs w:val="22"/>
              </w:rPr>
              <w:t>licencijoms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71A31FA" w14:textId="3CD52850" w:rsidR="00B552D0" w:rsidRPr="00113BC8" w:rsidRDefault="00B552D0" w:rsidP="00036C60">
            <w:pPr>
              <w:tabs>
                <w:tab w:val="left" w:pos="395"/>
              </w:tabs>
              <w:ind w:left="124" w:right="112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012A1">
              <w:rPr>
                <w:rFonts w:ascii="Times New Roman" w:hAnsi="Times New Roman" w:cs="Times New Roman"/>
                <w:sz w:val="22"/>
                <w:szCs w:val="22"/>
              </w:rPr>
              <w:t>Licencijos atnaujinimas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ir palaikymas</w:t>
            </w:r>
            <w:r w:rsidRPr="003012A1">
              <w:rPr>
                <w:rFonts w:ascii="Times New Roman" w:hAnsi="Times New Roman" w:cs="Times New Roman"/>
                <w:sz w:val="22"/>
                <w:szCs w:val="22"/>
              </w:rPr>
              <w:t xml:space="preserve"> turi būti skirt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3012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012A1">
              <w:rPr>
                <w:rFonts w:ascii="Times New Roman" w:hAnsi="Times New Roman" w:cs="Times New Roman"/>
                <w:i/>
                <w:sz w:val="22"/>
                <w:szCs w:val="22"/>
              </w:rPr>
              <w:t>Cellebrite</w:t>
            </w:r>
            <w:proofErr w:type="spellEnd"/>
            <w:r w:rsidRPr="003012A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3012A1">
              <w:rPr>
                <w:rFonts w:ascii="Times New Roman" w:hAnsi="Times New Roman" w:cs="Times New Roman"/>
                <w:i/>
                <w:sz w:val="22"/>
                <w:szCs w:val="22"/>
              </w:rPr>
              <w:t>Inseyets</w:t>
            </w:r>
            <w:proofErr w:type="spellEnd"/>
            <w:r w:rsidRPr="003012A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Online Pro </w:t>
            </w:r>
            <w:r w:rsidRPr="003012A1">
              <w:rPr>
                <w:rFonts w:ascii="Times New Roman" w:hAnsi="Times New Roman" w:cs="Times New Roman"/>
                <w:sz w:val="22"/>
                <w:szCs w:val="22"/>
              </w:rPr>
              <w:t>programinės įrangos licencijai, kurios</w:t>
            </w:r>
            <w:r w:rsidRPr="003012A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113BC8">
              <w:rPr>
                <w:rFonts w:ascii="Times New Roman" w:hAnsi="Times New Roman" w:cs="Times New Roman"/>
                <w:sz w:val="22"/>
                <w:szCs w:val="22"/>
              </w:rPr>
              <w:t xml:space="preserve">Nr. 880496812, įrenginio </w:t>
            </w:r>
            <w:r w:rsidRPr="00113BC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S/N: </w:t>
            </w:r>
            <w:r w:rsidRPr="00113BC8">
              <w:rPr>
                <w:rFonts w:ascii="Times New Roman" w:hAnsi="Times New Roman" w:cs="Times New Roman"/>
                <w:sz w:val="22"/>
                <w:szCs w:val="22"/>
              </w:rPr>
              <w:t>472248276988613003.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9FA2" w14:textId="77777777" w:rsidR="00B552D0" w:rsidRPr="003012A1" w:rsidRDefault="00B552D0" w:rsidP="00036C60">
            <w:pPr>
              <w:tabs>
                <w:tab w:val="left" w:pos="395"/>
              </w:tabs>
              <w:ind w:left="124" w:right="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2D0" w:rsidRPr="00DB3C7F" w14:paraId="4EC5C659" w14:textId="0690DFCC" w:rsidTr="00B552D0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0134E7" w14:textId="77777777" w:rsidR="00B552D0" w:rsidRPr="00113BC8" w:rsidRDefault="00B552D0" w:rsidP="00113BC8">
            <w:pPr>
              <w:pStyle w:val="ListParagraph"/>
              <w:numPr>
                <w:ilvl w:val="1"/>
                <w:numId w:val="3"/>
              </w:numPr>
              <w:suppressAutoHyphens/>
              <w:ind w:left="489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3576F3E" w14:textId="77777777" w:rsidR="00B552D0" w:rsidRPr="00113BC8" w:rsidRDefault="00B552D0" w:rsidP="00036C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13BC8">
              <w:rPr>
                <w:rFonts w:ascii="Times New Roman" w:hAnsi="Times New Roman" w:cs="Times New Roman"/>
                <w:sz w:val="22"/>
                <w:szCs w:val="22"/>
              </w:rPr>
              <w:t>Funkcionalumo reikalavimai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C535187" w14:textId="77777777" w:rsidR="00B552D0" w:rsidRPr="00113BC8" w:rsidRDefault="00B552D0" w:rsidP="00575432">
            <w:pPr>
              <w:pStyle w:val="ListParagraph"/>
              <w:numPr>
                <w:ilvl w:val="0"/>
                <w:numId w:val="7"/>
              </w:numPr>
              <w:tabs>
                <w:tab w:val="left" w:pos="395"/>
              </w:tabs>
              <w:ind w:left="814" w:right="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3BC8">
              <w:rPr>
                <w:rFonts w:ascii="Times New Roman" w:hAnsi="Times New Roman" w:cs="Times New Roman"/>
                <w:sz w:val="22"/>
                <w:szCs w:val="22"/>
              </w:rPr>
              <w:t xml:space="preserve">Programinė įranga turi nuskaityti duomenis iš atrakintų, mobiliųjų įrenginių su </w:t>
            </w:r>
            <w:proofErr w:type="spellStart"/>
            <w:r w:rsidRPr="00113BC8">
              <w:rPr>
                <w:rFonts w:ascii="Times New Roman" w:hAnsi="Times New Roman" w:cs="Times New Roman"/>
                <w:i/>
                <w:sz w:val="22"/>
                <w:szCs w:val="22"/>
              </w:rPr>
              <w:t>iOS</w:t>
            </w:r>
            <w:proofErr w:type="spellEnd"/>
            <w:r w:rsidRPr="00113BC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13BC8">
              <w:rPr>
                <w:rFonts w:ascii="Times New Roman" w:hAnsi="Times New Roman" w:cs="Times New Roman"/>
                <w:i/>
                <w:sz w:val="22"/>
                <w:szCs w:val="22"/>
              </w:rPr>
              <w:t>Android</w:t>
            </w:r>
            <w:proofErr w:type="spellEnd"/>
            <w:r w:rsidRPr="00113BC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ir kt.</w:t>
            </w:r>
            <w:r w:rsidRPr="00113BC8">
              <w:rPr>
                <w:rFonts w:ascii="Times New Roman" w:hAnsi="Times New Roman" w:cs="Times New Roman"/>
                <w:sz w:val="22"/>
                <w:szCs w:val="22"/>
              </w:rPr>
              <w:t xml:space="preserve"> operacinėmis sistemomis.</w:t>
            </w:r>
          </w:p>
          <w:p w14:paraId="436B5DC4" w14:textId="77777777" w:rsidR="00B552D0" w:rsidRPr="00113BC8" w:rsidRDefault="00B552D0" w:rsidP="00575432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20"/>
              </w:tabs>
              <w:ind w:left="814" w:right="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3BC8">
              <w:rPr>
                <w:rFonts w:ascii="Times New Roman" w:hAnsi="Times New Roman" w:cs="Times New Roman"/>
                <w:sz w:val="22"/>
                <w:szCs w:val="22"/>
              </w:rPr>
              <w:t>Programinė įranga turi leisti: peržiūrėti failų turinius šešioliktainėje skaičiavimo sistemoje, atkurti nuskaityto mobiliojo įrenginio failų sistemos informaciją ir struktūrą, dekoduoti skirtingus duomenų tipus: kontaktų sąrašus, momentinius pranešimus, skambučių žurnalų registrus, įrenginių identifikacinę informaciją (</w:t>
            </w:r>
            <w:r w:rsidRPr="00113BC8">
              <w:rPr>
                <w:rFonts w:ascii="Times New Roman" w:hAnsi="Times New Roman" w:cs="Times New Roman"/>
                <w:i/>
                <w:sz w:val="22"/>
                <w:szCs w:val="22"/>
              </w:rPr>
              <w:t>IMSI</w:t>
            </w:r>
            <w:r w:rsidRPr="00113BC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113BC8">
              <w:rPr>
                <w:rFonts w:ascii="Times New Roman" w:hAnsi="Times New Roman" w:cs="Times New Roman"/>
                <w:i/>
                <w:sz w:val="22"/>
                <w:szCs w:val="22"/>
              </w:rPr>
              <w:t>IMEI</w:t>
            </w:r>
            <w:r w:rsidRPr="00113BC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113BC8">
              <w:rPr>
                <w:rFonts w:ascii="Times New Roman" w:hAnsi="Times New Roman" w:cs="Times New Roman"/>
                <w:i/>
                <w:sz w:val="22"/>
                <w:szCs w:val="22"/>
              </w:rPr>
              <w:t>ICCID</w:t>
            </w:r>
            <w:r w:rsidRPr="00113BC8">
              <w:rPr>
                <w:rFonts w:ascii="Times New Roman" w:hAnsi="Times New Roman" w:cs="Times New Roman"/>
                <w:sz w:val="22"/>
                <w:szCs w:val="22"/>
              </w:rPr>
              <w:t xml:space="preserve"> kodai), skirtingų programų informaciją (pokalbių išklotinės, žurnalai).</w:t>
            </w:r>
          </w:p>
          <w:p w14:paraId="08F90B1D" w14:textId="77777777" w:rsidR="00B552D0" w:rsidRPr="00113BC8" w:rsidRDefault="00B552D0" w:rsidP="00575432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20"/>
              </w:tabs>
              <w:ind w:left="814" w:right="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3BC8">
              <w:rPr>
                <w:rFonts w:ascii="Times New Roman" w:hAnsi="Times New Roman" w:cs="Times New Roman"/>
                <w:sz w:val="22"/>
                <w:szCs w:val="22"/>
              </w:rPr>
              <w:t>Programinėje įrangoje turi būti įdiegtas vizualizacijos pagal įvykių sukūrimo datą ir laiką modulis.</w:t>
            </w:r>
          </w:p>
          <w:p w14:paraId="552C0205" w14:textId="77777777" w:rsidR="00B552D0" w:rsidRPr="00113BC8" w:rsidRDefault="00B552D0" w:rsidP="00575432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20"/>
              </w:tabs>
              <w:ind w:left="814" w:right="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3BC8">
              <w:rPr>
                <w:rFonts w:ascii="Times New Roman" w:hAnsi="Times New Roman" w:cs="Times New Roman"/>
                <w:sz w:val="22"/>
                <w:szCs w:val="22"/>
              </w:rPr>
              <w:t xml:space="preserve">Programinė įranga turi atlikti pilną failų sistemos nuskaitymą (angl. k. </w:t>
            </w:r>
            <w:proofErr w:type="spellStart"/>
            <w:r w:rsidRPr="00113BC8">
              <w:rPr>
                <w:rFonts w:ascii="Times New Roman" w:hAnsi="Times New Roman" w:cs="Times New Roman"/>
                <w:i/>
                <w:sz w:val="22"/>
                <w:szCs w:val="22"/>
              </w:rPr>
              <w:t>Full</w:t>
            </w:r>
            <w:proofErr w:type="spellEnd"/>
            <w:r w:rsidRPr="00113BC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File System</w:t>
            </w:r>
            <w:r w:rsidRPr="00113BC8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113BC8">
              <w:rPr>
                <w:rFonts w:ascii="Times New Roman" w:hAnsi="Times New Roman" w:cs="Times New Roman"/>
                <w:i/>
                <w:sz w:val="22"/>
                <w:szCs w:val="22"/>
              </w:rPr>
              <w:t>FFS</w:t>
            </w:r>
            <w:r w:rsidRPr="00113BC8">
              <w:rPr>
                <w:rFonts w:ascii="Times New Roman" w:hAnsi="Times New Roman" w:cs="Times New Roman"/>
                <w:sz w:val="22"/>
                <w:szCs w:val="22"/>
              </w:rPr>
              <w:t xml:space="preserve">) iš atrakintų išmaniųjų įrenginių ir pilną fizinį nuskaitymą iš atrakintų įrenginių turinčių pilną disko šifravimą (angl. k. </w:t>
            </w:r>
            <w:proofErr w:type="spellStart"/>
            <w:r w:rsidRPr="00113BC8">
              <w:rPr>
                <w:rFonts w:ascii="Times New Roman" w:hAnsi="Times New Roman" w:cs="Times New Roman"/>
                <w:i/>
                <w:sz w:val="22"/>
                <w:szCs w:val="22"/>
              </w:rPr>
              <w:t>Full</w:t>
            </w:r>
            <w:proofErr w:type="spellEnd"/>
            <w:r w:rsidRPr="00113BC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113BC8">
              <w:rPr>
                <w:rFonts w:ascii="Times New Roman" w:hAnsi="Times New Roman" w:cs="Times New Roman"/>
                <w:i/>
                <w:sz w:val="22"/>
                <w:szCs w:val="22"/>
              </w:rPr>
              <w:t>disk</w:t>
            </w:r>
            <w:proofErr w:type="spellEnd"/>
            <w:r w:rsidRPr="00113BC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113BC8">
              <w:rPr>
                <w:rFonts w:ascii="Times New Roman" w:hAnsi="Times New Roman" w:cs="Times New Roman"/>
                <w:i/>
                <w:sz w:val="22"/>
                <w:szCs w:val="22"/>
              </w:rPr>
              <w:t>Encryption</w:t>
            </w:r>
            <w:proofErr w:type="spellEnd"/>
            <w:r w:rsidRPr="00113BC8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14:paraId="14565349" w14:textId="77777777" w:rsidR="00B552D0" w:rsidRPr="00113BC8" w:rsidRDefault="00B552D0" w:rsidP="00036C60">
            <w:pPr>
              <w:tabs>
                <w:tab w:val="left" w:pos="395"/>
              </w:tabs>
              <w:ind w:left="124" w:right="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55B2" w14:textId="77777777" w:rsidR="00B552D0" w:rsidRPr="00113BC8" w:rsidRDefault="00B552D0" w:rsidP="00B552D0">
            <w:pPr>
              <w:pStyle w:val="ListParagraph"/>
              <w:tabs>
                <w:tab w:val="left" w:pos="395"/>
              </w:tabs>
              <w:ind w:left="814" w:right="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2D0" w:rsidRPr="00523A20" w14:paraId="30E77928" w14:textId="65727D88" w:rsidTr="00B552D0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4573254" w14:textId="77777777" w:rsidR="00B552D0" w:rsidRPr="00113BC8" w:rsidRDefault="00B552D0" w:rsidP="00113BC8">
            <w:pPr>
              <w:pStyle w:val="ListParagraph"/>
              <w:numPr>
                <w:ilvl w:val="1"/>
                <w:numId w:val="3"/>
              </w:numPr>
              <w:suppressAutoHyphens/>
              <w:ind w:left="489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328CDD" w14:textId="77777777" w:rsidR="00B552D0" w:rsidRPr="00113BC8" w:rsidRDefault="00B552D0" w:rsidP="00036C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13BC8">
              <w:rPr>
                <w:rFonts w:ascii="Times New Roman" w:hAnsi="Times New Roman" w:cs="Times New Roman"/>
                <w:sz w:val="22"/>
                <w:szCs w:val="22"/>
              </w:rPr>
              <w:t>Licencijos atnaujinimo laikotarpis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52FE02" w14:textId="71C366A8" w:rsidR="00B552D0" w:rsidRPr="00113BC8" w:rsidRDefault="00B552D0" w:rsidP="00036C60">
            <w:pPr>
              <w:tabs>
                <w:tab w:val="left" w:pos="395"/>
              </w:tabs>
              <w:ind w:left="124" w:right="112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012A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Programinės įrangos licencijos atnaujinimas ir palaikymas turi galioti 12 mėnesių</w:t>
            </w:r>
            <w:r w:rsidRPr="00113BC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terminą skaičiuojant nuo prekių perdavimo/priėmimo akto pasirašymo datos.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AB96" w14:textId="77777777" w:rsidR="00B552D0" w:rsidRPr="003012A1" w:rsidRDefault="00B552D0" w:rsidP="00036C60">
            <w:pPr>
              <w:tabs>
                <w:tab w:val="left" w:pos="395"/>
              </w:tabs>
              <w:ind w:left="124" w:right="112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B552D0" w:rsidRPr="00523A20" w14:paraId="761F9E11" w14:textId="563189E2" w:rsidTr="00B552D0">
        <w:trPr>
          <w:trHeight w:val="1699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1FB29F" w14:textId="77777777" w:rsidR="00B552D0" w:rsidRPr="00113BC8" w:rsidRDefault="00B552D0" w:rsidP="00113BC8">
            <w:pPr>
              <w:pStyle w:val="ListParagraph"/>
              <w:numPr>
                <w:ilvl w:val="1"/>
                <w:numId w:val="3"/>
              </w:numPr>
              <w:suppressAutoHyphens/>
              <w:ind w:left="489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14555A" w14:textId="77777777" w:rsidR="00B552D0" w:rsidRPr="00113BC8" w:rsidRDefault="00B552D0" w:rsidP="00036C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13BC8">
              <w:rPr>
                <w:rFonts w:ascii="Times New Roman" w:hAnsi="Times New Roman" w:cs="Times New Roman"/>
                <w:sz w:val="22"/>
                <w:szCs w:val="22"/>
              </w:rPr>
              <w:t>Garantija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1B4480" w14:textId="2B922AC6" w:rsidR="00B552D0" w:rsidRPr="00113BC8" w:rsidRDefault="00B552D0" w:rsidP="00036C60">
            <w:pPr>
              <w:tabs>
                <w:tab w:val="left" w:pos="395"/>
              </w:tabs>
              <w:ind w:left="124" w:right="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Atnaujinimo</w:t>
            </w:r>
            <w:r w:rsidRPr="00113BC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ir palaikymo laikotarpiu be papildomo mokesčio turi būti privalomai pristatomi visų naujų nuskaitomų mobiliųjų įrenginių  duomenų perdavimo kabeliai ir programinės įrangos atnaujinimai naujiems įrenginiams nuskaityti (angl. </w:t>
            </w:r>
            <w:proofErr w:type="spellStart"/>
            <w:r w:rsidRPr="00113BC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upgrade</w:t>
            </w:r>
            <w:proofErr w:type="spellEnd"/>
            <w:r w:rsidRPr="00113BC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13BC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kit</w:t>
            </w:r>
            <w:proofErr w:type="spellEnd"/>
            <w:r w:rsidRPr="00113BC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). Programinės įrangos atnaujinimas turi būti atliekamas internetu. Taip pat turi būti galimybė </w:t>
            </w:r>
            <w:proofErr w:type="spellStart"/>
            <w:r w:rsidRPr="00113BC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atnaujinimus</w:t>
            </w:r>
            <w:proofErr w:type="spellEnd"/>
            <w:r w:rsidRPr="00113BC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atsisiųsti iš gamintojo svetainės visą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atnaujinimo</w:t>
            </w:r>
            <w:r w:rsidRPr="00113BC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ir palaikymo laikotarpį.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8EA0" w14:textId="77777777" w:rsidR="00B552D0" w:rsidRDefault="00B552D0" w:rsidP="00036C60">
            <w:pPr>
              <w:tabs>
                <w:tab w:val="left" w:pos="395"/>
              </w:tabs>
              <w:ind w:left="124" w:right="112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B552D0" w:rsidRPr="00523A20" w14:paraId="7BA88D13" w14:textId="63035CB3" w:rsidTr="00B552D0">
        <w:trPr>
          <w:trHeight w:val="1699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FFDB87" w14:textId="77777777" w:rsidR="00B552D0" w:rsidRPr="00113BC8" w:rsidRDefault="00B552D0" w:rsidP="003012A1">
            <w:pPr>
              <w:pStyle w:val="ListParagraph"/>
              <w:numPr>
                <w:ilvl w:val="1"/>
                <w:numId w:val="3"/>
              </w:numPr>
              <w:suppressAutoHyphens/>
              <w:ind w:left="489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958C81" w14:textId="77777777" w:rsidR="00B552D0" w:rsidRPr="00113BC8" w:rsidRDefault="00B552D0" w:rsidP="00036C60">
            <w:pPr>
              <w:widowControl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3BC8">
              <w:rPr>
                <w:rFonts w:ascii="Times New Roman" w:hAnsi="Times New Roman" w:cs="Times New Roman"/>
                <w:sz w:val="22"/>
                <w:szCs w:val="22"/>
              </w:rPr>
              <w:t>Aplinkosauginiai reikalavimai</w:t>
            </w:r>
          </w:p>
          <w:p w14:paraId="0B3C0F20" w14:textId="77777777" w:rsidR="00B552D0" w:rsidRPr="00113BC8" w:rsidRDefault="00B552D0" w:rsidP="00036C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A1D056F" w14:textId="77777777" w:rsidR="00B552D0" w:rsidRPr="00113BC8" w:rsidRDefault="00B552D0" w:rsidP="00036C60">
            <w:pPr>
              <w:widowControl w:val="0"/>
              <w:tabs>
                <w:tab w:val="left" w:pos="395"/>
              </w:tabs>
              <w:ind w:left="124" w:right="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3BC8">
              <w:rPr>
                <w:rFonts w:ascii="Times New Roman" w:hAnsi="Times New Roman" w:cs="Times New Roman"/>
                <w:sz w:val="22"/>
                <w:szCs w:val="22"/>
              </w:rPr>
              <w:t>Aplinkosauginiai reikalavimai nustatyti, vadovaujantis Aplinkos apsaugos kriterijų taikymo, vykdant žaliuosius pirkimus, tvarkos aprašo, patvirtinto Lietuvos Respublikos aplinkos ministro 2011 m. birželio 28 d. įsakymu Nr. D1-508 (Lietuvos Respublikos aplinkos ministro 2024 m. sausio 16 d. įsakymo Nr. D1-17 redakcija) (toliau Tvarkos aprašas).</w:t>
            </w:r>
          </w:p>
          <w:p w14:paraId="66663FC0" w14:textId="77777777" w:rsidR="00B552D0" w:rsidRPr="00113BC8" w:rsidRDefault="00B552D0" w:rsidP="00036C60">
            <w:pPr>
              <w:tabs>
                <w:tab w:val="left" w:pos="395"/>
              </w:tabs>
              <w:ind w:left="124" w:right="112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113BC8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Aplinkos apsaugos kriterijai nustatyti pagal Tvarkos aprašo 4.4.3 papunktį (perkama tik nematerialaus pobūdžio (intelektinė) ar kitokia paslauga, nesusijusi su materialaus objekto sukūrimu).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314C" w14:textId="77777777" w:rsidR="00B552D0" w:rsidRPr="00113BC8" w:rsidRDefault="00B552D0" w:rsidP="00036C60">
            <w:pPr>
              <w:widowControl w:val="0"/>
              <w:tabs>
                <w:tab w:val="left" w:pos="395"/>
              </w:tabs>
              <w:ind w:left="124" w:right="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AD8861" w14:textId="77777777" w:rsidR="00113BC8" w:rsidRDefault="00113BC8"/>
    <w:p w14:paraId="1205D5F1" w14:textId="77777777" w:rsidR="003012A1" w:rsidRDefault="003012A1"/>
    <w:tbl>
      <w:tblPr>
        <w:tblW w:w="13036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405"/>
        <w:gridCol w:w="7660"/>
        <w:gridCol w:w="2404"/>
      </w:tblGrid>
      <w:tr w:rsidR="00B552D0" w:rsidRPr="00016162" w14:paraId="43D6E3AC" w14:textId="39FA588D" w:rsidTr="00B552D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DB917" w14:textId="77777777" w:rsidR="00B552D0" w:rsidRPr="003012A1" w:rsidRDefault="00B552D0" w:rsidP="00036C60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A1">
              <w:rPr>
                <w:rFonts w:ascii="Times New Roman" w:hAnsi="Times New Roman" w:cs="Times New Roman"/>
                <w:sz w:val="22"/>
                <w:szCs w:val="22"/>
              </w:rPr>
              <w:t>Eil. Nr.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2773B" w14:textId="77777777" w:rsidR="00B552D0" w:rsidRPr="003012A1" w:rsidRDefault="00B552D0" w:rsidP="00036C60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012A1">
              <w:rPr>
                <w:rFonts w:ascii="Times New Roman" w:hAnsi="Times New Roman" w:cs="Times New Roman"/>
                <w:sz w:val="22"/>
                <w:szCs w:val="22"/>
              </w:rPr>
              <w:t>Komponento pavadinimas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4DE0A" w14:textId="19CA019E" w:rsidR="00B552D0" w:rsidRPr="003012A1" w:rsidRDefault="00B552D0" w:rsidP="00036C60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A1">
              <w:rPr>
                <w:rFonts w:ascii="Times New Roman" w:hAnsi="Times New Roman" w:cs="Times New Roman"/>
                <w:sz w:val="22"/>
                <w:szCs w:val="22"/>
              </w:rPr>
              <w:t>Reikalavima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3012A1">
              <w:rPr>
                <w:rFonts w:ascii="Times New Roman" w:hAnsi="Times New Roman" w:cs="Times New Roman"/>
                <w:sz w:val="22"/>
                <w:szCs w:val="22"/>
              </w:rPr>
              <w:t xml:space="preserve"> komponentui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E174" w14:textId="25250E16" w:rsidR="00B552D0" w:rsidRPr="003012A1" w:rsidRDefault="00B552D0" w:rsidP="00036C60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Pastabos/ siūlymai</w:t>
            </w:r>
          </w:p>
        </w:tc>
      </w:tr>
      <w:tr w:rsidR="00B552D0" w:rsidRPr="00016162" w14:paraId="6C2C71A8" w14:textId="7F8CFCDF" w:rsidTr="00B552D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E9269C" w14:textId="1AD6AF1A" w:rsidR="00B552D0" w:rsidRPr="003012A1" w:rsidRDefault="00B552D0" w:rsidP="003012A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ind w:left="473"/>
              <w:rPr>
                <w:rFonts w:ascii="Times New Roman" w:hAnsi="Times New Roman" w:cs="Times New Roman"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61985BD" w14:textId="2C640BA8" w:rsidR="00B552D0" w:rsidRPr="003012A1" w:rsidRDefault="00B552D0" w:rsidP="003012A1">
            <w:pPr>
              <w:widowControl w:val="0"/>
              <w:tabs>
                <w:tab w:val="left" w:pos="395"/>
              </w:tabs>
              <w:spacing w:before="120" w:after="120"/>
              <w:ind w:right="11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</w:pPr>
            <w:proofErr w:type="spellStart"/>
            <w:r w:rsidRPr="003012A1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Cellebrite</w:t>
            </w:r>
            <w:proofErr w:type="spellEnd"/>
            <w:r w:rsidRPr="003012A1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3012A1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Inseyets</w:t>
            </w:r>
            <w:proofErr w:type="spellEnd"/>
            <w:r w:rsidRPr="003012A1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 xml:space="preserve"> Online Pro</w:t>
            </w:r>
            <w:r w:rsidRPr="003012A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(arba lygiavertė)*, 1 vnt.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0021" w14:textId="77777777" w:rsidR="00B552D0" w:rsidRPr="003012A1" w:rsidRDefault="00B552D0" w:rsidP="003012A1">
            <w:pPr>
              <w:widowControl w:val="0"/>
              <w:tabs>
                <w:tab w:val="left" w:pos="395"/>
              </w:tabs>
              <w:spacing w:before="120" w:after="120"/>
              <w:ind w:right="112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B552D0" w:rsidRPr="00016162" w14:paraId="4EA401C0" w14:textId="1FE7DB6A" w:rsidTr="00B552D0">
        <w:trPr>
          <w:trHeight w:val="89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113D9C" w14:textId="77777777" w:rsidR="00B552D0" w:rsidRPr="003012A1" w:rsidRDefault="00B552D0" w:rsidP="003012A1">
            <w:pPr>
              <w:pStyle w:val="ListParagraph"/>
              <w:widowControl w:val="0"/>
              <w:numPr>
                <w:ilvl w:val="1"/>
                <w:numId w:val="3"/>
              </w:numPr>
              <w:suppressAutoHyphens/>
              <w:ind w:left="489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0753BA6" w14:textId="77777777" w:rsidR="00B552D0" w:rsidRPr="003012A1" w:rsidRDefault="00B552D0" w:rsidP="00036C60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012A1">
              <w:rPr>
                <w:rFonts w:ascii="Times New Roman" w:hAnsi="Times New Roman" w:cs="Times New Roman"/>
                <w:sz w:val="22"/>
                <w:szCs w:val="22"/>
              </w:rPr>
              <w:t>Reikalavimai</w:t>
            </w:r>
          </w:p>
          <w:p w14:paraId="1C7E2F11" w14:textId="77777777" w:rsidR="00B552D0" w:rsidRPr="003012A1" w:rsidRDefault="00B552D0" w:rsidP="00036C60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012A1">
              <w:rPr>
                <w:rFonts w:ascii="Times New Roman" w:hAnsi="Times New Roman" w:cs="Times New Roman"/>
                <w:sz w:val="22"/>
                <w:szCs w:val="22"/>
              </w:rPr>
              <w:t>licencijai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E06589" w14:textId="696CED57" w:rsidR="00B552D0" w:rsidRPr="003012A1" w:rsidRDefault="00B552D0" w:rsidP="00036C60">
            <w:pPr>
              <w:widowControl w:val="0"/>
              <w:tabs>
                <w:tab w:val="left" w:pos="395"/>
              </w:tabs>
              <w:ind w:left="95" w:right="112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  <w:shd w:val="clear" w:color="auto" w:fill="FFFFFF"/>
              </w:rPr>
            </w:pPr>
            <w:r w:rsidRPr="003012A1">
              <w:rPr>
                <w:rFonts w:ascii="Times New Roman" w:hAnsi="Times New Roman" w:cs="Times New Roman"/>
                <w:sz w:val="22"/>
                <w:szCs w:val="22"/>
              </w:rPr>
              <w:t>Licencijos atnaujinimas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ir palaikymas</w:t>
            </w:r>
            <w:r w:rsidRPr="003012A1">
              <w:rPr>
                <w:rFonts w:ascii="Times New Roman" w:hAnsi="Times New Roman" w:cs="Times New Roman"/>
                <w:sz w:val="22"/>
                <w:szCs w:val="22"/>
              </w:rPr>
              <w:t xml:space="preserve"> turi būti skirt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3012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012A1">
              <w:rPr>
                <w:rFonts w:ascii="Times New Roman" w:hAnsi="Times New Roman" w:cs="Times New Roman"/>
                <w:i/>
                <w:sz w:val="22"/>
                <w:szCs w:val="22"/>
              </w:rPr>
              <w:t>Cellebrite</w:t>
            </w:r>
            <w:proofErr w:type="spellEnd"/>
            <w:r w:rsidRPr="003012A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3012A1">
              <w:rPr>
                <w:rFonts w:ascii="Times New Roman" w:hAnsi="Times New Roman" w:cs="Times New Roman"/>
                <w:i/>
                <w:sz w:val="22"/>
                <w:szCs w:val="22"/>
              </w:rPr>
              <w:t>Inseyets</w:t>
            </w:r>
            <w:proofErr w:type="spellEnd"/>
            <w:r w:rsidRPr="003012A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Online Pro </w:t>
            </w:r>
            <w:r w:rsidRPr="003012A1">
              <w:rPr>
                <w:rFonts w:ascii="Times New Roman" w:hAnsi="Times New Roman" w:cs="Times New Roman"/>
                <w:sz w:val="22"/>
                <w:szCs w:val="22"/>
              </w:rPr>
              <w:t>programinės įrangos licencijai, kurios</w:t>
            </w:r>
            <w:r w:rsidRPr="003012A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numeris yra: 788433448</w:t>
            </w:r>
            <w:r w:rsidRPr="003012A1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3ACA" w14:textId="77777777" w:rsidR="00B552D0" w:rsidRPr="003012A1" w:rsidRDefault="00B552D0" w:rsidP="00036C60">
            <w:pPr>
              <w:widowControl w:val="0"/>
              <w:tabs>
                <w:tab w:val="left" w:pos="395"/>
              </w:tabs>
              <w:ind w:left="95" w:right="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2D0" w14:paraId="45842019" w14:textId="54B12395" w:rsidTr="00B552D0">
        <w:trPr>
          <w:trHeight w:val="89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4E3F972" w14:textId="77777777" w:rsidR="00B552D0" w:rsidRPr="003012A1" w:rsidRDefault="00B552D0" w:rsidP="003012A1">
            <w:pPr>
              <w:pStyle w:val="ListParagraph"/>
              <w:widowControl w:val="0"/>
              <w:numPr>
                <w:ilvl w:val="1"/>
                <w:numId w:val="3"/>
              </w:numPr>
              <w:suppressAutoHyphens/>
              <w:ind w:left="489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E543F6" w14:textId="77777777" w:rsidR="00B552D0" w:rsidRPr="003012A1" w:rsidRDefault="00B552D0" w:rsidP="00036C60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012A1">
              <w:rPr>
                <w:rFonts w:ascii="Times New Roman" w:hAnsi="Times New Roman" w:cs="Times New Roman"/>
                <w:sz w:val="22"/>
                <w:szCs w:val="22"/>
              </w:rPr>
              <w:t>Funkcionalumo reikalavimai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6CFB06" w14:textId="77777777" w:rsidR="00B552D0" w:rsidRPr="00575432" w:rsidRDefault="00B552D0" w:rsidP="00575432">
            <w:pPr>
              <w:pStyle w:val="ListParagraph"/>
              <w:numPr>
                <w:ilvl w:val="0"/>
                <w:numId w:val="9"/>
              </w:numPr>
              <w:tabs>
                <w:tab w:val="left" w:pos="395"/>
              </w:tabs>
              <w:ind w:left="814" w:right="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5432">
              <w:rPr>
                <w:rFonts w:ascii="Times New Roman" w:hAnsi="Times New Roman" w:cs="Times New Roman"/>
                <w:sz w:val="22"/>
                <w:szCs w:val="22"/>
              </w:rPr>
              <w:t xml:space="preserve">Programinė įranga turi nuskaityti duomenis iš atrakintų, mobiliųjų įrenginių su </w:t>
            </w:r>
            <w:proofErr w:type="spellStart"/>
            <w:r w:rsidRPr="00575432">
              <w:rPr>
                <w:rFonts w:ascii="Times New Roman" w:hAnsi="Times New Roman" w:cs="Times New Roman"/>
                <w:i/>
                <w:sz w:val="22"/>
                <w:szCs w:val="22"/>
              </w:rPr>
              <w:t>iOS</w:t>
            </w:r>
            <w:proofErr w:type="spellEnd"/>
            <w:r w:rsidRPr="0057543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575432">
              <w:rPr>
                <w:rFonts w:ascii="Times New Roman" w:hAnsi="Times New Roman" w:cs="Times New Roman"/>
                <w:i/>
                <w:sz w:val="22"/>
                <w:szCs w:val="22"/>
              </w:rPr>
              <w:t>Android</w:t>
            </w:r>
            <w:proofErr w:type="spellEnd"/>
            <w:r w:rsidRPr="0057543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ir kt.</w:t>
            </w:r>
            <w:r w:rsidRPr="00575432">
              <w:rPr>
                <w:rFonts w:ascii="Times New Roman" w:hAnsi="Times New Roman" w:cs="Times New Roman"/>
                <w:sz w:val="22"/>
                <w:szCs w:val="22"/>
              </w:rPr>
              <w:t xml:space="preserve"> operacinėmis sistemomis.</w:t>
            </w:r>
          </w:p>
          <w:p w14:paraId="45E6FA08" w14:textId="77777777" w:rsidR="00B552D0" w:rsidRPr="00575432" w:rsidRDefault="00B552D0" w:rsidP="00575432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0"/>
              </w:tabs>
              <w:ind w:left="814" w:right="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5432">
              <w:rPr>
                <w:rFonts w:ascii="Times New Roman" w:hAnsi="Times New Roman" w:cs="Times New Roman"/>
                <w:sz w:val="22"/>
                <w:szCs w:val="22"/>
              </w:rPr>
              <w:t>Programinė įranga turi leisti: peržiūrėti failų turinius šešioliktainėje skaičiavimo sistemoje, atkurti nuskaityto mobiliojo įrenginio failų sistemos informaciją ir struktūrą, dekoduoti skirtingus duomenų tipus: kontaktų sąrašus, momentinius pranešimus, skambučių žurnalų registrus, įrenginių identifikacinę informaciją (</w:t>
            </w:r>
            <w:r w:rsidRPr="00575432">
              <w:rPr>
                <w:rFonts w:ascii="Times New Roman" w:hAnsi="Times New Roman" w:cs="Times New Roman"/>
                <w:i/>
                <w:sz w:val="22"/>
                <w:szCs w:val="22"/>
              </w:rPr>
              <w:t>IMSI</w:t>
            </w:r>
            <w:r w:rsidRPr="0057543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575432">
              <w:rPr>
                <w:rFonts w:ascii="Times New Roman" w:hAnsi="Times New Roman" w:cs="Times New Roman"/>
                <w:i/>
                <w:sz w:val="22"/>
                <w:szCs w:val="22"/>
              </w:rPr>
              <w:t>IMEI</w:t>
            </w:r>
            <w:r w:rsidRPr="0057543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575432">
              <w:rPr>
                <w:rFonts w:ascii="Times New Roman" w:hAnsi="Times New Roman" w:cs="Times New Roman"/>
                <w:i/>
                <w:sz w:val="22"/>
                <w:szCs w:val="22"/>
              </w:rPr>
              <w:t>ICCID</w:t>
            </w:r>
            <w:r w:rsidRPr="00575432">
              <w:rPr>
                <w:rFonts w:ascii="Times New Roman" w:hAnsi="Times New Roman" w:cs="Times New Roman"/>
                <w:sz w:val="22"/>
                <w:szCs w:val="22"/>
              </w:rPr>
              <w:t xml:space="preserve"> kodai), skirtingų programų informaciją (pokalbių išklotinės, žurnalai).</w:t>
            </w:r>
          </w:p>
          <w:p w14:paraId="4912F17A" w14:textId="77777777" w:rsidR="00B552D0" w:rsidRPr="00575432" w:rsidRDefault="00B552D0" w:rsidP="00575432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0"/>
              </w:tabs>
              <w:ind w:left="814" w:right="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5432">
              <w:rPr>
                <w:rFonts w:ascii="Times New Roman" w:hAnsi="Times New Roman" w:cs="Times New Roman"/>
                <w:sz w:val="22"/>
                <w:szCs w:val="22"/>
              </w:rPr>
              <w:t>Programinėje įrangoje turi būti įdiegtas vizualizacijos pagal įvykių sukūrimo datą ir laiką modulis.</w:t>
            </w:r>
          </w:p>
          <w:p w14:paraId="76C6B6B9" w14:textId="77777777" w:rsidR="00B552D0" w:rsidRPr="00575432" w:rsidRDefault="00B552D0" w:rsidP="00575432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0"/>
              </w:tabs>
              <w:ind w:left="814" w:right="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54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Programinė įranga turi atlikti pilną failų sistemos nuskaitymą (angl. k. </w:t>
            </w:r>
            <w:proofErr w:type="spellStart"/>
            <w:r w:rsidRPr="00575432">
              <w:rPr>
                <w:rFonts w:ascii="Times New Roman" w:hAnsi="Times New Roman" w:cs="Times New Roman"/>
                <w:i/>
                <w:sz w:val="22"/>
                <w:szCs w:val="22"/>
              </w:rPr>
              <w:t>Full</w:t>
            </w:r>
            <w:proofErr w:type="spellEnd"/>
            <w:r w:rsidRPr="0057543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File System</w:t>
            </w:r>
            <w:r w:rsidRPr="00575432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575432">
              <w:rPr>
                <w:rFonts w:ascii="Times New Roman" w:hAnsi="Times New Roman" w:cs="Times New Roman"/>
                <w:i/>
                <w:sz w:val="22"/>
                <w:szCs w:val="22"/>
              </w:rPr>
              <w:t>FFS</w:t>
            </w:r>
            <w:r w:rsidRPr="00575432">
              <w:rPr>
                <w:rFonts w:ascii="Times New Roman" w:hAnsi="Times New Roman" w:cs="Times New Roman"/>
                <w:sz w:val="22"/>
                <w:szCs w:val="22"/>
              </w:rPr>
              <w:t xml:space="preserve">) iš atrakintų išmaniųjų įrenginių ir pilną fizinį nuskaitymą iš atrakintų įrenginių turinčių pilną disko šifravimą (angl. k. </w:t>
            </w:r>
            <w:proofErr w:type="spellStart"/>
            <w:r w:rsidRPr="00575432">
              <w:rPr>
                <w:rFonts w:ascii="Times New Roman" w:hAnsi="Times New Roman" w:cs="Times New Roman"/>
                <w:i/>
                <w:sz w:val="22"/>
                <w:szCs w:val="22"/>
              </w:rPr>
              <w:t>Full</w:t>
            </w:r>
            <w:proofErr w:type="spellEnd"/>
            <w:r w:rsidRPr="0057543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575432">
              <w:rPr>
                <w:rFonts w:ascii="Times New Roman" w:hAnsi="Times New Roman" w:cs="Times New Roman"/>
                <w:i/>
                <w:sz w:val="22"/>
                <w:szCs w:val="22"/>
              </w:rPr>
              <w:t>disk</w:t>
            </w:r>
            <w:proofErr w:type="spellEnd"/>
            <w:r w:rsidRPr="0057543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575432">
              <w:rPr>
                <w:rFonts w:ascii="Times New Roman" w:hAnsi="Times New Roman" w:cs="Times New Roman"/>
                <w:i/>
                <w:sz w:val="22"/>
                <w:szCs w:val="22"/>
              </w:rPr>
              <w:t>Encryption</w:t>
            </w:r>
            <w:proofErr w:type="spellEnd"/>
            <w:r w:rsidRPr="00575432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14:paraId="405CDC81" w14:textId="77777777" w:rsidR="00B552D0" w:rsidRPr="003012A1" w:rsidRDefault="00B552D0" w:rsidP="00036C60">
            <w:pPr>
              <w:widowControl w:val="0"/>
              <w:tabs>
                <w:tab w:val="left" w:pos="395"/>
              </w:tabs>
              <w:ind w:left="95" w:right="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00EB" w14:textId="77777777" w:rsidR="00B552D0" w:rsidRPr="00575432" w:rsidRDefault="00B552D0" w:rsidP="00B552D0">
            <w:pPr>
              <w:pStyle w:val="ListParagraph"/>
              <w:tabs>
                <w:tab w:val="left" w:pos="395"/>
              </w:tabs>
              <w:ind w:left="814" w:right="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2D0" w:rsidRPr="00016162" w14:paraId="75ABFA16" w14:textId="16C2FF88" w:rsidTr="00B552D0">
        <w:trPr>
          <w:trHeight w:val="68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8D033BF" w14:textId="77777777" w:rsidR="00B552D0" w:rsidRPr="003012A1" w:rsidRDefault="00B552D0" w:rsidP="003012A1">
            <w:pPr>
              <w:pStyle w:val="ListParagraph"/>
              <w:widowControl w:val="0"/>
              <w:numPr>
                <w:ilvl w:val="1"/>
                <w:numId w:val="3"/>
              </w:numPr>
              <w:suppressAutoHyphens/>
              <w:ind w:left="489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65E3054" w14:textId="77777777" w:rsidR="00B552D0" w:rsidRPr="003012A1" w:rsidRDefault="00B552D0" w:rsidP="00036C60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012A1">
              <w:rPr>
                <w:rFonts w:ascii="Times New Roman" w:hAnsi="Times New Roman" w:cs="Times New Roman"/>
                <w:sz w:val="22"/>
                <w:szCs w:val="22"/>
              </w:rPr>
              <w:t>Licencijos atnaujinimo laikotarpis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70EFCA" w14:textId="0B105D6B" w:rsidR="00B552D0" w:rsidRPr="003012A1" w:rsidRDefault="00B552D0" w:rsidP="00036C60">
            <w:pPr>
              <w:widowControl w:val="0"/>
              <w:tabs>
                <w:tab w:val="left" w:pos="395"/>
              </w:tabs>
              <w:ind w:left="124" w:right="112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57543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Programinės įrangos licencijos atnaujinimas ir palaikymas turi galioti 12 mėnesių,</w:t>
            </w:r>
            <w:r w:rsidRPr="003012A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terminą skaičiuojant nuo 2026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m. liepos 2 d.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B4CF" w14:textId="77777777" w:rsidR="00B552D0" w:rsidRPr="00575432" w:rsidRDefault="00B552D0" w:rsidP="00036C60">
            <w:pPr>
              <w:widowControl w:val="0"/>
              <w:tabs>
                <w:tab w:val="left" w:pos="395"/>
              </w:tabs>
              <w:ind w:left="124" w:right="112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B552D0" w:rsidRPr="00016162" w14:paraId="4208BDDE" w14:textId="75125013" w:rsidTr="00B552D0">
        <w:trPr>
          <w:trHeight w:val="4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1A618CC" w14:textId="77777777" w:rsidR="00B552D0" w:rsidRPr="003012A1" w:rsidRDefault="00B552D0" w:rsidP="003012A1">
            <w:pPr>
              <w:pStyle w:val="ListParagraph"/>
              <w:widowControl w:val="0"/>
              <w:numPr>
                <w:ilvl w:val="1"/>
                <w:numId w:val="3"/>
              </w:numPr>
              <w:suppressAutoHyphens/>
              <w:ind w:left="489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123F39" w14:textId="77777777" w:rsidR="00B552D0" w:rsidRPr="003012A1" w:rsidRDefault="00B552D0" w:rsidP="00036C60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012A1">
              <w:rPr>
                <w:rFonts w:ascii="Times New Roman" w:hAnsi="Times New Roman" w:cs="Times New Roman"/>
                <w:sz w:val="22"/>
                <w:szCs w:val="22"/>
              </w:rPr>
              <w:t>Garantija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1043E0" w14:textId="2704FC13" w:rsidR="00B552D0" w:rsidRPr="003012A1" w:rsidRDefault="00B552D0" w:rsidP="00036C60">
            <w:pPr>
              <w:widowControl w:val="0"/>
              <w:tabs>
                <w:tab w:val="left" w:pos="395"/>
              </w:tabs>
              <w:ind w:left="124" w:right="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Atnaujinimo</w:t>
            </w:r>
            <w:r w:rsidRPr="003012A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ir palaikymo laikotarpiu be papildomo mokesčio turi būti privalomai pristatomi visų naujų nuskaitomų mobiliųjų įrenginių  duomenų perdavimo kabeliai ir programinės įrangos atnaujinimai naujiems įrenginiams nuskaityti (angl. </w:t>
            </w:r>
            <w:proofErr w:type="spellStart"/>
            <w:r w:rsidRPr="003012A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upgrade</w:t>
            </w:r>
            <w:proofErr w:type="spellEnd"/>
            <w:r w:rsidRPr="003012A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012A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kit</w:t>
            </w:r>
            <w:proofErr w:type="spellEnd"/>
            <w:r w:rsidRPr="003012A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). Programinės įrangos atnaujinimas turi būti atliekamas internetu. Taip pat turi būti galimybė </w:t>
            </w:r>
            <w:proofErr w:type="spellStart"/>
            <w:r w:rsidRPr="003012A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atnaujinimus</w:t>
            </w:r>
            <w:proofErr w:type="spellEnd"/>
            <w:r w:rsidRPr="003012A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atsisiųsti iš gamintojo svetainės visą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atnaujinimo</w:t>
            </w:r>
            <w:r w:rsidRPr="003012A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ir palaikymo laikotarpį.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D1CD" w14:textId="77777777" w:rsidR="00B552D0" w:rsidRDefault="00B552D0" w:rsidP="00036C60">
            <w:pPr>
              <w:widowControl w:val="0"/>
              <w:tabs>
                <w:tab w:val="left" w:pos="395"/>
              </w:tabs>
              <w:ind w:left="124" w:right="112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B552D0" w:rsidRPr="00016162" w14:paraId="7F4EFD58" w14:textId="66FB8AB3" w:rsidTr="00B552D0">
        <w:trPr>
          <w:trHeight w:val="123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468D127" w14:textId="77777777" w:rsidR="00B552D0" w:rsidRPr="003012A1" w:rsidRDefault="00B552D0" w:rsidP="003012A1">
            <w:pPr>
              <w:pStyle w:val="ListParagraph"/>
              <w:widowControl w:val="0"/>
              <w:numPr>
                <w:ilvl w:val="1"/>
                <w:numId w:val="3"/>
              </w:numPr>
              <w:suppressAutoHyphens/>
              <w:ind w:left="489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2CA767" w14:textId="77777777" w:rsidR="00B552D0" w:rsidRPr="003012A1" w:rsidRDefault="00B552D0" w:rsidP="00036C60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012A1">
              <w:rPr>
                <w:rFonts w:ascii="Times New Roman" w:hAnsi="Times New Roman" w:cs="Times New Roman"/>
                <w:sz w:val="22"/>
                <w:szCs w:val="22"/>
              </w:rPr>
              <w:t>Aplinkosauginiai reikalavimai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1ED2EA" w14:textId="77777777" w:rsidR="00B552D0" w:rsidRPr="003012A1" w:rsidRDefault="00B552D0" w:rsidP="00036C60">
            <w:pPr>
              <w:widowControl w:val="0"/>
              <w:tabs>
                <w:tab w:val="left" w:pos="395"/>
              </w:tabs>
              <w:ind w:left="124" w:right="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12A1">
              <w:rPr>
                <w:rFonts w:ascii="Times New Roman" w:hAnsi="Times New Roman" w:cs="Times New Roman"/>
                <w:sz w:val="22"/>
                <w:szCs w:val="22"/>
              </w:rPr>
              <w:t>Aplinkosauginiai reikalavimai nustatyti, vadovaujantis Aplinkos apsaugos kriterijų taikymo, vykdant žaliuosius pirkimus, tvarkos aprašo, patvirtinto Lietuvos Respublikos aplinkos ministro 2011 m. birželio 28 d. įsakymu Nr. D1-508 (Lietuvos Respublikos aplinkos ministro 2024 m. sausio 16 d. įsakymo Nr. D1-17 redakcija) (toliau Tvarkos aprašas).</w:t>
            </w:r>
          </w:p>
          <w:p w14:paraId="198E3333" w14:textId="77777777" w:rsidR="00B552D0" w:rsidRPr="003012A1" w:rsidRDefault="00B552D0" w:rsidP="00036C60">
            <w:pPr>
              <w:widowControl w:val="0"/>
              <w:tabs>
                <w:tab w:val="left" w:pos="395"/>
              </w:tabs>
              <w:ind w:left="124" w:right="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12A1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Aplinkos apsaugos kriterijai nustatyti pagal Tvarkos aprašo 4.4.3 papunktį (perkama tik nematerialaus pobūdžio (intelektinė) ar kitokia paslauga, nesusijusi su materialaus objekto sukūrimu).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DE13" w14:textId="77777777" w:rsidR="00B552D0" w:rsidRPr="003012A1" w:rsidRDefault="00B552D0" w:rsidP="00036C60">
            <w:pPr>
              <w:widowControl w:val="0"/>
              <w:tabs>
                <w:tab w:val="left" w:pos="395"/>
              </w:tabs>
              <w:ind w:left="124" w:right="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E3662C1" w14:textId="191C1C1D" w:rsidR="003012A1" w:rsidRDefault="003012A1"/>
    <w:p w14:paraId="5AF8B1C4" w14:textId="15031DA3" w:rsidR="00744BED" w:rsidRPr="00E30189" w:rsidRDefault="00744BED" w:rsidP="003012A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>*</w:t>
      </w:r>
      <w:r w:rsidRPr="00744BED">
        <w:rPr>
          <w:rFonts w:ascii="Times New Roman" w:eastAsia="Times New Roman" w:hAnsi="Times New Roman" w:cs="Times New Roman"/>
          <w:i/>
          <w:iCs/>
        </w:rPr>
        <w:t xml:space="preserve"> </w:t>
      </w:r>
      <w:r w:rsidRPr="00E30189">
        <w:rPr>
          <w:rFonts w:ascii="Times New Roman" w:eastAsia="Times New Roman" w:hAnsi="Times New Roman" w:cs="Times New Roman"/>
          <w:i/>
          <w:iCs/>
        </w:rPr>
        <w:t>Siūlomos Įrangos gamintojas negali būti iš šalių sąrašo, patvirtinto LR Vyriausybės 2022-03-30 Nutarimu Nr. 280</w:t>
      </w:r>
      <w:r w:rsidR="00D44932">
        <w:rPr>
          <w:rFonts w:ascii="Times New Roman" w:eastAsia="Times New Roman" w:hAnsi="Times New Roman" w:cs="Times New Roman"/>
          <w:i/>
          <w:iCs/>
        </w:rPr>
        <w:t>.</w:t>
      </w:r>
    </w:p>
    <w:p w14:paraId="54F3A921" w14:textId="41C0535D" w:rsidR="00744BED" w:rsidRDefault="00744BED"/>
    <w:sectPr w:rsidR="00744BED" w:rsidSect="00B552D0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67D2"/>
    <w:multiLevelType w:val="hybridMultilevel"/>
    <w:tmpl w:val="3D42774E"/>
    <w:lvl w:ilvl="0" w:tplc="0AF8410E">
      <w:numFmt w:val="bullet"/>
      <w:lvlText w:val="-"/>
      <w:lvlJc w:val="left"/>
      <w:pPr>
        <w:ind w:left="484" w:hanging="360"/>
      </w:pPr>
      <w:rPr>
        <w:rFonts w:ascii="Times New Roman" w:eastAsia="NSimSu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</w:abstractNum>
  <w:abstractNum w:abstractNumId="1" w15:restartNumberingAfterBreak="0">
    <w:nsid w:val="104C670D"/>
    <w:multiLevelType w:val="hybridMultilevel"/>
    <w:tmpl w:val="7A98B24A"/>
    <w:lvl w:ilvl="0" w:tplc="080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2" w15:restartNumberingAfterBreak="0">
    <w:nsid w:val="2292632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8053CB"/>
    <w:multiLevelType w:val="hybridMultilevel"/>
    <w:tmpl w:val="B276F726"/>
    <w:lvl w:ilvl="0" w:tplc="FFFFFFFF">
      <w:numFmt w:val="bullet"/>
      <w:lvlText w:val="-"/>
      <w:lvlJc w:val="left"/>
      <w:pPr>
        <w:ind w:left="484" w:hanging="360"/>
      </w:pPr>
      <w:rPr>
        <w:rFonts w:ascii="Times New Roman" w:eastAsia="NSimSun" w:hAnsi="Times New Roman" w:cs="Times New Roman" w:hint="default"/>
        <w:sz w:val="24"/>
      </w:rPr>
    </w:lvl>
    <w:lvl w:ilvl="1" w:tplc="080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</w:abstractNum>
  <w:abstractNum w:abstractNumId="4" w15:restartNumberingAfterBreak="0">
    <w:nsid w:val="35D573F7"/>
    <w:multiLevelType w:val="multilevel"/>
    <w:tmpl w:val="19F0578C"/>
    <w:lvl w:ilvl="0">
      <w:start w:val="1"/>
      <w:numFmt w:val="decimal"/>
      <w:lvlText w:val="%1."/>
      <w:lvlJc w:val="left"/>
      <w:pPr>
        <w:tabs>
          <w:tab w:val="num" w:pos="0"/>
        </w:tabs>
        <w:ind w:left="4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10" w:hanging="180"/>
      </w:pPr>
    </w:lvl>
  </w:abstractNum>
  <w:abstractNum w:abstractNumId="5" w15:restartNumberingAfterBreak="0">
    <w:nsid w:val="3C4D1AA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FDA52EE"/>
    <w:multiLevelType w:val="multilevel"/>
    <w:tmpl w:val="19F0578C"/>
    <w:lvl w:ilvl="0">
      <w:start w:val="1"/>
      <w:numFmt w:val="decimal"/>
      <w:lvlText w:val="%1."/>
      <w:lvlJc w:val="left"/>
      <w:pPr>
        <w:tabs>
          <w:tab w:val="num" w:pos="0"/>
        </w:tabs>
        <w:ind w:left="4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10" w:hanging="180"/>
      </w:pPr>
    </w:lvl>
  </w:abstractNum>
  <w:abstractNum w:abstractNumId="7" w15:restartNumberingAfterBreak="0">
    <w:nsid w:val="5AA360E2"/>
    <w:multiLevelType w:val="hybridMultilevel"/>
    <w:tmpl w:val="1B306B60"/>
    <w:lvl w:ilvl="0" w:tplc="080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84"/>
    <w:rsid w:val="00013596"/>
    <w:rsid w:val="00113BC8"/>
    <w:rsid w:val="0018448A"/>
    <w:rsid w:val="00190726"/>
    <w:rsid w:val="00196D20"/>
    <w:rsid w:val="001A5898"/>
    <w:rsid w:val="001B4388"/>
    <w:rsid w:val="001E1447"/>
    <w:rsid w:val="001F3A3E"/>
    <w:rsid w:val="002035C7"/>
    <w:rsid w:val="0024120A"/>
    <w:rsid w:val="002E3663"/>
    <w:rsid w:val="003012A1"/>
    <w:rsid w:val="003604AA"/>
    <w:rsid w:val="003C79D5"/>
    <w:rsid w:val="00432EC1"/>
    <w:rsid w:val="004724FC"/>
    <w:rsid w:val="004B3346"/>
    <w:rsid w:val="004D16A9"/>
    <w:rsid w:val="004E03DC"/>
    <w:rsid w:val="00575432"/>
    <w:rsid w:val="005A1DC1"/>
    <w:rsid w:val="005A687D"/>
    <w:rsid w:val="005D74B5"/>
    <w:rsid w:val="006048D6"/>
    <w:rsid w:val="0060498F"/>
    <w:rsid w:val="006C0BA5"/>
    <w:rsid w:val="006C0C84"/>
    <w:rsid w:val="006D4CB6"/>
    <w:rsid w:val="006E4BE5"/>
    <w:rsid w:val="00722D0C"/>
    <w:rsid w:val="00727D9A"/>
    <w:rsid w:val="00744BED"/>
    <w:rsid w:val="00773725"/>
    <w:rsid w:val="00793B75"/>
    <w:rsid w:val="007B6D3B"/>
    <w:rsid w:val="0085007F"/>
    <w:rsid w:val="008645B9"/>
    <w:rsid w:val="00881058"/>
    <w:rsid w:val="008C4E82"/>
    <w:rsid w:val="008E79EE"/>
    <w:rsid w:val="00922967"/>
    <w:rsid w:val="00972328"/>
    <w:rsid w:val="00995048"/>
    <w:rsid w:val="009D47DE"/>
    <w:rsid w:val="00A20873"/>
    <w:rsid w:val="00A2360E"/>
    <w:rsid w:val="00B26EA1"/>
    <w:rsid w:val="00B50E3B"/>
    <w:rsid w:val="00B552D0"/>
    <w:rsid w:val="00B6355F"/>
    <w:rsid w:val="00B861CF"/>
    <w:rsid w:val="00BB72EB"/>
    <w:rsid w:val="00C530CC"/>
    <w:rsid w:val="00C55379"/>
    <w:rsid w:val="00C6747B"/>
    <w:rsid w:val="00C727D7"/>
    <w:rsid w:val="00C84511"/>
    <w:rsid w:val="00CE2E1B"/>
    <w:rsid w:val="00CF3A9E"/>
    <w:rsid w:val="00D25A9B"/>
    <w:rsid w:val="00D40843"/>
    <w:rsid w:val="00D44932"/>
    <w:rsid w:val="00D66E1F"/>
    <w:rsid w:val="00DC3C0D"/>
    <w:rsid w:val="00DE6164"/>
    <w:rsid w:val="00E14D10"/>
    <w:rsid w:val="00E81839"/>
    <w:rsid w:val="00ED0D3A"/>
    <w:rsid w:val="00F0496F"/>
    <w:rsid w:val="00F063AC"/>
    <w:rsid w:val="00F11243"/>
    <w:rsid w:val="00F117E8"/>
    <w:rsid w:val="00F179DB"/>
    <w:rsid w:val="00FD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92C8"/>
  <w15:chartTrackingRefBased/>
  <w15:docId w15:val="{52537C1C-B8A7-4839-8D87-7EB69523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C84"/>
    <w:pPr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0C84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C84"/>
    <w:rPr>
      <w:rFonts w:asciiTheme="majorHAnsi" w:eastAsiaTheme="majorEastAsia" w:hAnsiTheme="majorHAnsi" w:cs="Mangal"/>
      <w:color w:val="2F5496" w:themeColor="accent1" w:themeShade="BF"/>
      <w:kern w:val="2"/>
      <w:sz w:val="32"/>
      <w:szCs w:val="29"/>
      <w:lang w:eastAsia="zh-CN" w:bidi="hi-IN"/>
    </w:rPr>
  </w:style>
  <w:style w:type="paragraph" w:customStyle="1" w:styleId="Rodykl">
    <w:name w:val="Rodyklė"/>
    <w:basedOn w:val="Normal"/>
    <w:qFormat/>
    <w:rsid w:val="006C0C84"/>
    <w:pPr>
      <w:suppressLineNumbers/>
    </w:pPr>
  </w:style>
  <w:style w:type="character" w:styleId="IntenseReference">
    <w:name w:val="Intense Reference"/>
    <w:basedOn w:val="DefaultParagraphFont"/>
    <w:uiPriority w:val="32"/>
    <w:qFormat/>
    <w:rsid w:val="006C0C84"/>
    <w:rPr>
      <w:b/>
      <w:bCs/>
      <w:smallCaps/>
      <w:color w:val="4472C4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6C0C84"/>
    <w:rPr>
      <w:smallCaps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726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726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paragraph" w:styleId="ListParagraph">
    <w:name w:val="List Paragraph"/>
    <w:basedOn w:val="Normal"/>
    <w:uiPriority w:val="34"/>
    <w:qFormat/>
    <w:rsid w:val="00727D9A"/>
    <w:pPr>
      <w:ind w:left="720"/>
      <w:contextualSpacing/>
    </w:pPr>
    <w:rPr>
      <w:rFonts w:cs="Mangal"/>
      <w:szCs w:val="21"/>
    </w:rPr>
  </w:style>
  <w:style w:type="paragraph" w:styleId="Revision">
    <w:name w:val="Revision"/>
    <w:hidden/>
    <w:uiPriority w:val="99"/>
    <w:semiHidden/>
    <w:rsid w:val="006E4BE5"/>
    <w:pPr>
      <w:spacing w:after="0" w:line="240" w:lineRule="auto"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D44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932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932"/>
    <w:rPr>
      <w:rFonts w:ascii="Liberation Serif" w:eastAsia="NSimSun" w:hAnsi="Liberation Serif" w:cs="Mangal"/>
      <w:kern w:val="2"/>
      <w:sz w:val="20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932"/>
    <w:rPr>
      <w:rFonts w:ascii="Liberation Serif" w:eastAsia="NSimSun" w:hAnsi="Liberation Serif" w:cs="Mangal"/>
      <w:b/>
      <w:bCs/>
      <w:kern w:val="2"/>
      <w:sz w:val="20"/>
      <w:szCs w:val="18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FD593A"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rsid w:val="00FD593A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lang w:eastAsia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iesiejipirkimai.lt/epps/dps/prepareViewCfTDPSWS.do?resourceId=548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vpp.eviesiejipirkimai.lt/Notice/Details/2023-6277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C1057-F818-4BA3-B4A7-8EB7DF6A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6030</Words>
  <Characters>3438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Vilkevičius</dc:creator>
  <cp:keywords/>
  <dc:description/>
  <cp:lastModifiedBy>Vaida Sičiūnaitė-Kalytienė</cp:lastModifiedBy>
  <cp:revision>4</cp:revision>
  <cp:lastPrinted>2024-11-20T07:23:00Z</cp:lastPrinted>
  <dcterms:created xsi:type="dcterms:W3CDTF">2026-05-06T13:06:00Z</dcterms:created>
  <dcterms:modified xsi:type="dcterms:W3CDTF">2026-05-06T13:41:00Z</dcterms:modified>
</cp:coreProperties>
</file>