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47F04" w14:textId="77777777" w:rsidR="00B5789C" w:rsidRPr="006C7AB7" w:rsidRDefault="004860F7" w:rsidP="005119D2">
      <w:pPr>
        <w:pStyle w:val="Pavadinimas"/>
        <w:spacing w:after="0"/>
        <w:jc w:val="center"/>
        <w:rPr>
          <w:rFonts w:cstheme="majorHAnsi"/>
          <w:b/>
          <w:bCs/>
          <w:sz w:val="28"/>
          <w:szCs w:val="28"/>
          <w:lang w:val="lt-LT"/>
        </w:rPr>
      </w:pPr>
      <w:r w:rsidRPr="006C7AB7">
        <w:rPr>
          <w:rFonts w:cstheme="majorHAnsi"/>
          <w:b/>
          <w:bCs/>
          <w:sz w:val="28"/>
          <w:szCs w:val="28"/>
          <w:lang w:val="lt-LT"/>
        </w:rPr>
        <w:t>TECHNINĖ SPECIFIKACIJA</w:t>
      </w:r>
    </w:p>
    <w:p w14:paraId="372F3725" w14:textId="210A1B45" w:rsidR="00B5789C" w:rsidRPr="005119D2" w:rsidRDefault="562C7095" w:rsidP="005119D2">
      <w:pPr>
        <w:pStyle w:val="Antrat1"/>
        <w:numPr>
          <w:ilvl w:val="0"/>
          <w:numId w:val="0"/>
        </w:numPr>
        <w:spacing w:before="0" w:line="240" w:lineRule="auto"/>
        <w:jc w:val="center"/>
        <w:rPr>
          <w:rFonts w:eastAsia="Segoe UI" w:cstheme="majorHAnsi"/>
          <w:color w:val="4F81BD" w:themeColor="accent1"/>
          <w:sz w:val="22"/>
          <w:szCs w:val="22"/>
          <w:lang w:val="lt-LT"/>
        </w:rPr>
      </w:pPr>
      <w:r w:rsidRPr="005119D2">
        <w:rPr>
          <w:rFonts w:cstheme="majorHAnsi"/>
          <w:color w:val="4F81BD" w:themeColor="accent1"/>
          <w:sz w:val="22"/>
          <w:szCs w:val="22"/>
          <w:lang w:val="lt-LT"/>
        </w:rPr>
        <w:t>IŠORINIO KLIENTŲ APTARNAVIMO CENTRO PASLAUGŲ TEIKIMUI</w:t>
      </w:r>
      <w:r w:rsidR="004860F7" w:rsidRPr="005119D2">
        <w:rPr>
          <w:rFonts w:cstheme="majorHAnsi"/>
          <w:color w:val="4F81BD" w:themeColor="accent1"/>
          <w:sz w:val="22"/>
          <w:szCs w:val="22"/>
          <w:lang w:val="lt-LT"/>
        </w:rPr>
        <w:br/>
      </w:r>
      <w:r w:rsidR="004860F7" w:rsidRPr="005119D2">
        <w:rPr>
          <w:rFonts w:cstheme="majorHAnsi"/>
          <w:color w:val="4F81BD" w:themeColor="accent1"/>
          <w:sz w:val="22"/>
          <w:szCs w:val="22"/>
          <w:lang w:val="lt-LT"/>
        </w:rPr>
        <w:br/>
      </w:r>
      <w:r w:rsidR="7879C1A8" w:rsidRPr="005119D2">
        <w:rPr>
          <w:rFonts w:eastAsia="Segoe UI" w:cstheme="majorHAnsi"/>
          <w:color w:val="4F81BD" w:themeColor="accent1"/>
          <w:sz w:val="22"/>
          <w:szCs w:val="22"/>
          <w:lang w:val="lt-LT"/>
        </w:rPr>
        <w:t>1. PIRKIMO OBJEKTAS</w:t>
      </w:r>
    </w:p>
    <w:p w14:paraId="45811485" w14:textId="7BA300DA" w:rsidR="00B5789C" w:rsidRPr="005119D2" w:rsidRDefault="7879C1A8"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1.1. Pirkimo objektas</w:t>
      </w:r>
    </w:p>
    <w:p w14:paraId="182FE77E" w14:textId="6158CFE7" w:rsidR="00B5789C" w:rsidRDefault="7879C1A8"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Paslaugų gavėjas siekia įsigyti išorinio klientų aptarnavimo centro paslaugas, skirtas užtikrinti savalaikį, kokybišką ir efektyvų klientų aptarnavimą telefonu, atsakant į klientų užklausas, registruojant jų kreipinius bei vykdant kitus su klientų aptarnavimu susijusius veiksmus.</w:t>
      </w:r>
    </w:p>
    <w:p w14:paraId="0D7CB0D8" w14:textId="77777777" w:rsidR="005119D2" w:rsidRPr="005119D2" w:rsidRDefault="005119D2" w:rsidP="005119D2">
      <w:pPr>
        <w:spacing w:after="0" w:line="240" w:lineRule="auto"/>
        <w:jc w:val="both"/>
        <w:rPr>
          <w:rFonts w:asciiTheme="majorHAnsi" w:hAnsiTheme="majorHAnsi" w:cstheme="majorHAnsi"/>
          <w:lang w:val="lt-LT"/>
        </w:rPr>
      </w:pPr>
    </w:p>
    <w:p w14:paraId="4B7DF4BC" w14:textId="26BF2BDE" w:rsidR="00B5789C" w:rsidRPr="005119D2" w:rsidRDefault="7879C1A8"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1.2. Perkamos paslaugos</w:t>
      </w:r>
    </w:p>
    <w:p w14:paraId="2488FEE2" w14:textId="6ED57570" w:rsidR="00B5789C" w:rsidRPr="005119D2" w:rsidRDefault="7879C1A8"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w:t>
      </w:r>
    </w:p>
    <w:p w14:paraId="5E9BDE9D" w14:textId="683F34EF" w:rsidR="00B5789C" w:rsidRDefault="0070439B" w:rsidP="005119D2">
      <w:pPr>
        <w:spacing w:after="0" w:line="240" w:lineRule="auto"/>
        <w:rPr>
          <w:rFonts w:asciiTheme="majorHAnsi" w:eastAsia="Segoe UI" w:hAnsiTheme="majorHAnsi" w:cstheme="majorHAnsi"/>
          <w:lang w:val="lt-LT"/>
        </w:rPr>
      </w:pPr>
      <w:r w:rsidRPr="005119D2">
        <w:rPr>
          <w:rFonts w:asciiTheme="majorHAnsi" w:eastAsia="Segoe UI" w:hAnsiTheme="majorHAnsi" w:cstheme="majorHAnsi"/>
          <w:lang w:val="lt-LT"/>
        </w:rPr>
        <w:t xml:space="preserve"> </w:t>
      </w:r>
      <w:r w:rsidR="7879C1A8" w:rsidRPr="005119D2">
        <w:rPr>
          <w:rFonts w:asciiTheme="majorHAnsi" w:eastAsia="Segoe UI" w:hAnsiTheme="majorHAnsi" w:cstheme="majorHAnsi"/>
          <w:lang w:val="lt-LT"/>
        </w:rPr>
        <w:t>1.2.1. Klientų konsultavimą Paslaugų gavėjo nurodytais telefono numeriais;</w:t>
      </w:r>
      <w:r w:rsidR="004860F7" w:rsidRPr="005119D2">
        <w:rPr>
          <w:rFonts w:asciiTheme="majorHAnsi" w:hAnsiTheme="majorHAnsi" w:cstheme="majorHAnsi"/>
          <w:lang w:val="lt-LT"/>
        </w:rPr>
        <w:br/>
      </w:r>
      <w:r w:rsidR="7879C1A8" w:rsidRPr="005119D2">
        <w:rPr>
          <w:rFonts w:asciiTheme="majorHAnsi" w:eastAsia="Segoe UI" w:hAnsiTheme="majorHAnsi" w:cstheme="majorHAnsi"/>
          <w:lang w:val="lt-LT"/>
        </w:rPr>
        <w:t xml:space="preserve"> 1.2.2. Įeinančių klientų skambučių priėmimą, informacijos suteikimą ir aptarnavimą;</w:t>
      </w:r>
      <w:r w:rsidR="004860F7" w:rsidRPr="005119D2">
        <w:rPr>
          <w:rFonts w:asciiTheme="majorHAnsi" w:hAnsiTheme="majorHAnsi" w:cstheme="majorHAnsi"/>
          <w:lang w:val="lt-LT"/>
        </w:rPr>
        <w:br/>
      </w:r>
      <w:r w:rsidR="7879C1A8" w:rsidRPr="005119D2">
        <w:rPr>
          <w:rFonts w:asciiTheme="majorHAnsi" w:eastAsia="Segoe UI" w:hAnsiTheme="majorHAnsi" w:cstheme="majorHAnsi"/>
          <w:lang w:val="lt-LT"/>
        </w:rPr>
        <w:t xml:space="preserve"> 1.2.3. Išeinančių skambučių vykdymą klientams;</w:t>
      </w:r>
      <w:r w:rsidR="004860F7" w:rsidRPr="005119D2">
        <w:rPr>
          <w:rFonts w:asciiTheme="majorHAnsi" w:hAnsiTheme="majorHAnsi" w:cstheme="majorHAnsi"/>
          <w:lang w:val="lt-LT"/>
        </w:rPr>
        <w:br/>
      </w:r>
      <w:r w:rsidR="7879C1A8" w:rsidRPr="005119D2">
        <w:rPr>
          <w:rFonts w:asciiTheme="majorHAnsi" w:eastAsia="Segoe UI" w:hAnsiTheme="majorHAnsi" w:cstheme="majorHAnsi"/>
          <w:lang w:val="lt-LT"/>
        </w:rPr>
        <w:t xml:space="preserve"> 1.2.4. Perskambinimų klientams vykdymą;</w:t>
      </w:r>
      <w:r w:rsidR="004860F7" w:rsidRPr="005119D2">
        <w:rPr>
          <w:rFonts w:asciiTheme="majorHAnsi" w:hAnsiTheme="majorHAnsi" w:cstheme="majorHAnsi"/>
          <w:lang w:val="lt-LT"/>
        </w:rPr>
        <w:br/>
      </w:r>
      <w:r w:rsidR="7879C1A8" w:rsidRPr="005119D2">
        <w:rPr>
          <w:rFonts w:asciiTheme="majorHAnsi" w:eastAsia="Segoe UI" w:hAnsiTheme="majorHAnsi" w:cstheme="majorHAnsi"/>
          <w:lang w:val="lt-LT"/>
        </w:rPr>
        <w:t xml:space="preserve"> 1.2.5. Klientų pateiktos informacijos registravimą ir suvedimą į Paslaugų gavėjo sistemas;</w:t>
      </w:r>
      <w:r w:rsidR="004860F7" w:rsidRPr="005119D2">
        <w:rPr>
          <w:rFonts w:asciiTheme="majorHAnsi" w:hAnsiTheme="majorHAnsi" w:cstheme="majorHAnsi"/>
          <w:lang w:val="lt-LT"/>
        </w:rPr>
        <w:br/>
      </w:r>
      <w:r w:rsidR="7879C1A8" w:rsidRPr="005119D2">
        <w:rPr>
          <w:rFonts w:asciiTheme="majorHAnsi" w:eastAsia="Segoe UI" w:hAnsiTheme="majorHAnsi" w:cstheme="majorHAnsi"/>
          <w:lang w:val="lt-LT"/>
        </w:rPr>
        <w:t xml:space="preserve"> 1.2.6. Klientų konsultavimą su Paslaugų gavėjo veikla susijusiais</w:t>
      </w:r>
      <w:r w:rsidR="002052C9" w:rsidRPr="005119D2">
        <w:rPr>
          <w:rFonts w:asciiTheme="majorHAnsi" w:eastAsia="Segoe UI" w:hAnsiTheme="majorHAnsi" w:cstheme="majorHAnsi"/>
          <w:lang w:val="lt-LT"/>
        </w:rPr>
        <w:t xml:space="preserve"> </w:t>
      </w:r>
      <w:r w:rsidR="7879C1A8" w:rsidRPr="005119D2">
        <w:rPr>
          <w:rFonts w:asciiTheme="majorHAnsi" w:eastAsia="Segoe UI" w:hAnsiTheme="majorHAnsi" w:cstheme="majorHAnsi"/>
          <w:lang w:val="lt-LT"/>
        </w:rPr>
        <w:t>klausimais;</w:t>
      </w:r>
      <w:r w:rsidR="004860F7" w:rsidRPr="005119D2">
        <w:rPr>
          <w:rFonts w:asciiTheme="majorHAnsi" w:hAnsiTheme="majorHAnsi" w:cstheme="majorHAnsi"/>
          <w:lang w:val="lt-LT"/>
        </w:rPr>
        <w:br/>
      </w:r>
      <w:r w:rsidR="7879C1A8" w:rsidRPr="005119D2">
        <w:rPr>
          <w:rFonts w:asciiTheme="majorHAnsi" w:eastAsia="Segoe UI" w:hAnsiTheme="majorHAnsi" w:cstheme="majorHAnsi"/>
          <w:lang w:val="lt-LT"/>
        </w:rPr>
        <w:t xml:space="preserve"> 1.2.7. Ataskaitų apie paslaugų teikimą rengimą ir teikimą.</w:t>
      </w:r>
    </w:p>
    <w:p w14:paraId="00A8EED5" w14:textId="77777777" w:rsidR="00F110BD" w:rsidRPr="005119D2" w:rsidRDefault="00F110BD" w:rsidP="005119D2">
      <w:pPr>
        <w:spacing w:after="0" w:line="240" w:lineRule="auto"/>
        <w:rPr>
          <w:rFonts w:asciiTheme="majorHAnsi" w:hAnsiTheme="majorHAnsi" w:cstheme="majorHAnsi"/>
          <w:lang w:val="lt-LT"/>
        </w:rPr>
      </w:pPr>
    </w:p>
    <w:p w14:paraId="37620E8E" w14:textId="3DEABCB8" w:rsidR="00B5789C" w:rsidRPr="005119D2" w:rsidRDefault="7879C1A8"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1.3. Paslaugų teikimo laikotarpis</w:t>
      </w:r>
    </w:p>
    <w:p w14:paraId="1F534FD1" w14:textId="4FF8AD36" w:rsidR="00B5789C" w:rsidRDefault="7879C1A8"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 xml:space="preserve">Paslaugos perkamos </w:t>
      </w:r>
      <w:r w:rsidR="003E1C85" w:rsidRPr="005119D2">
        <w:rPr>
          <w:rFonts w:asciiTheme="majorHAnsi" w:eastAsia="Segoe UI" w:hAnsiTheme="majorHAnsi" w:cstheme="majorHAnsi"/>
          <w:lang w:val="lt-LT"/>
        </w:rPr>
        <w:t>12</w:t>
      </w:r>
      <w:r w:rsidRPr="005119D2">
        <w:rPr>
          <w:rFonts w:asciiTheme="majorHAnsi" w:eastAsia="Segoe UI" w:hAnsiTheme="majorHAnsi" w:cstheme="majorHAnsi"/>
          <w:lang w:val="lt-LT"/>
        </w:rPr>
        <w:t xml:space="preserve"> mėnesių laikotarpiui nuo sutarties įsigaliojimo dienos, su galimybe šalių susitarimu pratęsti paslaugų teikimą dar 12 mėnesių laikotarpiui.</w:t>
      </w:r>
    </w:p>
    <w:p w14:paraId="68CB203F" w14:textId="77777777" w:rsidR="00F110BD" w:rsidRPr="005119D2" w:rsidRDefault="00F110BD" w:rsidP="005119D2">
      <w:pPr>
        <w:spacing w:after="0" w:line="240" w:lineRule="auto"/>
        <w:jc w:val="both"/>
        <w:rPr>
          <w:rFonts w:asciiTheme="majorHAnsi" w:hAnsiTheme="majorHAnsi" w:cstheme="majorHAnsi"/>
          <w:lang w:val="lt-LT"/>
        </w:rPr>
      </w:pPr>
    </w:p>
    <w:p w14:paraId="42166A21" w14:textId="662FA6E5" w:rsidR="00B5789C" w:rsidRPr="005119D2" w:rsidRDefault="6CBD1856" w:rsidP="005119D2">
      <w:pPr>
        <w:pStyle w:val="Antrat1"/>
        <w:numPr>
          <w:ilvl w:val="0"/>
          <w:numId w:val="0"/>
        </w:numPr>
        <w:spacing w:before="0" w:line="240" w:lineRule="auto"/>
        <w:jc w:val="both"/>
        <w:rPr>
          <w:rFonts w:eastAsia="Segoe UI" w:cstheme="majorHAnsi"/>
          <w:color w:val="4F81BD" w:themeColor="accent1"/>
          <w:sz w:val="22"/>
          <w:szCs w:val="22"/>
          <w:lang w:val="lt-LT"/>
        </w:rPr>
      </w:pPr>
      <w:r w:rsidRPr="005119D2">
        <w:rPr>
          <w:rFonts w:eastAsia="Segoe UI" w:cstheme="majorHAnsi"/>
          <w:color w:val="4F81BD" w:themeColor="accent1"/>
          <w:sz w:val="22"/>
          <w:szCs w:val="22"/>
          <w:lang w:val="lt-LT"/>
        </w:rPr>
        <w:t>1.4. Paslaugų kiekiai</w:t>
      </w:r>
    </w:p>
    <w:p w14:paraId="0FCB7B29" w14:textId="75B509AF" w:rsidR="00B5789C" w:rsidRPr="005119D2" w:rsidRDefault="6CBD1856"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kiekiai nustatyti atsižvelgiant į ankstesnių laikotarpių faktinius klientų kreipinių ir skambučių srautus bei įvertinus galimus klientų aktyvumo svyravimus.</w:t>
      </w:r>
    </w:p>
    <w:p w14:paraId="2AFC68B3" w14:textId="5646F9BB" w:rsidR="00B5789C" w:rsidRPr="005119D2" w:rsidRDefault="6CBD1856"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Klientų aktyvumas gali didėti tam tikrais laikotarpiais, įskaitant, bet neapsiribojant:</w:t>
      </w:r>
    </w:p>
    <w:p w14:paraId="51FF87A1" w14:textId="7AEA6CC8" w:rsidR="00B5789C" w:rsidRPr="005119D2" w:rsidRDefault="6CBD1856" w:rsidP="006C7AB7">
      <w:pPr>
        <w:pStyle w:val="Sraopastraipa"/>
        <w:numPr>
          <w:ilvl w:val="0"/>
          <w:numId w:val="8"/>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 xml:space="preserve">mokėjimo pranešimų siuntimo </w:t>
      </w:r>
      <w:r w:rsidR="00FE406A" w:rsidRPr="005119D2">
        <w:rPr>
          <w:rFonts w:asciiTheme="majorHAnsi" w:eastAsia="Segoe UI" w:hAnsiTheme="majorHAnsi" w:cstheme="majorHAnsi"/>
          <w:lang w:val="lt-LT"/>
        </w:rPr>
        <w:t>laikotarpi</w:t>
      </w:r>
      <w:r w:rsidR="00F7231A" w:rsidRPr="005119D2">
        <w:rPr>
          <w:rFonts w:asciiTheme="majorHAnsi" w:eastAsia="Segoe UI" w:hAnsiTheme="majorHAnsi" w:cstheme="majorHAnsi"/>
          <w:lang w:val="lt-LT"/>
        </w:rPr>
        <w:t>ais;</w:t>
      </w:r>
    </w:p>
    <w:p w14:paraId="2A9EABDB" w14:textId="028FCBCF" w:rsidR="00B5789C" w:rsidRPr="005119D2" w:rsidRDefault="6CBD1856" w:rsidP="006C7AB7">
      <w:pPr>
        <w:pStyle w:val="Sraopastraipa"/>
        <w:numPr>
          <w:ilvl w:val="0"/>
          <w:numId w:val="8"/>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 xml:space="preserve">skolų administravimo </w:t>
      </w:r>
      <w:r w:rsidR="00FE406A" w:rsidRPr="005119D2">
        <w:rPr>
          <w:rFonts w:asciiTheme="majorHAnsi" w:eastAsia="Segoe UI" w:hAnsiTheme="majorHAnsi" w:cstheme="majorHAnsi"/>
          <w:lang w:val="lt-LT"/>
        </w:rPr>
        <w:t>laikotarpius</w:t>
      </w:r>
      <w:r w:rsidR="00F7231A" w:rsidRPr="005119D2">
        <w:rPr>
          <w:rFonts w:asciiTheme="majorHAnsi" w:eastAsia="Segoe UI" w:hAnsiTheme="majorHAnsi" w:cstheme="majorHAnsi"/>
          <w:lang w:val="lt-LT"/>
        </w:rPr>
        <w:t>;</w:t>
      </w:r>
    </w:p>
    <w:p w14:paraId="4F2A8CFA" w14:textId="169FAABA" w:rsidR="00B5789C" w:rsidRPr="005119D2" w:rsidRDefault="6CBD1856" w:rsidP="006C7AB7">
      <w:pPr>
        <w:pStyle w:val="Sraopastraipa"/>
        <w:numPr>
          <w:ilvl w:val="0"/>
          <w:numId w:val="8"/>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 xml:space="preserve">permokų grąžinimo </w:t>
      </w:r>
      <w:r w:rsidR="00FE406A" w:rsidRPr="005119D2">
        <w:rPr>
          <w:rFonts w:asciiTheme="majorHAnsi" w:eastAsia="Segoe UI" w:hAnsiTheme="majorHAnsi" w:cstheme="majorHAnsi"/>
          <w:lang w:val="lt-LT"/>
        </w:rPr>
        <w:t>laikotarpius</w:t>
      </w:r>
      <w:r w:rsidR="00F7231A" w:rsidRPr="005119D2">
        <w:rPr>
          <w:rFonts w:asciiTheme="majorHAnsi" w:eastAsia="Segoe UI" w:hAnsiTheme="majorHAnsi" w:cstheme="majorHAnsi"/>
          <w:lang w:val="lt-LT"/>
        </w:rPr>
        <w:t>;</w:t>
      </w:r>
    </w:p>
    <w:p w14:paraId="4CA9E3E1" w14:textId="77C4874E" w:rsidR="00B5789C" w:rsidRPr="005119D2" w:rsidRDefault="6CBD1856" w:rsidP="006C7AB7">
      <w:pPr>
        <w:pStyle w:val="Sraopastraipa"/>
        <w:numPr>
          <w:ilvl w:val="0"/>
          <w:numId w:val="8"/>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 xml:space="preserve">savitarnos funkcionalumo </w:t>
      </w:r>
      <w:r w:rsidR="00FE406A" w:rsidRPr="005119D2">
        <w:rPr>
          <w:rFonts w:asciiTheme="majorHAnsi" w:eastAsia="Segoe UI" w:hAnsiTheme="majorHAnsi" w:cstheme="majorHAnsi"/>
          <w:lang w:val="lt-LT"/>
        </w:rPr>
        <w:t>pokyčius</w:t>
      </w:r>
      <w:r w:rsidR="00F7231A" w:rsidRPr="005119D2">
        <w:rPr>
          <w:rFonts w:asciiTheme="majorHAnsi" w:eastAsia="Segoe UI" w:hAnsiTheme="majorHAnsi" w:cstheme="majorHAnsi"/>
          <w:lang w:val="lt-LT"/>
        </w:rPr>
        <w:t>;</w:t>
      </w:r>
    </w:p>
    <w:p w14:paraId="65E79F36" w14:textId="44800C8C" w:rsidR="00B5789C" w:rsidRPr="005119D2" w:rsidRDefault="6CBD1856" w:rsidP="006C7AB7">
      <w:pPr>
        <w:pStyle w:val="Sraopastraipa"/>
        <w:numPr>
          <w:ilvl w:val="0"/>
          <w:numId w:val="8"/>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kitus sezoninius ar nenumatytus veiksnius.</w:t>
      </w:r>
    </w:p>
    <w:p w14:paraId="524C85A3" w14:textId="0F47F9F4" w:rsidR="00B5789C" w:rsidRPr="005119D2" w:rsidRDefault="6CBD1856"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 xml:space="preserve">Nurodyti paslaugų kiekiai yra </w:t>
      </w:r>
      <w:r w:rsidRPr="005119D2">
        <w:rPr>
          <w:rFonts w:asciiTheme="majorHAnsi" w:eastAsia="Segoe UI" w:hAnsiTheme="majorHAnsi" w:cstheme="majorHAnsi"/>
          <w:b/>
          <w:bCs/>
          <w:lang w:val="lt-LT"/>
        </w:rPr>
        <w:t>preliminarūs (orientaciniai)</w:t>
      </w:r>
      <w:r w:rsidRPr="005119D2">
        <w:rPr>
          <w:rFonts w:asciiTheme="majorHAnsi" w:eastAsia="Segoe UI" w:hAnsiTheme="majorHAnsi" w:cstheme="majorHAnsi"/>
          <w:lang w:val="lt-LT"/>
        </w:rPr>
        <w:t xml:space="preserve"> ir gali kisti priklausomai nuo faktinio klientų srauto. Paslaugų teikėjas privalo užtikrinti galimybę teikti paslaugas nepriklausomai nuo šių kiekių svyravimų, laikydamasis Techninėje specifikacijoje nustatytų paslaugų kokybės rodiklių.</w:t>
      </w:r>
    </w:p>
    <w:p w14:paraId="3250803C" w14:textId="40C070CF" w:rsidR="00F96CAD" w:rsidRPr="005119D2" w:rsidRDefault="6CBD1856" w:rsidP="005119D2">
      <w:pPr>
        <w:pStyle w:val="Betarp"/>
        <w:jc w:val="both"/>
        <w:rPr>
          <w:rFonts w:cstheme="majorHAnsi"/>
          <w:lang w:val="lt-LT"/>
        </w:rPr>
      </w:pPr>
      <w:r w:rsidRPr="005119D2">
        <w:rPr>
          <w:rFonts w:asciiTheme="majorHAnsi" w:eastAsia="Segoe UI" w:hAnsiTheme="majorHAnsi" w:cstheme="majorHAnsi"/>
          <w:lang w:val="lt-LT"/>
        </w:rPr>
        <w:t>Perkamas paslaugų kiekis yra preliminarus ir nėra laikomas įsipareigojimu Užsakovui nupirkti visą nurodytą paslaugų apimtį.</w:t>
      </w:r>
    </w:p>
    <w:p w14:paraId="284AF636" w14:textId="77777777" w:rsidR="005119D2" w:rsidRDefault="005119D2" w:rsidP="005119D2">
      <w:pPr>
        <w:pStyle w:val="Betarp"/>
        <w:jc w:val="both"/>
        <w:rPr>
          <w:rFonts w:asciiTheme="majorHAnsi" w:hAnsiTheme="majorHAnsi" w:cstheme="majorHAnsi"/>
          <w:b/>
          <w:bCs/>
          <w:color w:val="4F81BD" w:themeColor="accent1"/>
          <w:lang w:val="lt-LT"/>
        </w:rPr>
      </w:pPr>
    </w:p>
    <w:p w14:paraId="513BFFDC" w14:textId="205642BC" w:rsidR="00B5789C" w:rsidRPr="005119D2" w:rsidRDefault="4F1171BD" w:rsidP="005119D2">
      <w:pPr>
        <w:pStyle w:val="Betarp"/>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1.4.1. Preliminarūs paslaugų kiekiai</w:t>
      </w:r>
    </w:p>
    <w:p w14:paraId="335E8393" w14:textId="06C19AF7" w:rsidR="00552F97" w:rsidRPr="005119D2" w:rsidRDefault="00744AA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Paslaugų kiekiai nustatyti remiantis istorine Paslaugų gavėjo klientų skambučių</w:t>
      </w:r>
      <w:r w:rsidR="00AD5957" w:rsidRPr="005119D2">
        <w:rPr>
          <w:rFonts w:asciiTheme="majorHAnsi" w:hAnsiTheme="majorHAnsi" w:cstheme="majorHAnsi"/>
          <w:lang w:val="lt-LT"/>
        </w:rPr>
        <w:t xml:space="preserve">        </w:t>
      </w:r>
      <w:r w:rsidRPr="005119D2">
        <w:rPr>
          <w:rFonts w:asciiTheme="majorHAnsi" w:hAnsiTheme="majorHAnsi" w:cstheme="majorHAnsi"/>
          <w:lang w:val="lt-LT"/>
        </w:rPr>
        <w:t xml:space="preserve">statistika bei įvertinus galimus klientų srauto svyravimus. </w:t>
      </w:r>
    </w:p>
    <w:p w14:paraId="057B23D9" w14:textId="77777777" w:rsidR="005E3FAC" w:rsidRPr="005119D2" w:rsidRDefault="00744AA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 xml:space="preserve">Klientų skambučių srautas nėra tolygus ir pasižymi sezoniškumu, kuris priklauso nuo Paslaugų gavėjo vykdomų veiklų. </w:t>
      </w:r>
    </w:p>
    <w:p w14:paraId="2E9BD850" w14:textId="77777777" w:rsidR="005E3FAC" w:rsidRPr="005119D2" w:rsidRDefault="00744AA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Didžiausi klientų srautai paprastai fiksuojami I–II metų ketvirčiais, ypač po mokėjimo pranešimų išsiuntimo ir kitų su klientų informavimu susijusių laikotarpių.</w:t>
      </w:r>
    </w:p>
    <w:p w14:paraId="00C3FE50" w14:textId="1A990BEC" w:rsidR="00FF7AF5" w:rsidRPr="005119D2" w:rsidRDefault="00744AA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 xml:space="preserve"> Nurodyti paslaugų kiekiai yra preliminarūs (orientaciniai) ir gali kisti priklausomai nuo faktinio klientų srauto.</w:t>
      </w:r>
    </w:p>
    <w:tbl>
      <w:tblPr>
        <w:tblW w:w="0" w:type="auto"/>
        <w:tblInd w:w="-360" w:type="dxa"/>
        <w:tblLook w:val="06A0" w:firstRow="1" w:lastRow="0" w:firstColumn="1" w:lastColumn="0" w:noHBand="1" w:noVBand="1"/>
      </w:tblPr>
      <w:tblGrid>
        <w:gridCol w:w="930"/>
        <w:gridCol w:w="4506"/>
        <w:gridCol w:w="1123"/>
        <w:gridCol w:w="2065"/>
      </w:tblGrid>
      <w:tr w:rsidR="562C7095" w:rsidRPr="005119D2" w14:paraId="7BE40547" w14:textId="77777777" w:rsidTr="0043172E">
        <w:trPr>
          <w:trHeight w:val="300"/>
        </w:trPr>
        <w:tc>
          <w:tcPr>
            <w:tcW w:w="930"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030B05E" w14:textId="6B4F13D2"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b/>
                <w:bCs/>
                <w:lang w:val="lt-LT"/>
              </w:rPr>
              <w:t>Eil. Nr.</w:t>
            </w:r>
          </w:p>
        </w:tc>
        <w:tc>
          <w:tcPr>
            <w:tcW w:w="4506"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5159680E" w14:textId="5EB479D5"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b/>
                <w:bCs/>
                <w:lang w:val="lt-LT"/>
              </w:rPr>
              <w:t>Paslaugų pavadinimas</w:t>
            </w:r>
          </w:p>
        </w:tc>
        <w:tc>
          <w:tcPr>
            <w:tcW w:w="1123"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65490C67" w14:textId="2C3E9E6D"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b/>
                <w:bCs/>
                <w:lang w:val="lt-LT"/>
              </w:rPr>
              <w:t>Mato vnt.</w:t>
            </w:r>
          </w:p>
        </w:tc>
        <w:tc>
          <w:tcPr>
            <w:tcW w:w="2065" w:type="dxa"/>
            <w:tcBorders>
              <w:top w:val="single" w:sz="6" w:space="0" w:color="E6E6E6"/>
              <w:left w:val="single" w:sz="6" w:space="0" w:color="E6E6E6"/>
              <w:bottom w:val="single" w:sz="6" w:space="0" w:color="E6E6E6"/>
              <w:right w:val="single" w:sz="6" w:space="0" w:color="E6E6E6"/>
            </w:tcBorders>
            <w:shd w:val="clear" w:color="auto" w:fill="F5F5F5"/>
            <w:vAlign w:val="center"/>
          </w:tcPr>
          <w:p w14:paraId="2B8237B7" w14:textId="404FB765"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b/>
                <w:bCs/>
                <w:lang w:val="lt-LT"/>
              </w:rPr>
              <w:t>Preliminarus kiekis</w:t>
            </w:r>
          </w:p>
        </w:tc>
      </w:tr>
      <w:tr w:rsidR="562C7095" w:rsidRPr="005119D2" w14:paraId="08351499" w14:textId="77777777" w:rsidTr="0043172E">
        <w:trPr>
          <w:trHeight w:val="300"/>
        </w:trPr>
        <w:tc>
          <w:tcPr>
            <w:tcW w:w="930" w:type="dxa"/>
            <w:tcBorders>
              <w:top w:val="single" w:sz="6" w:space="0" w:color="E6E6E6"/>
              <w:left w:val="single" w:sz="6" w:space="0" w:color="E6E6E6"/>
              <w:bottom w:val="single" w:sz="6" w:space="0" w:color="E6E6E6"/>
              <w:right w:val="single" w:sz="6" w:space="0" w:color="E6E6E6"/>
            </w:tcBorders>
            <w:vAlign w:val="center"/>
          </w:tcPr>
          <w:p w14:paraId="056E0B92" w14:textId="6D5EC0C1"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lastRenderedPageBreak/>
              <w:t>1</w:t>
            </w:r>
          </w:p>
        </w:tc>
        <w:tc>
          <w:tcPr>
            <w:tcW w:w="4506" w:type="dxa"/>
            <w:tcBorders>
              <w:top w:val="single" w:sz="6" w:space="0" w:color="E6E6E6"/>
              <w:left w:val="single" w:sz="6" w:space="0" w:color="E6E6E6"/>
              <w:bottom w:val="single" w:sz="6" w:space="0" w:color="E6E6E6"/>
              <w:right w:val="single" w:sz="6" w:space="0" w:color="E6E6E6"/>
            </w:tcBorders>
            <w:vAlign w:val="center"/>
          </w:tcPr>
          <w:p w14:paraId="34B3CA12" w14:textId="4B95C82B"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Klientų aptarnavimo paslaugos vienkartinis įdiegimas</w:t>
            </w:r>
          </w:p>
        </w:tc>
        <w:tc>
          <w:tcPr>
            <w:tcW w:w="1123" w:type="dxa"/>
            <w:tcBorders>
              <w:top w:val="single" w:sz="6" w:space="0" w:color="E6E6E6"/>
              <w:left w:val="single" w:sz="6" w:space="0" w:color="E6E6E6"/>
              <w:bottom w:val="single" w:sz="6" w:space="0" w:color="E6E6E6"/>
              <w:right w:val="single" w:sz="6" w:space="0" w:color="E6E6E6"/>
            </w:tcBorders>
            <w:vAlign w:val="center"/>
          </w:tcPr>
          <w:p w14:paraId="3B578FE8" w14:textId="703834CA"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vnt.</w:t>
            </w:r>
          </w:p>
        </w:tc>
        <w:tc>
          <w:tcPr>
            <w:tcW w:w="2065" w:type="dxa"/>
            <w:tcBorders>
              <w:top w:val="single" w:sz="6" w:space="0" w:color="E6E6E6"/>
              <w:left w:val="single" w:sz="6" w:space="0" w:color="E6E6E6"/>
              <w:bottom w:val="single" w:sz="6" w:space="0" w:color="E6E6E6"/>
              <w:right w:val="single" w:sz="6" w:space="0" w:color="E6E6E6"/>
            </w:tcBorders>
            <w:vAlign w:val="center"/>
          </w:tcPr>
          <w:p w14:paraId="6CFDD8D8" w14:textId="6DD2D4A8"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1</w:t>
            </w:r>
          </w:p>
        </w:tc>
      </w:tr>
      <w:tr w:rsidR="562C7095" w:rsidRPr="005119D2" w14:paraId="54FBD38D" w14:textId="77777777" w:rsidTr="0043172E">
        <w:trPr>
          <w:trHeight w:val="300"/>
        </w:trPr>
        <w:tc>
          <w:tcPr>
            <w:tcW w:w="930" w:type="dxa"/>
            <w:tcBorders>
              <w:top w:val="single" w:sz="6" w:space="0" w:color="E6E6E6"/>
              <w:left w:val="single" w:sz="6" w:space="0" w:color="E6E6E6"/>
              <w:bottom w:val="single" w:sz="6" w:space="0" w:color="E6E6E6"/>
              <w:right w:val="single" w:sz="6" w:space="0" w:color="E6E6E6"/>
            </w:tcBorders>
            <w:vAlign w:val="center"/>
          </w:tcPr>
          <w:p w14:paraId="2CF7222D" w14:textId="31961FD2"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2</w:t>
            </w:r>
          </w:p>
        </w:tc>
        <w:tc>
          <w:tcPr>
            <w:tcW w:w="4506" w:type="dxa"/>
            <w:tcBorders>
              <w:top w:val="single" w:sz="6" w:space="0" w:color="E6E6E6"/>
              <w:left w:val="single" w:sz="6" w:space="0" w:color="E6E6E6"/>
              <w:bottom w:val="single" w:sz="6" w:space="0" w:color="E6E6E6"/>
              <w:right w:val="single" w:sz="6" w:space="0" w:color="E6E6E6"/>
            </w:tcBorders>
            <w:vAlign w:val="center"/>
          </w:tcPr>
          <w:p w14:paraId="5C45FBFD" w14:textId="3E157DED"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Įeinančių skambučių kiekis per mėnesį</w:t>
            </w:r>
          </w:p>
        </w:tc>
        <w:tc>
          <w:tcPr>
            <w:tcW w:w="1123" w:type="dxa"/>
            <w:tcBorders>
              <w:top w:val="single" w:sz="6" w:space="0" w:color="E6E6E6"/>
              <w:left w:val="single" w:sz="6" w:space="0" w:color="E6E6E6"/>
              <w:bottom w:val="single" w:sz="6" w:space="0" w:color="E6E6E6"/>
              <w:right w:val="single" w:sz="6" w:space="0" w:color="E6E6E6"/>
            </w:tcBorders>
            <w:vAlign w:val="center"/>
          </w:tcPr>
          <w:p w14:paraId="43A4EFEB" w14:textId="2137C230"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vnt.</w:t>
            </w:r>
          </w:p>
        </w:tc>
        <w:tc>
          <w:tcPr>
            <w:tcW w:w="2065" w:type="dxa"/>
            <w:tcBorders>
              <w:top w:val="single" w:sz="6" w:space="0" w:color="E6E6E6"/>
              <w:left w:val="single" w:sz="6" w:space="0" w:color="E6E6E6"/>
              <w:bottom w:val="single" w:sz="6" w:space="0" w:color="E6E6E6"/>
              <w:right w:val="single" w:sz="6" w:space="0" w:color="E6E6E6"/>
            </w:tcBorders>
            <w:vAlign w:val="center"/>
          </w:tcPr>
          <w:p w14:paraId="17D76B37" w14:textId="29191657"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 xml:space="preserve">2 </w:t>
            </w:r>
            <w:r w:rsidR="003D37A6" w:rsidRPr="005119D2">
              <w:rPr>
                <w:rFonts w:asciiTheme="majorHAnsi" w:hAnsiTheme="majorHAnsi" w:cstheme="majorHAnsi"/>
                <w:lang w:val="lt-LT"/>
              </w:rPr>
              <w:t>5</w:t>
            </w:r>
            <w:r w:rsidRPr="005119D2">
              <w:rPr>
                <w:rFonts w:asciiTheme="majorHAnsi" w:hAnsiTheme="majorHAnsi" w:cstheme="majorHAnsi"/>
                <w:lang w:val="lt-LT"/>
              </w:rPr>
              <w:t>00</w:t>
            </w:r>
          </w:p>
        </w:tc>
      </w:tr>
      <w:tr w:rsidR="562C7095" w:rsidRPr="005119D2" w14:paraId="1005D2A6" w14:textId="77777777" w:rsidTr="0043172E">
        <w:trPr>
          <w:trHeight w:val="300"/>
        </w:trPr>
        <w:tc>
          <w:tcPr>
            <w:tcW w:w="930" w:type="dxa"/>
            <w:tcBorders>
              <w:top w:val="single" w:sz="6" w:space="0" w:color="E6E6E6"/>
              <w:left w:val="single" w:sz="6" w:space="0" w:color="E6E6E6"/>
              <w:bottom w:val="single" w:sz="6" w:space="0" w:color="E6E6E6"/>
              <w:right w:val="single" w:sz="6" w:space="0" w:color="E6E6E6"/>
            </w:tcBorders>
            <w:vAlign w:val="center"/>
          </w:tcPr>
          <w:p w14:paraId="4F1C3592" w14:textId="3068494A"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3</w:t>
            </w:r>
          </w:p>
        </w:tc>
        <w:tc>
          <w:tcPr>
            <w:tcW w:w="4506" w:type="dxa"/>
            <w:tcBorders>
              <w:top w:val="single" w:sz="6" w:space="0" w:color="E6E6E6"/>
              <w:left w:val="single" w:sz="6" w:space="0" w:color="E6E6E6"/>
              <w:bottom w:val="single" w:sz="6" w:space="0" w:color="E6E6E6"/>
              <w:right w:val="single" w:sz="6" w:space="0" w:color="E6E6E6"/>
            </w:tcBorders>
            <w:vAlign w:val="center"/>
          </w:tcPr>
          <w:p w14:paraId="36913A99" w14:textId="49A7B494"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Išeinančių skambučių kiekis per mėnesį</w:t>
            </w:r>
          </w:p>
        </w:tc>
        <w:tc>
          <w:tcPr>
            <w:tcW w:w="1123" w:type="dxa"/>
            <w:tcBorders>
              <w:top w:val="single" w:sz="6" w:space="0" w:color="E6E6E6"/>
              <w:left w:val="single" w:sz="6" w:space="0" w:color="E6E6E6"/>
              <w:bottom w:val="single" w:sz="6" w:space="0" w:color="E6E6E6"/>
              <w:right w:val="single" w:sz="6" w:space="0" w:color="E6E6E6"/>
            </w:tcBorders>
            <w:vAlign w:val="center"/>
          </w:tcPr>
          <w:p w14:paraId="6223AEFB" w14:textId="1705AC87"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vnt.</w:t>
            </w:r>
          </w:p>
        </w:tc>
        <w:tc>
          <w:tcPr>
            <w:tcW w:w="2065" w:type="dxa"/>
            <w:tcBorders>
              <w:top w:val="single" w:sz="6" w:space="0" w:color="E6E6E6"/>
              <w:left w:val="single" w:sz="6" w:space="0" w:color="E6E6E6"/>
              <w:bottom w:val="single" w:sz="6" w:space="0" w:color="E6E6E6"/>
              <w:right w:val="single" w:sz="6" w:space="0" w:color="E6E6E6"/>
            </w:tcBorders>
            <w:vAlign w:val="center"/>
          </w:tcPr>
          <w:p w14:paraId="4C5DA1BD" w14:textId="265D8A2A"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500</w:t>
            </w:r>
          </w:p>
        </w:tc>
      </w:tr>
      <w:tr w:rsidR="562C7095" w:rsidRPr="005119D2" w14:paraId="7663F689" w14:textId="77777777" w:rsidTr="0043172E">
        <w:trPr>
          <w:trHeight w:val="300"/>
        </w:trPr>
        <w:tc>
          <w:tcPr>
            <w:tcW w:w="930" w:type="dxa"/>
            <w:tcBorders>
              <w:top w:val="single" w:sz="6" w:space="0" w:color="E6E6E6"/>
              <w:left w:val="single" w:sz="6" w:space="0" w:color="E6E6E6"/>
              <w:bottom w:val="single" w:sz="6" w:space="0" w:color="E6E6E6"/>
              <w:right w:val="single" w:sz="6" w:space="0" w:color="E6E6E6"/>
            </w:tcBorders>
            <w:vAlign w:val="center"/>
          </w:tcPr>
          <w:p w14:paraId="427884D7" w14:textId="6A056829"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4</w:t>
            </w:r>
          </w:p>
        </w:tc>
        <w:tc>
          <w:tcPr>
            <w:tcW w:w="4506" w:type="dxa"/>
            <w:tcBorders>
              <w:top w:val="single" w:sz="6" w:space="0" w:color="E6E6E6"/>
              <w:left w:val="single" w:sz="6" w:space="0" w:color="E6E6E6"/>
              <w:bottom w:val="single" w:sz="6" w:space="0" w:color="E6E6E6"/>
              <w:right w:val="single" w:sz="6" w:space="0" w:color="E6E6E6"/>
            </w:tcBorders>
            <w:vAlign w:val="center"/>
          </w:tcPr>
          <w:p w14:paraId="4261D18A" w14:textId="4FEF7F59"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 xml:space="preserve">Vidutinė vieno skambučio ir </w:t>
            </w:r>
            <w:proofErr w:type="spellStart"/>
            <w:r w:rsidRPr="005119D2">
              <w:rPr>
                <w:rFonts w:asciiTheme="majorHAnsi" w:hAnsiTheme="majorHAnsi" w:cstheme="majorHAnsi"/>
                <w:lang w:val="lt-LT"/>
              </w:rPr>
              <w:t>after-call-work</w:t>
            </w:r>
            <w:proofErr w:type="spellEnd"/>
            <w:r w:rsidRPr="005119D2">
              <w:rPr>
                <w:rFonts w:asciiTheme="majorHAnsi" w:hAnsiTheme="majorHAnsi" w:cstheme="majorHAnsi"/>
                <w:lang w:val="lt-LT"/>
              </w:rPr>
              <w:t xml:space="preserve"> trukmė</w:t>
            </w:r>
          </w:p>
        </w:tc>
        <w:tc>
          <w:tcPr>
            <w:tcW w:w="1123" w:type="dxa"/>
            <w:tcBorders>
              <w:top w:val="single" w:sz="6" w:space="0" w:color="E6E6E6"/>
              <w:left w:val="single" w:sz="6" w:space="0" w:color="E6E6E6"/>
              <w:bottom w:val="single" w:sz="6" w:space="0" w:color="E6E6E6"/>
              <w:right w:val="single" w:sz="6" w:space="0" w:color="E6E6E6"/>
            </w:tcBorders>
            <w:vAlign w:val="center"/>
          </w:tcPr>
          <w:p w14:paraId="21E64C81" w14:textId="6B3E1A6B"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min.</w:t>
            </w:r>
          </w:p>
        </w:tc>
        <w:tc>
          <w:tcPr>
            <w:tcW w:w="2065" w:type="dxa"/>
            <w:tcBorders>
              <w:top w:val="single" w:sz="6" w:space="0" w:color="E6E6E6"/>
              <w:left w:val="single" w:sz="6" w:space="0" w:color="E6E6E6"/>
              <w:bottom w:val="single" w:sz="6" w:space="0" w:color="E6E6E6"/>
              <w:right w:val="single" w:sz="6" w:space="0" w:color="E6E6E6"/>
            </w:tcBorders>
            <w:vAlign w:val="center"/>
          </w:tcPr>
          <w:p w14:paraId="364264B9" w14:textId="4A26F614" w:rsidR="562C7095" w:rsidRPr="005119D2" w:rsidRDefault="562C7095" w:rsidP="005119D2">
            <w:pPr>
              <w:spacing w:after="0" w:line="240" w:lineRule="auto"/>
              <w:ind w:left="360"/>
              <w:jc w:val="both"/>
              <w:rPr>
                <w:rFonts w:asciiTheme="majorHAnsi" w:hAnsiTheme="majorHAnsi" w:cstheme="majorHAnsi"/>
                <w:lang w:val="lt-LT"/>
              </w:rPr>
            </w:pPr>
            <w:r w:rsidRPr="005119D2">
              <w:rPr>
                <w:rFonts w:asciiTheme="majorHAnsi" w:hAnsiTheme="majorHAnsi" w:cstheme="majorHAnsi"/>
                <w:lang w:val="lt-LT"/>
              </w:rPr>
              <w:t>3</w:t>
            </w:r>
          </w:p>
        </w:tc>
      </w:tr>
    </w:tbl>
    <w:p w14:paraId="69FE9E04" w14:textId="77777777" w:rsidR="00463F4F" w:rsidRPr="005119D2" w:rsidRDefault="00463F4F"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 xml:space="preserve">Vidutinis išorinio skambučių centro aptarnaujamų įeinančių skambučių kiekis sudaro apie 1 700–1 800 skambučių per mėnesį, tačiau skambučių srautas pasižymi reikšmingais svyravimais. </w:t>
      </w:r>
    </w:p>
    <w:p w14:paraId="478E6DD5" w14:textId="77777777" w:rsidR="00463F4F" w:rsidRPr="005119D2" w:rsidRDefault="00463F4F"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 xml:space="preserve">Įprastais piko laikotarpiais skambučių srautas gali padidėti daugiau kaip 2 kartus, o atskirais atvejais – iki 4–5 kartų, lyginant su vidutiniu mėnesiniu skambučių kiekiu. Bendras klientų skambučių srautas (įskaitant Paslaugų gavėjo vidinius resursus) gali būti didesnis. </w:t>
      </w:r>
    </w:p>
    <w:p w14:paraId="40A27AC7" w14:textId="0DF2D6CA" w:rsidR="00C45DCD" w:rsidRDefault="00463F4F"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Paslaugų teikėjas privalo įvertinti galimus klientų srauto svyravimus ir užtikrinti paslaugų teikimą laikantis Techninėje specifikacijoje nustatytų kokybės rodiklių visais laikotarpiais, įskaitant piko laikotarpius.</w:t>
      </w:r>
    </w:p>
    <w:p w14:paraId="2CED7BE9" w14:textId="77777777" w:rsidR="00F110BD" w:rsidRPr="005119D2" w:rsidRDefault="00F110BD" w:rsidP="005119D2">
      <w:pPr>
        <w:spacing w:after="0" w:line="240" w:lineRule="auto"/>
        <w:jc w:val="both"/>
        <w:rPr>
          <w:rFonts w:asciiTheme="majorHAnsi" w:eastAsia="Segoe UI" w:hAnsiTheme="majorHAnsi" w:cstheme="majorHAnsi"/>
          <w:lang w:val="lt-LT"/>
        </w:rPr>
      </w:pPr>
    </w:p>
    <w:p w14:paraId="26AAD583" w14:textId="4251D237" w:rsidR="00B5789C" w:rsidRDefault="7879C1A8" w:rsidP="00F110BD">
      <w:pPr>
        <w:pStyle w:val="Antrat2"/>
        <w:numPr>
          <w:ilvl w:val="0"/>
          <w:numId w:val="0"/>
        </w:numPr>
        <w:spacing w:before="0" w:line="240" w:lineRule="auto"/>
        <w:jc w:val="center"/>
        <w:rPr>
          <w:rFonts w:eastAsia="Segoe UI" w:cstheme="majorHAnsi"/>
          <w:sz w:val="22"/>
          <w:szCs w:val="22"/>
          <w:lang w:val="lt-LT"/>
        </w:rPr>
      </w:pPr>
      <w:r w:rsidRPr="005119D2">
        <w:rPr>
          <w:rFonts w:eastAsia="Segoe UI" w:cstheme="majorHAnsi"/>
          <w:sz w:val="22"/>
          <w:szCs w:val="22"/>
          <w:lang w:val="lt-LT"/>
        </w:rPr>
        <w:t>2. PASLAUGŲ TEIKIMO VIETA</w:t>
      </w:r>
    </w:p>
    <w:p w14:paraId="6E38975C" w14:textId="77777777" w:rsidR="00F110BD" w:rsidRPr="00F110BD" w:rsidRDefault="00F110BD" w:rsidP="00F110BD">
      <w:pPr>
        <w:rPr>
          <w:lang w:val="lt-LT"/>
        </w:rPr>
      </w:pPr>
    </w:p>
    <w:p w14:paraId="641E9023" w14:textId="22112444" w:rsidR="00B5789C" w:rsidRDefault="7879C1A8"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Paslaugų teikimo vietai apribojimai nėra nustatyti, tačiau Paslaugų teikėjas privalo užtikrinti, kad paslaugos būtų teikiamos laikantis visų Techninėje specifikacijoje nustatytų reikalavimų, nepriklausomai nuo pasirinkto paslaugų teikimo modelio.</w:t>
      </w:r>
    </w:p>
    <w:p w14:paraId="66327BCE" w14:textId="77777777" w:rsidR="00F110BD" w:rsidRPr="005119D2" w:rsidRDefault="00F110BD" w:rsidP="005119D2">
      <w:pPr>
        <w:spacing w:after="0" w:line="240" w:lineRule="auto"/>
        <w:jc w:val="both"/>
        <w:rPr>
          <w:rFonts w:asciiTheme="majorHAnsi" w:hAnsiTheme="majorHAnsi" w:cstheme="majorHAnsi"/>
          <w:lang w:val="lt-LT"/>
        </w:rPr>
      </w:pPr>
    </w:p>
    <w:p w14:paraId="74004E32" w14:textId="30EB6879" w:rsidR="00B5789C" w:rsidRDefault="281E786E" w:rsidP="00F110BD">
      <w:pPr>
        <w:pStyle w:val="Antrat1"/>
        <w:numPr>
          <w:ilvl w:val="0"/>
          <w:numId w:val="0"/>
        </w:numPr>
        <w:spacing w:before="0" w:line="240" w:lineRule="auto"/>
        <w:jc w:val="center"/>
        <w:rPr>
          <w:rFonts w:eastAsia="Segoe UI" w:cstheme="majorHAnsi"/>
          <w:sz w:val="22"/>
          <w:szCs w:val="22"/>
          <w:lang w:val="lt-LT"/>
        </w:rPr>
      </w:pPr>
      <w:r w:rsidRPr="005119D2">
        <w:rPr>
          <w:rFonts w:eastAsia="Segoe UI" w:cstheme="majorHAnsi"/>
          <w:sz w:val="22"/>
          <w:szCs w:val="22"/>
          <w:lang w:val="lt-LT"/>
        </w:rPr>
        <w:t>3. REIKALAVIMAI PIRKIMO OBJEKTUI</w:t>
      </w:r>
    </w:p>
    <w:p w14:paraId="40EF30D2" w14:textId="77777777" w:rsidR="00F110BD" w:rsidRPr="00F110BD" w:rsidRDefault="00F110BD" w:rsidP="00F110BD">
      <w:pPr>
        <w:rPr>
          <w:lang w:val="lt-LT"/>
        </w:rPr>
      </w:pPr>
    </w:p>
    <w:p w14:paraId="086BF4EC" w14:textId="29FC2EB3" w:rsidR="00B5789C" w:rsidRPr="005119D2" w:rsidRDefault="281E786E" w:rsidP="005119D2">
      <w:pPr>
        <w:pStyle w:val="Antrat2"/>
        <w:numPr>
          <w:ilvl w:val="0"/>
          <w:numId w:val="0"/>
        </w:numPr>
        <w:spacing w:before="0" w:line="240" w:lineRule="auto"/>
        <w:jc w:val="both"/>
        <w:rPr>
          <w:rFonts w:eastAsia="Segoe UI" w:cstheme="majorHAnsi"/>
          <w:sz w:val="22"/>
          <w:szCs w:val="22"/>
          <w:lang w:val="lt-LT"/>
        </w:rPr>
      </w:pPr>
      <w:r w:rsidRPr="005119D2">
        <w:rPr>
          <w:rFonts w:eastAsia="Segoe UI" w:cstheme="majorHAnsi"/>
          <w:sz w:val="22"/>
          <w:szCs w:val="22"/>
          <w:lang w:val="lt-LT"/>
        </w:rPr>
        <w:t>3.1. Bendrieji reikalavimai</w:t>
      </w:r>
    </w:p>
    <w:p w14:paraId="001BB52E" w14:textId="57AC83CF" w:rsidR="00B5789C" w:rsidRPr="005119D2" w:rsidRDefault="281E786E"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3.1.1. Paslaugų teikimo pradžia</w:t>
      </w:r>
    </w:p>
    <w:p w14:paraId="471CBB67" w14:textId="0C3BE126" w:rsidR="00B5789C" w:rsidRPr="005119D2" w:rsidRDefault="281E786E"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pradėti teikti paslaugas nuo sutarties įsigaliojimo dienos ir (ar) nuo Paslaugų gavėjo poreikio atsiradimo momento, atsižvelgiant į Paslaugų gavėjo pateiktą informaciją apie paslaugų teikimo pradžią.</w:t>
      </w:r>
    </w:p>
    <w:p w14:paraId="3EC8C1BA" w14:textId="2CF8EE41" w:rsidR="00B5789C" w:rsidRPr="005119D2" w:rsidRDefault="281E786E"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3.1.2. Paslaugų teikimo tęstinumas</w:t>
      </w:r>
    </w:p>
    <w:p w14:paraId="4BD0BD88" w14:textId="4CBF525B" w:rsidR="00B5789C" w:rsidRPr="005119D2" w:rsidRDefault="281E786E"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nepertraukiamą, stabilų ir kokybišką paslaugų teikimą visą sutarties galiojimo laikotarpį.</w:t>
      </w:r>
    </w:p>
    <w:p w14:paraId="03A22145" w14:textId="31C05704" w:rsidR="00B5789C" w:rsidRPr="005119D2" w:rsidRDefault="281E786E"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3.1.3. Ištekliai</w:t>
      </w:r>
    </w:p>
    <w:p w14:paraId="28C7E364" w14:textId="4FEFA50E" w:rsidR="00B5789C" w:rsidRPr="005119D2" w:rsidRDefault="281E786E"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turėti pakankamus žmogiškuosius ir techninius išteklius, reikalingus užtikrinti paslaugų teikimo kokybę, stabilumą ir tęstinumą.</w:t>
      </w:r>
    </w:p>
    <w:p w14:paraId="49AA0C53" w14:textId="3E7B6167" w:rsidR="00B5789C" w:rsidRPr="005119D2" w:rsidRDefault="281E786E"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3.1.4. Pajėgumų didinimas</w:t>
      </w:r>
    </w:p>
    <w:p w14:paraId="4B8CFC65" w14:textId="0FA6629D" w:rsidR="00B5789C" w:rsidRPr="005119D2" w:rsidRDefault="281E786E"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galimybę operatyviai didinti klientų aptarnavimo pajėgumus esant padidėjusiam klientų srautui.</w:t>
      </w:r>
    </w:p>
    <w:p w14:paraId="2D2B0360" w14:textId="6134A089" w:rsidR="00B5789C" w:rsidRPr="005119D2" w:rsidRDefault="281E786E"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Apie planuojamus klientų srauto padidėjimo laikotarpius, susijusius su Paslaugų gavėjo veikla (pvz., mokėjimo pranešimų siuntimu, skolų administravimu ar kitais procesais), Paslaugų gavėjas informuoja Paslaugų teikėją iš anksto, ne vėliau kaip prieš 3–5 darbo dienas.</w:t>
      </w:r>
    </w:p>
    <w:p w14:paraId="31F5BBD4" w14:textId="7615A8BD" w:rsidR="00B5789C" w:rsidRPr="005119D2" w:rsidRDefault="281E786E"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Atsiradus neplanuotam klientų srauto padidėjimui, Paslaugų teikėjas privalo užtikrinti paslaugų teikimo pajėgumų padidinimą ne vėliau kaip per 1–2 darbo dienas nuo Paslaugų gavėjo pranešimo gavimo dienos.</w:t>
      </w:r>
    </w:p>
    <w:p w14:paraId="2F5376B5" w14:textId="6733BED1" w:rsidR="00B5789C" w:rsidRPr="005119D2" w:rsidRDefault="281E786E"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3.1.5. Srauto aptarnavimas</w:t>
      </w:r>
    </w:p>
    <w:p w14:paraId="1810DE19" w14:textId="4352A450" w:rsidR="00B5789C" w:rsidRPr="005119D2" w:rsidRDefault="281E786E"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galimybę aptarnauti padidėjusį klientų srautą, kuris gali siekti ne mažiau kaip 100 procentų įprasto srauto, neprastinant Techninėje specifikacijoje nustatytų paslaugų kokybės rodiklių.</w:t>
      </w:r>
    </w:p>
    <w:p w14:paraId="1B9B20BD" w14:textId="3826BD01" w:rsidR="00B5789C" w:rsidRPr="005119D2" w:rsidRDefault="281E786E"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lastRenderedPageBreak/>
        <w:t xml:space="preserve">3.1.6. </w:t>
      </w:r>
      <w:r w:rsidR="00810305" w:rsidRPr="005119D2">
        <w:rPr>
          <w:rFonts w:eastAsia="Segoe UI" w:cstheme="majorHAnsi"/>
          <w:lang w:val="lt-LT"/>
        </w:rPr>
        <w:t>Klientų aptarnavimo pajėgumų užtikrinimas</w:t>
      </w:r>
    </w:p>
    <w:p w14:paraId="52D59F32" w14:textId="77777777" w:rsidR="001609D6" w:rsidRPr="005119D2" w:rsidRDefault="001609D6" w:rsidP="005119D2">
      <w:pPr>
        <w:pStyle w:val="Antrat2"/>
        <w:numPr>
          <w:ilvl w:val="0"/>
          <w:numId w:val="0"/>
        </w:numPr>
        <w:spacing w:before="0" w:line="240" w:lineRule="auto"/>
        <w:jc w:val="both"/>
        <w:rPr>
          <w:rFonts w:eastAsia="Segoe UI" w:cstheme="majorHAnsi"/>
          <w:b w:val="0"/>
          <w:bCs w:val="0"/>
          <w:color w:val="auto"/>
          <w:sz w:val="22"/>
          <w:szCs w:val="22"/>
          <w:lang w:val="lt-LT"/>
        </w:rPr>
      </w:pPr>
      <w:r w:rsidRPr="005119D2">
        <w:rPr>
          <w:rFonts w:eastAsia="Segoe UI" w:cstheme="majorHAnsi"/>
          <w:b w:val="0"/>
          <w:bCs w:val="0"/>
          <w:color w:val="auto"/>
          <w:sz w:val="22"/>
          <w:szCs w:val="22"/>
          <w:lang w:val="lt-LT"/>
        </w:rPr>
        <w:t>Paslaugų teikėjas privalo užtikrinti pakankamus žmogiškuosius ir (ar) technologinius resursus, kad klientų aptarnavimas vyktų nepertraukiamai ir būtų pasiekti nustatyti paslaugų teikimo lygio (SLA) rodikliai.</w:t>
      </w:r>
    </w:p>
    <w:p w14:paraId="476E5AF3" w14:textId="3288E172" w:rsidR="00B5789C" w:rsidRPr="005119D2" w:rsidRDefault="7879C1A8" w:rsidP="005119D2">
      <w:pPr>
        <w:pStyle w:val="Antrat2"/>
        <w:numPr>
          <w:ilvl w:val="0"/>
          <w:numId w:val="0"/>
        </w:numPr>
        <w:spacing w:before="0" w:line="240" w:lineRule="auto"/>
        <w:jc w:val="both"/>
        <w:rPr>
          <w:rFonts w:cstheme="majorHAnsi"/>
          <w:sz w:val="22"/>
          <w:szCs w:val="22"/>
          <w:lang w:val="lt-LT"/>
        </w:rPr>
      </w:pPr>
      <w:r w:rsidRPr="005119D2">
        <w:rPr>
          <w:rFonts w:eastAsia="Segoe UI" w:cstheme="majorHAnsi"/>
          <w:sz w:val="22"/>
          <w:szCs w:val="22"/>
          <w:lang w:val="lt-LT"/>
        </w:rPr>
        <w:t>3.2. Reikalavimai klientų aptarnavimui</w:t>
      </w:r>
    </w:p>
    <w:p w14:paraId="3BC13C60" w14:textId="412A707F" w:rsidR="00B5789C" w:rsidRPr="005119D2" w:rsidRDefault="37E96AB2"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3.2.1. Aptarnavimo laikas</w:t>
      </w:r>
    </w:p>
    <w:p w14:paraId="39ED434F" w14:textId="0DF1FF00"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aptarnauti Paslaugų gavėjo klientus darbo dienomis nuo 08.00 iki 17.00 val.</w:t>
      </w:r>
    </w:p>
    <w:p w14:paraId="0B4A6698" w14:textId="467F6001"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Esant poreikiui, Paslaugų gavėjui informavus ne vėliau kaip prieš 2 darbo dienas, Paslaugų teikėjas privalo užtikrinti klientų aptarnavimą septynias dienas per savaitę nuo 07.00 iki 22.00 val.</w:t>
      </w:r>
    </w:p>
    <w:p w14:paraId="344CF9CA" w14:textId="1D28612B" w:rsidR="00C45DCD"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3.2.2. Konsultavimo apimtis</w:t>
      </w:r>
    </w:p>
    <w:p w14:paraId="493509E8" w14:textId="77777777" w:rsidR="00C45DCD" w:rsidRPr="005119D2" w:rsidRDefault="00C45DCD" w:rsidP="005119D2">
      <w:pPr>
        <w:pStyle w:val="Antrat3"/>
        <w:numPr>
          <w:ilvl w:val="0"/>
          <w:numId w:val="0"/>
        </w:numPr>
        <w:spacing w:before="0" w:line="240" w:lineRule="auto"/>
        <w:jc w:val="both"/>
        <w:rPr>
          <w:rFonts w:eastAsia="Segoe UI" w:cstheme="majorHAnsi"/>
          <w:lang w:val="lt-LT"/>
        </w:rPr>
      </w:pPr>
    </w:p>
    <w:p w14:paraId="67FC20CB" w14:textId="10FF72DF" w:rsidR="0062622F" w:rsidRPr="005119D2" w:rsidRDefault="0062622F" w:rsidP="00F110BD">
      <w:pPr>
        <w:spacing w:after="0" w:line="240" w:lineRule="auto"/>
        <w:rPr>
          <w:rFonts w:asciiTheme="majorHAnsi" w:hAnsiTheme="majorHAnsi" w:cstheme="majorHAnsi"/>
          <w:lang w:val="lt-LT"/>
        </w:rPr>
      </w:pPr>
      <w:r w:rsidRPr="005119D2">
        <w:rPr>
          <w:rFonts w:asciiTheme="majorHAnsi" w:hAnsiTheme="majorHAnsi" w:cstheme="majorHAnsi"/>
          <w:lang w:val="lt-LT"/>
        </w:rPr>
        <w:t>Paslaugų teikėjas privalo konsultuoti klientus visais su Paslaugų gavėjo veikla susijusiais klausimais, įskaitant, bet neapsiribojant:</w:t>
      </w:r>
    </w:p>
    <w:p w14:paraId="12C9F09C" w14:textId="397BFF07" w:rsidR="00C45DCD" w:rsidRPr="005119D2" w:rsidRDefault="0062622F" w:rsidP="00F110BD">
      <w:pPr>
        <w:spacing w:after="0" w:line="240" w:lineRule="auto"/>
        <w:rPr>
          <w:rFonts w:asciiTheme="majorHAnsi" w:hAnsiTheme="majorHAnsi" w:cstheme="majorHAnsi"/>
          <w:lang w:val="lt-LT"/>
        </w:rPr>
      </w:pPr>
      <w:r w:rsidRPr="005119D2">
        <w:rPr>
          <w:rFonts w:asciiTheme="majorHAnsi" w:hAnsiTheme="majorHAnsi" w:cstheme="majorHAnsi"/>
          <w:lang w:val="lt-LT"/>
        </w:rPr>
        <w:t>• rinkliavos dydžio;</w:t>
      </w:r>
      <w:r w:rsidRPr="005119D2">
        <w:rPr>
          <w:rFonts w:asciiTheme="majorHAnsi" w:hAnsiTheme="majorHAnsi" w:cstheme="majorHAnsi"/>
          <w:lang w:val="lt-LT"/>
        </w:rPr>
        <w:br/>
        <w:t>• mokėjimo pranešimų;</w:t>
      </w:r>
      <w:r w:rsidRPr="005119D2">
        <w:rPr>
          <w:rFonts w:asciiTheme="majorHAnsi" w:hAnsiTheme="majorHAnsi" w:cstheme="majorHAnsi"/>
          <w:lang w:val="lt-LT"/>
        </w:rPr>
        <w:br/>
        <w:t>• apmokėjimo;</w:t>
      </w:r>
      <w:r w:rsidRPr="005119D2">
        <w:rPr>
          <w:rFonts w:asciiTheme="majorHAnsi" w:hAnsiTheme="majorHAnsi" w:cstheme="majorHAnsi"/>
          <w:lang w:val="lt-LT"/>
        </w:rPr>
        <w:br/>
        <w:t>• skolų administravimo;</w:t>
      </w:r>
      <w:r w:rsidRPr="005119D2">
        <w:rPr>
          <w:rFonts w:asciiTheme="majorHAnsi" w:hAnsiTheme="majorHAnsi" w:cstheme="majorHAnsi"/>
          <w:lang w:val="lt-LT"/>
        </w:rPr>
        <w:br/>
        <w:t>• permokų;</w:t>
      </w:r>
      <w:r w:rsidRPr="005119D2">
        <w:rPr>
          <w:rFonts w:asciiTheme="majorHAnsi" w:hAnsiTheme="majorHAnsi" w:cstheme="majorHAnsi"/>
          <w:lang w:val="lt-LT"/>
        </w:rPr>
        <w:br/>
        <w:t>• savitarnos;</w:t>
      </w:r>
      <w:r w:rsidRPr="005119D2">
        <w:rPr>
          <w:rFonts w:asciiTheme="majorHAnsi" w:hAnsiTheme="majorHAnsi" w:cstheme="majorHAnsi"/>
          <w:lang w:val="lt-LT"/>
        </w:rPr>
        <w:br/>
        <w:t>• atliekų surinkimo;</w:t>
      </w:r>
      <w:r w:rsidRPr="005119D2">
        <w:rPr>
          <w:rFonts w:asciiTheme="majorHAnsi" w:hAnsiTheme="majorHAnsi" w:cstheme="majorHAnsi"/>
          <w:lang w:val="lt-LT"/>
        </w:rPr>
        <w:br/>
        <w:t>• didelių gabaritų atliekų (DGA);</w:t>
      </w:r>
      <w:r w:rsidRPr="005119D2">
        <w:rPr>
          <w:rFonts w:asciiTheme="majorHAnsi" w:hAnsiTheme="majorHAnsi" w:cstheme="majorHAnsi"/>
          <w:lang w:val="lt-LT"/>
        </w:rPr>
        <w:br/>
        <w:t>• konteinerių;</w:t>
      </w:r>
      <w:r w:rsidRPr="005119D2">
        <w:rPr>
          <w:rFonts w:asciiTheme="majorHAnsi" w:hAnsiTheme="majorHAnsi" w:cstheme="majorHAnsi"/>
          <w:lang w:val="lt-LT"/>
        </w:rPr>
        <w:br/>
        <w:t>• individualių namų;</w:t>
      </w:r>
      <w:r w:rsidRPr="005119D2">
        <w:rPr>
          <w:rFonts w:asciiTheme="majorHAnsi" w:hAnsiTheme="majorHAnsi" w:cstheme="majorHAnsi"/>
          <w:lang w:val="lt-LT"/>
        </w:rPr>
        <w:br/>
        <w:t>• juridinių asmenų klausimai</w:t>
      </w:r>
      <w:r w:rsidR="00F110BD">
        <w:rPr>
          <w:rFonts w:asciiTheme="majorHAnsi" w:hAnsiTheme="majorHAnsi" w:cstheme="majorHAnsi"/>
          <w:lang w:val="lt-LT"/>
        </w:rPr>
        <w:t xml:space="preserve"> </w:t>
      </w:r>
      <w:r w:rsidR="00FB709E" w:rsidRPr="005119D2">
        <w:rPr>
          <w:rFonts w:asciiTheme="majorHAnsi" w:hAnsiTheme="majorHAnsi" w:cstheme="majorHAnsi"/>
          <w:lang w:val="lt-LT"/>
        </w:rPr>
        <w:t>ir kt. klausimai</w:t>
      </w:r>
    </w:p>
    <w:p w14:paraId="2B0707DD" w14:textId="77777777" w:rsidR="00C45DCD" w:rsidRPr="005119D2" w:rsidRDefault="00C45DCD" w:rsidP="00F110BD">
      <w:pPr>
        <w:spacing w:after="0" w:line="240" w:lineRule="auto"/>
        <w:rPr>
          <w:rFonts w:asciiTheme="majorHAnsi" w:hAnsiTheme="majorHAnsi" w:cstheme="majorHAnsi"/>
          <w:lang w:val="lt-LT"/>
        </w:rPr>
      </w:pPr>
    </w:p>
    <w:p w14:paraId="6CCDC240" w14:textId="5C8CED56" w:rsidR="00B5789C"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3.2.3. Duomenų registravimas</w:t>
      </w:r>
    </w:p>
    <w:p w14:paraId="1C363EB7" w14:textId="5C9BD101"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Pokalbio metu Paslaugų teikėjas privalo fiksuoti ir registruoti kliento pateikiamą informaciją Paslaugų gavėjo informacinėse sistemose.</w:t>
      </w:r>
    </w:p>
    <w:p w14:paraId="08CA3BB5" w14:textId="5C38F57A" w:rsidR="00B5789C"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3.2.4. Skambučių registravimas</w:t>
      </w:r>
    </w:p>
    <w:p w14:paraId="6A8F4294" w14:textId="5B954D87"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registruoti visus skambučius bei jų rezultatą (atsakyta / neatsakyta), užtikrinant duomenų tikslumą ir pilnumą.</w:t>
      </w:r>
    </w:p>
    <w:p w14:paraId="38D85712" w14:textId="463A3C53" w:rsidR="00B5789C"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3.2.5. Neatsakytų skambučių valdymas</w:t>
      </w:r>
    </w:p>
    <w:p w14:paraId="27DC16E0" w14:textId="39138475"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Jei į kliento skambutį neatsakoma, Paslaugų teikėjas privalo suteikti klientui galimybę pasirinkti perskambinimą arba palikti balso pranešimą.</w:t>
      </w:r>
    </w:p>
    <w:p w14:paraId="6EBD5687" w14:textId="77777777" w:rsidR="00C45DCD" w:rsidRPr="005119D2" w:rsidRDefault="00C45DCD" w:rsidP="005119D2">
      <w:pPr>
        <w:pStyle w:val="Antrat3"/>
        <w:numPr>
          <w:ilvl w:val="0"/>
          <w:numId w:val="0"/>
        </w:numPr>
        <w:spacing w:before="0" w:line="240" w:lineRule="auto"/>
        <w:ind w:left="360"/>
        <w:jc w:val="both"/>
        <w:rPr>
          <w:rFonts w:eastAsia="Segoe UI" w:cstheme="majorHAnsi"/>
          <w:lang w:val="lt-LT"/>
        </w:rPr>
      </w:pPr>
    </w:p>
    <w:p w14:paraId="196253C1" w14:textId="6E7BB021" w:rsidR="00B5789C"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w:t>
      </w:r>
      <w:r w:rsidR="00672E6A" w:rsidRPr="005119D2">
        <w:rPr>
          <w:rFonts w:eastAsia="Segoe UI" w:cstheme="majorHAnsi"/>
          <w:lang w:val="lt-LT"/>
        </w:rPr>
        <w:t>6</w:t>
      </w:r>
      <w:r w:rsidRPr="005119D2">
        <w:rPr>
          <w:rFonts w:eastAsia="Segoe UI" w:cstheme="majorHAnsi"/>
          <w:lang w:val="lt-LT"/>
        </w:rPr>
        <w:t>. Užduočių registravimas</w:t>
      </w:r>
    </w:p>
    <w:p w14:paraId="5207AF84" w14:textId="20D037CF"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Tais atvejais, kai Paslaugų teikėjas negali atsakyti į kliento klausimą pirmojo kontakto metu, privalo būti užregistruota užduotis Paslaugų gavėjo sistemoje, aiškiai ir išsamiai aprašant situaciją.</w:t>
      </w:r>
    </w:p>
    <w:p w14:paraId="20F7A22D" w14:textId="1A20E3FE" w:rsidR="00B5789C"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w:t>
      </w:r>
      <w:r w:rsidR="00672E6A" w:rsidRPr="005119D2">
        <w:rPr>
          <w:rFonts w:eastAsia="Segoe UI" w:cstheme="majorHAnsi"/>
          <w:lang w:val="lt-LT"/>
        </w:rPr>
        <w:t>7</w:t>
      </w:r>
      <w:r w:rsidRPr="005119D2">
        <w:rPr>
          <w:rFonts w:eastAsia="Segoe UI" w:cstheme="majorHAnsi"/>
          <w:lang w:val="lt-LT"/>
        </w:rPr>
        <w:t>. Pirmo kontakto sprendimo rodiklis</w:t>
      </w:r>
    </w:p>
    <w:p w14:paraId="53AACC63" w14:textId="70A8ADC5"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kad</w:t>
      </w:r>
      <w:r w:rsidR="000A5BF2" w:rsidRPr="005119D2">
        <w:rPr>
          <w:rFonts w:asciiTheme="majorHAnsi" w:eastAsia="Segoe UI" w:hAnsiTheme="majorHAnsi" w:cstheme="majorHAnsi"/>
          <w:lang w:val="lt-LT"/>
        </w:rPr>
        <w:t xml:space="preserve"> per ataskaitinę</w:t>
      </w:r>
      <w:r w:rsidR="00825B07" w:rsidRPr="005119D2">
        <w:rPr>
          <w:rFonts w:asciiTheme="majorHAnsi" w:eastAsia="Segoe UI" w:hAnsiTheme="majorHAnsi" w:cstheme="majorHAnsi"/>
          <w:lang w:val="lt-LT"/>
        </w:rPr>
        <w:t xml:space="preserve"> </w:t>
      </w:r>
      <w:r w:rsidR="00197D00" w:rsidRPr="005119D2">
        <w:rPr>
          <w:rFonts w:asciiTheme="majorHAnsi" w:eastAsia="Segoe UI" w:hAnsiTheme="majorHAnsi" w:cstheme="majorHAnsi"/>
          <w:lang w:val="lt-LT"/>
        </w:rPr>
        <w:t>savaitę</w:t>
      </w:r>
      <w:r w:rsidRPr="005119D2">
        <w:rPr>
          <w:rFonts w:asciiTheme="majorHAnsi" w:eastAsia="Segoe UI" w:hAnsiTheme="majorHAnsi" w:cstheme="majorHAnsi"/>
          <w:lang w:val="lt-LT"/>
        </w:rPr>
        <w:t xml:space="preserve"> ne mažiau kaip 85 procentai klientų užklausų būtų išsprendžiamos pirmojo kontakto metu, neperduodant jų papildomam nagrinėjimui Paslaugų gavėjui.</w:t>
      </w:r>
    </w:p>
    <w:p w14:paraId="5C357C4B" w14:textId="7AD74071" w:rsidR="00B5789C"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w:t>
      </w:r>
      <w:r w:rsidR="00672E6A" w:rsidRPr="005119D2">
        <w:rPr>
          <w:rFonts w:eastAsia="Segoe UI" w:cstheme="majorHAnsi"/>
          <w:lang w:val="lt-LT"/>
        </w:rPr>
        <w:t>8</w:t>
      </w:r>
      <w:r w:rsidRPr="005119D2">
        <w:rPr>
          <w:rFonts w:eastAsia="Segoe UI" w:cstheme="majorHAnsi"/>
          <w:lang w:val="lt-LT"/>
        </w:rPr>
        <w:t>. Asmens duomenų apsauga</w:t>
      </w:r>
    </w:p>
    <w:p w14:paraId="3F8A9105" w14:textId="7BD09E5C"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tinkamą asmens duomenų apsaugą, laikantis Lietuvos Respublikos teisės aktų ir BDAR reikalavimų.</w:t>
      </w:r>
    </w:p>
    <w:p w14:paraId="691028DB" w14:textId="2ED01F98" w:rsidR="00B5789C"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w:t>
      </w:r>
      <w:r w:rsidR="00672E6A" w:rsidRPr="005119D2">
        <w:rPr>
          <w:rFonts w:eastAsia="Segoe UI" w:cstheme="majorHAnsi"/>
          <w:lang w:val="lt-LT"/>
        </w:rPr>
        <w:t>9</w:t>
      </w:r>
      <w:r w:rsidRPr="005119D2">
        <w:rPr>
          <w:rFonts w:eastAsia="Segoe UI" w:cstheme="majorHAnsi"/>
          <w:lang w:val="lt-LT"/>
        </w:rPr>
        <w:t>. Kalbos reikalavimai</w:t>
      </w:r>
    </w:p>
    <w:p w14:paraId="79848BDB" w14:textId="6032438B"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Klientams informacija turi būti teikiama laikantis Valstybinės lietuvių kalbos įstatymo reikalavimų.</w:t>
      </w:r>
    </w:p>
    <w:p w14:paraId="27648A07" w14:textId="624AFCD7"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Esant poreikiui, Paslaugų teikėjas privalo užtikrinti kokybišką klientų aptarnavimą anglų ir rusų kalbomis.</w:t>
      </w:r>
    </w:p>
    <w:p w14:paraId="1A8597D2" w14:textId="0158DD78" w:rsidR="00B5789C"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3.2.1</w:t>
      </w:r>
      <w:r w:rsidR="00672E6A" w:rsidRPr="005119D2">
        <w:rPr>
          <w:rFonts w:eastAsia="Segoe UI" w:cstheme="majorHAnsi"/>
          <w:lang w:val="lt-LT"/>
        </w:rPr>
        <w:t>0</w:t>
      </w:r>
      <w:r w:rsidRPr="005119D2">
        <w:rPr>
          <w:rFonts w:eastAsia="Segoe UI" w:cstheme="majorHAnsi"/>
          <w:lang w:val="lt-LT"/>
        </w:rPr>
        <w:t>. Informacijos vienodumas</w:t>
      </w:r>
    </w:p>
    <w:p w14:paraId="2C9F8EBE" w14:textId="3492DAD0" w:rsidR="00B5789C" w:rsidRPr="005119D2" w:rsidRDefault="37E96AB2"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Paslaugų teikėjas privalo užtikrinti, kad visi konsultantai klientams teiktų vienodą, suderintą ir aktualią informaciją</w:t>
      </w:r>
      <w:r w:rsidR="00BA16FD" w:rsidRPr="005119D2">
        <w:rPr>
          <w:rFonts w:asciiTheme="majorHAnsi" w:eastAsia="Segoe UI" w:hAnsiTheme="majorHAnsi" w:cstheme="majorHAnsi"/>
          <w:lang w:val="lt-LT"/>
        </w:rPr>
        <w:t>, kurią Paslaugų teikėjui pateikia Užsakovas.</w:t>
      </w:r>
    </w:p>
    <w:p w14:paraId="7B6473C0" w14:textId="4934F080" w:rsidR="00B5789C" w:rsidRPr="005119D2" w:rsidRDefault="37E96AB2"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3.2.1</w:t>
      </w:r>
      <w:r w:rsidR="00672E6A" w:rsidRPr="005119D2">
        <w:rPr>
          <w:rFonts w:eastAsia="Segoe UI" w:cstheme="majorHAnsi"/>
          <w:lang w:val="lt-LT"/>
        </w:rPr>
        <w:t>1</w:t>
      </w:r>
      <w:r w:rsidRPr="005119D2">
        <w:rPr>
          <w:rFonts w:eastAsia="Segoe UI" w:cstheme="majorHAnsi"/>
          <w:lang w:val="lt-LT"/>
        </w:rPr>
        <w:t>. Informacijos atnaujinimas</w:t>
      </w:r>
    </w:p>
    <w:p w14:paraId="77B508F3" w14:textId="5936E183"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kad konsultantų naudojama informacija (DUK, instrukcijos, gairės, scenarijai ir kita aktuali informacija) būtų atnaujinama ir perduodama konsultantams ne vėliau kaip per 1 darbo dien</w:t>
      </w:r>
      <w:r w:rsidR="00E80117" w:rsidRPr="005119D2">
        <w:rPr>
          <w:rFonts w:asciiTheme="majorHAnsi" w:eastAsia="Segoe UI" w:hAnsiTheme="majorHAnsi" w:cstheme="majorHAnsi"/>
          <w:lang w:val="lt-LT"/>
        </w:rPr>
        <w:t>ą</w:t>
      </w:r>
      <w:r w:rsidRPr="005119D2">
        <w:rPr>
          <w:rFonts w:asciiTheme="majorHAnsi" w:eastAsia="Segoe UI" w:hAnsiTheme="majorHAnsi" w:cstheme="majorHAnsi"/>
          <w:lang w:val="lt-LT"/>
        </w:rPr>
        <w:t xml:space="preserve"> nuo Paslaugų gavėjo pateiktos naujos ar atnaujintos informacijos gavimo momento.</w:t>
      </w:r>
    </w:p>
    <w:p w14:paraId="1EA7C417" w14:textId="186C588A" w:rsidR="00B5789C" w:rsidRPr="005119D2" w:rsidRDefault="37E96AB2"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Konsultantai turi būti nedelsiant supažindinti su pasikeitimais ir privalo taikyti atnaujintą informaciją klientų aptarnavimo metu.</w:t>
      </w:r>
    </w:p>
    <w:p w14:paraId="448092DE" w14:textId="29764BB0" w:rsidR="00B5789C" w:rsidRPr="005119D2" w:rsidRDefault="37E96AB2"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3.2.1</w:t>
      </w:r>
      <w:r w:rsidR="00672E6A" w:rsidRPr="005119D2">
        <w:rPr>
          <w:rFonts w:eastAsia="Segoe UI" w:cstheme="majorHAnsi"/>
          <w:lang w:val="lt-LT"/>
        </w:rPr>
        <w:t>2</w:t>
      </w:r>
      <w:r w:rsidRPr="005119D2">
        <w:rPr>
          <w:rFonts w:eastAsia="Segoe UI" w:cstheme="majorHAnsi"/>
          <w:lang w:val="lt-LT"/>
        </w:rPr>
        <w:t>. Klientų aptarnavimo standartas</w:t>
      </w:r>
    </w:p>
    <w:p w14:paraId="099BEE7B" w14:textId="5A35F329" w:rsidR="00F96CAD" w:rsidRPr="005119D2" w:rsidRDefault="37E96AB2" w:rsidP="005119D2">
      <w:pPr>
        <w:pStyle w:val="Betarp"/>
        <w:jc w:val="both"/>
        <w:rPr>
          <w:lang w:val="lt-LT"/>
        </w:rPr>
      </w:pPr>
      <w:r w:rsidRPr="005119D2">
        <w:rPr>
          <w:rFonts w:asciiTheme="majorHAnsi" w:eastAsia="Segoe UI" w:hAnsiTheme="majorHAnsi" w:cstheme="majorHAnsi"/>
          <w:lang w:val="lt-LT"/>
        </w:rPr>
        <w:t xml:space="preserve">Paslaugų teikėjas privalo užtikrinti, kad klientų konsultavimas būtų vykdomas laikantis Paslaugų gavėjo </w:t>
      </w:r>
      <w:r w:rsidR="00D070BF" w:rsidRPr="005119D2">
        <w:rPr>
          <w:rFonts w:asciiTheme="majorHAnsi" w:eastAsia="Segoe UI" w:hAnsiTheme="majorHAnsi" w:cstheme="majorHAnsi"/>
          <w:lang w:val="lt-LT"/>
        </w:rPr>
        <w:t>K</w:t>
      </w:r>
      <w:r w:rsidRPr="005119D2">
        <w:rPr>
          <w:rFonts w:asciiTheme="majorHAnsi" w:eastAsia="Segoe UI" w:hAnsiTheme="majorHAnsi" w:cstheme="majorHAnsi"/>
          <w:lang w:val="lt-LT"/>
        </w:rPr>
        <w:t>lientų aptarnavimo standarto</w:t>
      </w:r>
      <w:r w:rsidR="00450401" w:rsidRPr="005119D2">
        <w:rPr>
          <w:rFonts w:asciiTheme="majorHAnsi" w:eastAsia="Segoe UI" w:hAnsiTheme="majorHAnsi" w:cstheme="majorHAnsi"/>
          <w:lang w:val="lt-LT"/>
        </w:rPr>
        <w:t>, kuris perduodamas kartu su kita paslaugų teikimui reikalinga medžiaga</w:t>
      </w:r>
    </w:p>
    <w:p w14:paraId="5402781C" w14:textId="32448480" w:rsidR="00B5789C" w:rsidRPr="005119D2" w:rsidRDefault="7879C1A8" w:rsidP="005119D2">
      <w:pPr>
        <w:pStyle w:val="Betarp"/>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3.2.</w:t>
      </w:r>
      <w:r w:rsidR="24796599" w:rsidRPr="005119D2">
        <w:rPr>
          <w:rFonts w:asciiTheme="majorHAnsi" w:hAnsiTheme="majorHAnsi" w:cstheme="majorHAnsi"/>
          <w:b/>
          <w:bCs/>
          <w:color w:val="4F81BD" w:themeColor="accent1"/>
          <w:lang w:val="lt-LT"/>
        </w:rPr>
        <w:t>1</w:t>
      </w:r>
      <w:r w:rsidR="00672E6A" w:rsidRPr="005119D2">
        <w:rPr>
          <w:rFonts w:asciiTheme="majorHAnsi" w:hAnsiTheme="majorHAnsi" w:cstheme="majorHAnsi"/>
          <w:b/>
          <w:bCs/>
          <w:color w:val="4F81BD" w:themeColor="accent1"/>
          <w:lang w:val="lt-LT"/>
        </w:rPr>
        <w:t>3</w:t>
      </w:r>
      <w:r w:rsidRPr="005119D2">
        <w:rPr>
          <w:rFonts w:asciiTheme="majorHAnsi" w:hAnsiTheme="majorHAnsi" w:cstheme="majorHAnsi"/>
          <w:b/>
          <w:bCs/>
          <w:color w:val="4F81BD" w:themeColor="accent1"/>
          <w:lang w:val="lt-LT"/>
        </w:rPr>
        <w:t>. Perskambini</w:t>
      </w:r>
      <w:r w:rsidR="00F700A5" w:rsidRPr="005119D2">
        <w:rPr>
          <w:rFonts w:asciiTheme="majorHAnsi" w:hAnsiTheme="majorHAnsi" w:cstheme="majorHAnsi"/>
          <w:b/>
          <w:bCs/>
          <w:color w:val="4F81BD" w:themeColor="accent1"/>
          <w:lang w:val="lt-LT"/>
        </w:rPr>
        <w:t>mų tvarka</w:t>
      </w:r>
    </w:p>
    <w:p w14:paraId="5EF25A5E" w14:textId="0B07F1AB" w:rsidR="00B5789C" w:rsidRPr="005119D2" w:rsidRDefault="7879C1A8"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3.2.</w:t>
      </w:r>
      <w:r w:rsidR="005E15E1" w:rsidRPr="005119D2">
        <w:rPr>
          <w:rFonts w:asciiTheme="majorHAnsi" w:eastAsia="Segoe UI" w:hAnsiTheme="majorHAnsi" w:cstheme="majorHAnsi"/>
          <w:lang w:val="lt-LT"/>
        </w:rPr>
        <w:t>1</w:t>
      </w:r>
      <w:r w:rsidR="00672E6A" w:rsidRPr="005119D2">
        <w:rPr>
          <w:rFonts w:asciiTheme="majorHAnsi" w:eastAsia="Segoe UI" w:hAnsiTheme="majorHAnsi" w:cstheme="majorHAnsi"/>
          <w:lang w:val="lt-LT"/>
        </w:rPr>
        <w:t>3</w:t>
      </w:r>
      <w:r w:rsidRPr="005119D2">
        <w:rPr>
          <w:rFonts w:asciiTheme="majorHAnsi" w:eastAsia="Segoe UI" w:hAnsiTheme="majorHAnsi" w:cstheme="majorHAnsi"/>
          <w:lang w:val="lt-LT"/>
        </w:rPr>
        <w:t xml:space="preserve">.1. </w:t>
      </w:r>
      <w:r w:rsidR="002E2339" w:rsidRPr="005119D2">
        <w:rPr>
          <w:rFonts w:asciiTheme="majorHAnsi" w:eastAsia="Segoe UI" w:hAnsiTheme="majorHAnsi" w:cstheme="majorHAnsi"/>
          <w:lang w:val="lt-LT"/>
        </w:rPr>
        <w:t>Paslaugų teikėjas privalo užtikrinti perskambinimą klientui tą pačią darbo dieną nuo poreikio užregistravimo. Tais atvejais, kai 4 darbo valandų laikotarpis persikelia už darbo laiko ribų, perskambinimas turi būti įvykdytas ne vėliau kaip per 4 darbo valandas nuo kitos darbo dienos pradžios.</w:t>
      </w:r>
    </w:p>
    <w:p w14:paraId="7F1D78CB" w14:textId="4ACED701" w:rsidR="00B5789C" w:rsidRPr="005119D2" w:rsidRDefault="7879C1A8"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3.2.</w:t>
      </w:r>
      <w:r w:rsidR="005E15E1" w:rsidRPr="005119D2">
        <w:rPr>
          <w:rFonts w:asciiTheme="majorHAnsi" w:eastAsia="Segoe UI" w:hAnsiTheme="majorHAnsi" w:cstheme="majorHAnsi"/>
          <w:lang w:val="lt-LT"/>
        </w:rPr>
        <w:t>1</w:t>
      </w:r>
      <w:r w:rsidR="00672E6A" w:rsidRPr="005119D2">
        <w:rPr>
          <w:rFonts w:asciiTheme="majorHAnsi" w:eastAsia="Segoe UI" w:hAnsiTheme="majorHAnsi" w:cstheme="majorHAnsi"/>
          <w:lang w:val="lt-LT"/>
        </w:rPr>
        <w:t>3</w:t>
      </w:r>
      <w:r w:rsidRPr="005119D2">
        <w:rPr>
          <w:rFonts w:asciiTheme="majorHAnsi" w:eastAsia="Segoe UI" w:hAnsiTheme="majorHAnsi" w:cstheme="majorHAnsi"/>
          <w:lang w:val="lt-LT"/>
        </w:rPr>
        <w:t>.2. Nepavykus susisiekti pirmojo bandymo metu, Paslaugų teikėjas privalo atlikti ne mažiau kaip 2 papildomus bandymus susisiekti su klientu tą pačią darbo dieną.</w:t>
      </w:r>
    </w:p>
    <w:p w14:paraId="620F4605" w14:textId="7C1B2FCE" w:rsidR="00B5789C" w:rsidRPr="005119D2" w:rsidRDefault="7879C1A8"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3.2.</w:t>
      </w:r>
      <w:r w:rsidR="005E15E1" w:rsidRPr="005119D2">
        <w:rPr>
          <w:rFonts w:asciiTheme="majorHAnsi" w:eastAsia="Segoe UI" w:hAnsiTheme="majorHAnsi" w:cstheme="majorHAnsi"/>
          <w:lang w:val="lt-LT"/>
        </w:rPr>
        <w:t>1</w:t>
      </w:r>
      <w:r w:rsidR="00672E6A" w:rsidRPr="005119D2">
        <w:rPr>
          <w:rFonts w:asciiTheme="majorHAnsi" w:eastAsia="Segoe UI" w:hAnsiTheme="majorHAnsi" w:cstheme="majorHAnsi"/>
          <w:lang w:val="lt-LT"/>
        </w:rPr>
        <w:t>3</w:t>
      </w:r>
      <w:r w:rsidRPr="005119D2">
        <w:rPr>
          <w:rFonts w:asciiTheme="majorHAnsi" w:eastAsia="Segoe UI" w:hAnsiTheme="majorHAnsi" w:cstheme="majorHAnsi"/>
          <w:lang w:val="lt-LT"/>
        </w:rPr>
        <w:t>.3. Visi bandymai susisiekti su klientu privalo būti registruojami Paslaugų gavėjo sistemose.</w:t>
      </w:r>
    </w:p>
    <w:p w14:paraId="5030997F" w14:textId="3A05E800" w:rsidR="00B5789C" w:rsidRPr="005119D2" w:rsidRDefault="7879C1A8"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3.2.</w:t>
      </w:r>
      <w:r w:rsidR="3759AB26" w:rsidRPr="005119D2">
        <w:rPr>
          <w:rFonts w:eastAsia="Segoe UI" w:cstheme="majorHAnsi"/>
          <w:lang w:val="lt-LT"/>
        </w:rPr>
        <w:t>1</w:t>
      </w:r>
      <w:r w:rsidR="00672E6A" w:rsidRPr="005119D2">
        <w:rPr>
          <w:rFonts w:eastAsia="Segoe UI" w:cstheme="majorHAnsi"/>
          <w:lang w:val="lt-LT"/>
        </w:rPr>
        <w:t>4</w:t>
      </w:r>
      <w:r w:rsidRPr="005119D2">
        <w:rPr>
          <w:rFonts w:eastAsia="Segoe UI" w:cstheme="majorHAnsi"/>
          <w:lang w:val="lt-LT"/>
        </w:rPr>
        <w:t>. Žinių bazė</w:t>
      </w:r>
    </w:p>
    <w:p w14:paraId="385E29D4" w14:textId="24EC839F" w:rsidR="00B5789C" w:rsidRPr="005119D2" w:rsidRDefault="7879C1A8"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naudoti centralizuotą žinių bazę, skirtą konsultantams klientų aptarnavimo metu naudoti aktualią informaciją.</w:t>
      </w:r>
    </w:p>
    <w:p w14:paraId="15E10FE1" w14:textId="6844F948" w:rsidR="00B5789C" w:rsidRPr="005119D2" w:rsidRDefault="7879C1A8" w:rsidP="005119D2">
      <w:pPr>
        <w:pStyle w:val="Antrat2"/>
        <w:numPr>
          <w:ilvl w:val="0"/>
          <w:numId w:val="0"/>
        </w:numPr>
        <w:spacing w:before="0" w:line="240" w:lineRule="auto"/>
        <w:jc w:val="both"/>
        <w:rPr>
          <w:rFonts w:cstheme="majorHAnsi"/>
          <w:sz w:val="22"/>
          <w:szCs w:val="22"/>
          <w:lang w:val="lt-LT"/>
        </w:rPr>
      </w:pPr>
      <w:r w:rsidRPr="005119D2">
        <w:rPr>
          <w:rFonts w:eastAsia="Segoe UI" w:cstheme="majorHAnsi"/>
          <w:sz w:val="22"/>
          <w:szCs w:val="22"/>
          <w:lang w:val="lt-LT"/>
        </w:rPr>
        <w:t>3.3. Skambučių klasifikavimas</w:t>
      </w:r>
    </w:p>
    <w:p w14:paraId="2FEBA185" w14:textId="5A0CB2D9" w:rsidR="00B5789C" w:rsidRPr="005119D2" w:rsidRDefault="7879C1A8"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3.3.1. Paslaugų teikėjas privalo užtikrinti klientų skambučių klasifikavimą pagal temas ir potemes, suderintas su Paslaugų gavėju.</w:t>
      </w:r>
    </w:p>
    <w:p w14:paraId="74B329FA" w14:textId="13A3F145" w:rsidR="00B5789C" w:rsidRPr="005119D2" w:rsidRDefault="7879C1A8"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3.3.2. Skambučių temų skaičius nėra ribojamas, o jų keitimas ar papildymas laikomas paslaugos dalimi ir nėra papildomai apmokestinamas.</w:t>
      </w:r>
    </w:p>
    <w:p w14:paraId="07069216" w14:textId="575EBD71" w:rsidR="00B5789C" w:rsidRPr="005119D2" w:rsidRDefault="34EB010B" w:rsidP="005119D2">
      <w:pPr>
        <w:pStyle w:val="Antrat1"/>
        <w:numPr>
          <w:ilvl w:val="0"/>
          <w:numId w:val="0"/>
        </w:numPr>
        <w:spacing w:before="0" w:line="240" w:lineRule="auto"/>
        <w:jc w:val="both"/>
        <w:rPr>
          <w:rFonts w:cstheme="majorHAnsi"/>
          <w:color w:val="4F81BD" w:themeColor="accent1"/>
          <w:sz w:val="22"/>
          <w:szCs w:val="22"/>
          <w:lang w:val="lt-LT"/>
        </w:rPr>
      </w:pPr>
      <w:r w:rsidRPr="005119D2">
        <w:rPr>
          <w:rFonts w:eastAsia="Segoe UI" w:cstheme="majorHAnsi"/>
          <w:color w:val="4F81BD" w:themeColor="accent1"/>
          <w:sz w:val="22"/>
          <w:szCs w:val="22"/>
          <w:lang w:val="lt-LT"/>
        </w:rPr>
        <w:t>3.4. REIKALAVIMAI PASLAUGŲ KOKYBEI</w:t>
      </w:r>
    </w:p>
    <w:p w14:paraId="498077BA" w14:textId="74DD359B" w:rsidR="00B5789C" w:rsidRPr="005119D2" w:rsidRDefault="34EB010B" w:rsidP="005119D2">
      <w:pPr>
        <w:pStyle w:val="Antrat1"/>
        <w:numPr>
          <w:ilvl w:val="0"/>
          <w:numId w:val="0"/>
        </w:numPr>
        <w:spacing w:before="0" w:line="240" w:lineRule="auto"/>
        <w:jc w:val="both"/>
        <w:rPr>
          <w:rFonts w:cstheme="majorHAnsi"/>
          <w:color w:val="4F81BD" w:themeColor="accent1"/>
          <w:sz w:val="22"/>
          <w:szCs w:val="22"/>
          <w:lang w:val="lt-LT"/>
        </w:rPr>
      </w:pPr>
      <w:r w:rsidRPr="005119D2">
        <w:rPr>
          <w:rFonts w:eastAsia="Segoe UI" w:cstheme="majorHAnsi"/>
          <w:color w:val="4F81BD" w:themeColor="accent1"/>
          <w:sz w:val="22"/>
          <w:szCs w:val="22"/>
          <w:lang w:val="lt-LT"/>
        </w:rPr>
        <w:t>3.4.1. Aptarnavimo lygis (SLA)</w:t>
      </w:r>
    </w:p>
    <w:p w14:paraId="1EA3412B" w14:textId="39EC12C5"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aptarnavimo lygį (SLA), kuris negali būti mažesnis kaip 80/20, t. y. ne mažiau kaip 80 procentų įeinančių skambučių turi būti atsakyta per 20 sekundžių.</w:t>
      </w:r>
    </w:p>
    <w:p w14:paraId="6B7FE597" w14:textId="11E398B6" w:rsidR="00B5789C" w:rsidRPr="005119D2" w:rsidRDefault="34EB010B"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3.4.2. Prarasti skambučiai</w:t>
      </w:r>
    </w:p>
    <w:p w14:paraId="2E1AC987" w14:textId="3C548321"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Prarastų (neatsakytų) skambučių dalis negali viršyti 5 procentų per</w:t>
      </w:r>
      <w:r w:rsidR="00AD5957" w:rsidRPr="005119D2">
        <w:rPr>
          <w:rFonts w:asciiTheme="majorHAnsi" w:eastAsia="Segoe UI" w:hAnsiTheme="majorHAnsi" w:cstheme="majorHAnsi"/>
          <w:lang w:val="lt-LT"/>
        </w:rPr>
        <w:t xml:space="preserve">    </w:t>
      </w:r>
      <w:r w:rsidR="00DA062A" w:rsidRPr="005119D2">
        <w:rPr>
          <w:rFonts w:asciiTheme="majorHAnsi" w:eastAsia="Segoe UI" w:hAnsiTheme="majorHAnsi" w:cstheme="majorHAnsi"/>
          <w:lang w:val="lt-LT"/>
        </w:rPr>
        <w:t>savaitę.</w:t>
      </w:r>
    </w:p>
    <w:p w14:paraId="75A10647" w14:textId="67CF9F95"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nuolat stebėti skambučių praradimo rodiklius ir imtis operatyvių veiksmų jų mažinimui.</w:t>
      </w:r>
    </w:p>
    <w:p w14:paraId="35E4B145" w14:textId="51AE0359" w:rsidR="00B5789C" w:rsidRPr="005119D2" w:rsidRDefault="34EB010B"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3.4.3. Klientų vertinimas</w:t>
      </w:r>
    </w:p>
    <w:p w14:paraId="05E5621A" w14:textId="2BBACE7E"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Ne mažiau kaip 85 procentai klientų turi suteiktą aptarnavimą įvertinti teigiamai.</w:t>
      </w:r>
    </w:p>
    <w:p w14:paraId="2AB789DD" w14:textId="793FEF35" w:rsidR="00B5789C" w:rsidRPr="005119D2" w:rsidRDefault="34EB010B"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3.4.4. Vertinimo skalė</w:t>
      </w:r>
    </w:p>
    <w:p w14:paraId="3900E0A5" w14:textId="0D57441D"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Teigiamu kliento aptarnavimo vertinimu laikomas 4–5 balų įvertinimas pagal 1–5 balų vertinimo skalę.</w:t>
      </w:r>
    </w:p>
    <w:p w14:paraId="6D46F242" w14:textId="66D528E8" w:rsidR="00B5789C" w:rsidRPr="005119D2" w:rsidRDefault="34EB010B"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3.4.5. Konsultantų kompetencijos vertinimas</w:t>
      </w:r>
    </w:p>
    <w:p w14:paraId="12EC9240" w14:textId="7EEB20AC"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kad ne mažiau kaip 90 procentų konsultantų išlaikytų Paslaugų gavėjo nustatytus žinių patikrinimo testus, surinkdami ne mažiau kaip 85 procentų rezultatą.</w:t>
      </w:r>
    </w:p>
    <w:p w14:paraId="0432473C" w14:textId="1C4F1442" w:rsidR="00B5789C" w:rsidRPr="005119D2" w:rsidRDefault="34EB010B" w:rsidP="005119D2">
      <w:pPr>
        <w:spacing w:after="0" w:line="240" w:lineRule="auto"/>
        <w:jc w:val="both"/>
        <w:rPr>
          <w:rFonts w:asciiTheme="majorHAnsi" w:eastAsia="Segoe UI" w:hAnsiTheme="majorHAnsi" w:cstheme="majorHAnsi"/>
          <w:b/>
          <w:bCs/>
          <w:lang w:val="lt-LT"/>
        </w:rPr>
      </w:pPr>
      <w:r w:rsidRPr="005119D2">
        <w:rPr>
          <w:rFonts w:asciiTheme="majorHAnsi" w:eastAsia="Segoe UI" w:hAnsiTheme="majorHAnsi" w:cstheme="majorHAnsi"/>
          <w:lang w:val="lt-LT"/>
        </w:rPr>
        <w:t>Neatitikimo atveju Paslaugų teikėjas privalo nedelsdamas taikyti konsultantų mokymo, kompetencijos atkūrimo ar papildomo vertinimo priemones.</w:t>
      </w:r>
    </w:p>
    <w:p w14:paraId="2A7834C1" w14:textId="4E6E9859" w:rsidR="00B5789C" w:rsidRPr="005119D2" w:rsidRDefault="34EB010B" w:rsidP="005119D2">
      <w:pPr>
        <w:spacing w:after="0" w:line="240" w:lineRule="auto"/>
        <w:jc w:val="both"/>
        <w:rPr>
          <w:rFonts w:asciiTheme="majorHAnsi" w:eastAsia="Segoe UI" w:hAnsiTheme="majorHAnsi" w:cstheme="majorHAnsi"/>
          <w:b/>
          <w:bCs/>
          <w:color w:val="4F81BD" w:themeColor="accent1"/>
          <w:lang w:val="lt-LT"/>
        </w:rPr>
      </w:pPr>
      <w:r w:rsidRPr="005119D2">
        <w:rPr>
          <w:rFonts w:asciiTheme="majorHAnsi" w:eastAsia="Segoe UI" w:hAnsiTheme="majorHAnsi" w:cstheme="majorHAnsi"/>
          <w:b/>
          <w:bCs/>
          <w:color w:val="4F81BD" w:themeColor="accent1"/>
          <w:lang w:val="lt-LT"/>
        </w:rPr>
        <w:t>3.4.6. Pokalbių įrašymas ir saugojimas</w:t>
      </w:r>
    </w:p>
    <w:p w14:paraId="5DA6F4AA" w14:textId="0BFE1B09"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kad visi konsultantų pokalbiai su klientais būtų įrašomi ir saugomi ne trumpiau kaip 12 mėnesių nuo pokalbio įrašymo dienos.</w:t>
      </w:r>
    </w:p>
    <w:p w14:paraId="6E0C53F6" w14:textId="381C57AF"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Pokalbių įrašai turi būti saugomi taip, kad Paslaugų gavėjas galėtų juos naudoti paslaugų kokybės vertinimui, kontrolei ir ginčų nagrinėjimui.</w:t>
      </w:r>
    </w:p>
    <w:p w14:paraId="04AE8107" w14:textId="258B446D" w:rsidR="00B5789C" w:rsidRPr="005119D2" w:rsidRDefault="34EB010B"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3.4.7. Savaitinis paslaugų kokybės vertinimas</w:t>
      </w:r>
    </w:p>
    <w:p w14:paraId="0F4A70F8" w14:textId="6D51BB96"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ne rečiau kaip vieną kartą per savaitę atlikti teikiamų paslaugų kokybės vertinimą pagal šiame skyriuje nustatytus rodiklius ir pateikti Paslaugų gavėjui savaitinę paslaugų kokybės ataskaitą.</w:t>
      </w:r>
    </w:p>
    <w:p w14:paraId="3FB8E90D" w14:textId="7AF619D8"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Savaitinėje paslaugų kokybės ataskaitoje privaloma pateikti:</w:t>
      </w:r>
    </w:p>
    <w:p w14:paraId="4EE28AAC" w14:textId="12579F5B" w:rsidR="00B5789C" w:rsidRPr="005119D2" w:rsidRDefault="34EB010B" w:rsidP="006C7AB7">
      <w:pPr>
        <w:pStyle w:val="Sraopastraipa"/>
        <w:numPr>
          <w:ilvl w:val="0"/>
          <w:numId w:val="22"/>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šiame skyriuje nustatytų kokybės rodiklių (įskaitant SLA ir prarastų skambučių rodiklius) laikymosi analizę su faktiniais duomenimis;</w:t>
      </w:r>
    </w:p>
    <w:p w14:paraId="0C24E51A" w14:textId="2F8B8F5C" w:rsidR="00B5789C" w:rsidRPr="005119D2" w:rsidRDefault="34EB010B" w:rsidP="006C7AB7">
      <w:pPr>
        <w:pStyle w:val="Sraopastraipa"/>
        <w:numPr>
          <w:ilvl w:val="0"/>
          <w:numId w:val="22"/>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per ataskaitinį laikotarpį nustatytus neatitikimus;</w:t>
      </w:r>
    </w:p>
    <w:p w14:paraId="00F515BC" w14:textId="312708CC" w:rsidR="00B5789C" w:rsidRPr="005119D2" w:rsidRDefault="34EB010B" w:rsidP="006C7AB7">
      <w:pPr>
        <w:pStyle w:val="Sraopastraipa"/>
        <w:numPr>
          <w:ilvl w:val="0"/>
          <w:numId w:val="22"/>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konkrečius taikytus arba planuojamus korekcinius veiksmus bei jų įgyvendinimo terminus;</w:t>
      </w:r>
    </w:p>
    <w:p w14:paraId="42B6C1B0" w14:textId="2900E900" w:rsidR="00B5789C" w:rsidRPr="005119D2" w:rsidRDefault="34EB010B" w:rsidP="006C7AB7">
      <w:pPr>
        <w:pStyle w:val="Sraopastraipa"/>
        <w:numPr>
          <w:ilvl w:val="0"/>
          <w:numId w:val="22"/>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informaciją apie konsultantų mokymus ir kompetencijos gerinimo priemones.</w:t>
      </w:r>
    </w:p>
    <w:p w14:paraId="3FEF8E66" w14:textId="231BBCE5"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Ataskaita turi būti pateikiama raštu, su Paslaugų gavėju suderintu formatu, ir naudojama nuolatinei paslaugų kokybės stebėsenai ir kontrolei.</w:t>
      </w:r>
    </w:p>
    <w:p w14:paraId="5A696208" w14:textId="49C17EE3"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Neišsami, formali ar faktinių duomenų neatspindinti ataskaita laikoma paslaugų kokybės reikalavimų nesilaikymu.</w:t>
      </w:r>
    </w:p>
    <w:p w14:paraId="13DC3976" w14:textId="73EB0E06" w:rsidR="00B5789C" w:rsidRPr="005119D2" w:rsidRDefault="34EB010B"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3.4.8. Realaus laiko pokalbių stebėsena</w:t>
      </w:r>
    </w:p>
    <w:p w14:paraId="3DE94F12" w14:textId="04071840" w:rsidR="00B5789C" w:rsidRPr="005119D2" w:rsidRDefault="34EB010B"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gavėjui turi būti suteikta galimybė ne mažiau kaip 2 (dviem) Paslaugų gavėjo atstovams realiu laiku klausyti konsultantų pokalbių.</w:t>
      </w:r>
    </w:p>
    <w:p w14:paraId="7E472FC2" w14:textId="6C8FF7FC" w:rsidR="00B5789C" w:rsidRPr="005119D2" w:rsidRDefault="581B7B8F" w:rsidP="005119D2">
      <w:pPr>
        <w:pStyle w:val="Antrat1"/>
        <w:numPr>
          <w:ilvl w:val="0"/>
          <w:numId w:val="0"/>
        </w:numPr>
        <w:spacing w:before="0" w:line="240" w:lineRule="auto"/>
        <w:jc w:val="both"/>
        <w:rPr>
          <w:rFonts w:eastAsia="Segoe UI" w:cstheme="majorHAnsi"/>
          <w:sz w:val="22"/>
          <w:szCs w:val="22"/>
          <w:lang w:val="lt-LT"/>
        </w:rPr>
      </w:pPr>
      <w:r w:rsidRPr="005119D2">
        <w:rPr>
          <w:rFonts w:eastAsia="Segoe UI" w:cstheme="majorHAnsi"/>
          <w:sz w:val="22"/>
          <w:szCs w:val="22"/>
          <w:lang w:val="lt-LT"/>
        </w:rPr>
        <w:t>3.5. REIKALAVIMAI ATASKAITOMS IR VERTINIMUI</w:t>
      </w:r>
    </w:p>
    <w:p w14:paraId="0AFE5FC6" w14:textId="492945FF" w:rsidR="00B5789C" w:rsidRPr="005119D2" w:rsidRDefault="581B7B8F"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3.5.1. Ataskaitų teikimas</w:t>
      </w:r>
    </w:p>
    <w:p w14:paraId="0E6A0E01" w14:textId="2FDFEAB7"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teikti Paslaugų gavėjui savaitines ir mėnesines ataskaitas apie paslaugų teikimą, klientų aptarnavimo rezultatus bei nustatytų kokybės rodiklių pasiekimą.</w:t>
      </w:r>
    </w:p>
    <w:p w14:paraId="7A9979C4" w14:textId="35BEB080"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Savaitinė ataskaita turi būti pateikiama ne vėliau kaip per 2 darbo dienas po ataskaitinės savaitės pabaigos.</w:t>
      </w:r>
    </w:p>
    <w:p w14:paraId="2C3B3B23" w14:textId="334E976B"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Ataskaitos turi būti parengtos taip, kad būtų tinkamos naudoti Paslaugų gavėjo vidaus analizei ir pristatymui vadovybei.</w:t>
      </w:r>
    </w:p>
    <w:p w14:paraId="15C1B543" w14:textId="3A382EC2"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Ataskaitos teikiamos elektroniniu būdu:</w:t>
      </w:r>
    </w:p>
    <w:p w14:paraId="6EE34490" w14:textId="623CC52D" w:rsidR="00B5789C" w:rsidRPr="005119D2" w:rsidRDefault="581B7B8F" w:rsidP="006C7AB7">
      <w:pPr>
        <w:pStyle w:val="Sraopastraipa"/>
        <w:numPr>
          <w:ilvl w:val="0"/>
          <w:numId w:val="23"/>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Excel (.</w:t>
      </w:r>
      <w:proofErr w:type="spellStart"/>
      <w:r w:rsidRPr="005119D2">
        <w:rPr>
          <w:rFonts w:asciiTheme="majorHAnsi" w:eastAsia="Segoe UI" w:hAnsiTheme="majorHAnsi" w:cstheme="majorHAnsi"/>
          <w:lang w:val="lt-LT"/>
        </w:rPr>
        <w:t>xlsx</w:t>
      </w:r>
      <w:proofErr w:type="spellEnd"/>
      <w:r w:rsidRPr="005119D2">
        <w:rPr>
          <w:rFonts w:asciiTheme="majorHAnsi" w:eastAsia="Segoe UI" w:hAnsiTheme="majorHAnsi" w:cstheme="majorHAnsi"/>
          <w:lang w:val="lt-LT"/>
        </w:rPr>
        <w:t>) formatu, skirtu duomenų analizei;</w:t>
      </w:r>
    </w:p>
    <w:p w14:paraId="032031E6" w14:textId="294D137C" w:rsidR="00B5789C" w:rsidRPr="005119D2" w:rsidRDefault="581B7B8F" w:rsidP="006C7AB7">
      <w:pPr>
        <w:pStyle w:val="Sraopastraipa"/>
        <w:numPr>
          <w:ilvl w:val="0"/>
          <w:numId w:val="23"/>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esant poreikiui – papildomai PDF formatu, skirtu vizualinei peržiūrai.</w:t>
      </w:r>
    </w:p>
    <w:p w14:paraId="1C3627F6" w14:textId="56B381FC"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Papildomai, esant Paslaugų gavėjo poreikiui, Paslaugų teikėjas privalo teikti operatyvines ataskaitas už praėjusią darbo dieną iki kitos darbo dienos 08.00 val. arba pagal su Paslaugų gavėju suderintą periodiškumą.</w:t>
      </w:r>
    </w:p>
    <w:p w14:paraId="0BD89B15" w14:textId="7269C961" w:rsidR="00B5789C" w:rsidRPr="005119D2" w:rsidRDefault="581B7B8F"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3.5.2. Konsultantų kokybės vertinimas</w:t>
      </w:r>
    </w:p>
    <w:p w14:paraId="30360B32" w14:textId="1536F874"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vykdyti konsultantų klientų aptarnavimo kokybės vertinimą vadovaudamasis:</w:t>
      </w:r>
    </w:p>
    <w:p w14:paraId="4F040111" w14:textId="5169A8AF" w:rsidR="00B5789C" w:rsidRPr="005119D2" w:rsidRDefault="581B7B8F" w:rsidP="006C7AB7">
      <w:pPr>
        <w:pStyle w:val="Sraopastraipa"/>
        <w:numPr>
          <w:ilvl w:val="0"/>
          <w:numId w:val="24"/>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VASA klientų aptarnavimo standartu;</w:t>
      </w:r>
    </w:p>
    <w:p w14:paraId="5B1B4077" w14:textId="60F07F4F" w:rsidR="00B5789C" w:rsidRPr="005119D2" w:rsidRDefault="581B7B8F" w:rsidP="006C7AB7">
      <w:pPr>
        <w:pStyle w:val="Sraopastraipa"/>
        <w:numPr>
          <w:ilvl w:val="0"/>
          <w:numId w:val="24"/>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VASA vidaus taisyklėmis ir procedūromis;</w:t>
      </w:r>
    </w:p>
    <w:p w14:paraId="12EE6B97" w14:textId="72FA6E61" w:rsidR="00B5789C" w:rsidRPr="005119D2" w:rsidRDefault="581B7B8F" w:rsidP="006C7AB7">
      <w:pPr>
        <w:pStyle w:val="Sraopastraipa"/>
        <w:numPr>
          <w:ilvl w:val="0"/>
          <w:numId w:val="24"/>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galiojančiais teisės aktais;</w:t>
      </w:r>
    </w:p>
    <w:p w14:paraId="3BB04181" w14:textId="25F448E1" w:rsidR="00B5789C" w:rsidRPr="005119D2" w:rsidRDefault="581B7B8F" w:rsidP="006C7AB7">
      <w:pPr>
        <w:pStyle w:val="Sraopastraipa"/>
        <w:numPr>
          <w:ilvl w:val="0"/>
          <w:numId w:val="24"/>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Techninės specifikacijos priede Nr. 1 pateikta konsultantų kokybės vertinimo anketa.</w:t>
      </w:r>
    </w:p>
    <w:p w14:paraId="7E702579" w14:textId="3ABB5542"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Kokybės vertinimas turi būti atliekamas nuosekliai ir užtikrinant objektyvų paslaugų kokybės vertinimą.</w:t>
      </w:r>
    </w:p>
    <w:p w14:paraId="0AA93834" w14:textId="1AF8E4B6" w:rsidR="00B5789C" w:rsidRPr="005119D2" w:rsidRDefault="581B7B8F"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3.5.3. Vertinimo imtis ir periodiškumas</w:t>
      </w:r>
    </w:p>
    <w:p w14:paraId="3C6550E7" w14:textId="3E145F9B"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kad per kiekvieną kalendorinį mėnesį būtų įvertinta ne mažiau kaip 10 klientų aptarnavimo pokalbių.</w:t>
      </w:r>
    </w:p>
    <w:p w14:paraId="4E9F35D7" w14:textId="6C6082E8"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Vertinimai turi būti atliekami nuolat ir paskirstyti per visą ataskaitinį laikotarpį, užtikrinant, kad vertinimas nebūtų atliekamas vien tik vienu laikotarpiu.</w:t>
      </w:r>
    </w:p>
    <w:p w14:paraId="67B82151" w14:textId="2B09F37C"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Vertinimo imtis turi būti sudaroma taip, kad ji atspindėtų skirtingas klientų aptarnavimo situacijas, įskaitant:</w:t>
      </w:r>
    </w:p>
    <w:p w14:paraId="34FA515E" w14:textId="4724EF1B" w:rsidR="00B5789C" w:rsidRPr="005119D2" w:rsidRDefault="581B7B8F" w:rsidP="006C7AB7">
      <w:pPr>
        <w:pStyle w:val="Sraopastraipa"/>
        <w:numPr>
          <w:ilvl w:val="0"/>
          <w:numId w:val="9"/>
        </w:numPr>
        <w:spacing w:after="0" w:line="240" w:lineRule="auto"/>
        <w:ind w:left="360"/>
        <w:jc w:val="both"/>
        <w:rPr>
          <w:rFonts w:asciiTheme="majorHAnsi" w:eastAsia="Segoe UI" w:hAnsiTheme="majorHAnsi" w:cstheme="majorHAnsi"/>
          <w:lang w:val="lt-LT"/>
        </w:rPr>
      </w:pPr>
      <w:r w:rsidRPr="005119D2">
        <w:rPr>
          <w:rFonts w:asciiTheme="majorHAnsi" w:eastAsia="Segoe UI" w:hAnsiTheme="majorHAnsi" w:cstheme="majorHAnsi"/>
          <w:lang w:val="lt-LT"/>
        </w:rPr>
        <w:t>teigiamai klientų įvertintus pokalbius;</w:t>
      </w:r>
    </w:p>
    <w:p w14:paraId="53E15385" w14:textId="497D10A0" w:rsidR="00B5789C" w:rsidRPr="005119D2" w:rsidRDefault="581B7B8F" w:rsidP="006C7AB7">
      <w:pPr>
        <w:pStyle w:val="Sraopastraipa"/>
        <w:numPr>
          <w:ilvl w:val="0"/>
          <w:numId w:val="9"/>
        </w:numPr>
        <w:spacing w:after="0" w:line="240" w:lineRule="auto"/>
        <w:ind w:left="360"/>
        <w:jc w:val="both"/>
        <w:rPr>
          <w:rFonts w:asciiTheme="majorHAnsi" w:eastAsia="Segoe UI" w:hAnsiTheme="majorHAnsi" w:cstheme="majorHAnsi"/>
          <w:lang w:val="lt-LT"/>
        </w:rPr>
      </w:pPr>
      <w:r w:rsidRPr="005119D2">
        <w:rPr>
          <w:rFonts w:asciiTheme="majorHAnsi" w:eastAsia="Segoe UI" w:hAnsiTheme="majorHAnsi" w:cstheme="majorHAnsi"/>
          <w:lang w:val="lt-LT"/>
        </w:rPr>
        <w:t>vidutiniškai įvertintus pokalbius;</w:t>
      </w:r>
    </w:p>
    <w:p w14:paraId="3DCD2237" w14:textId="3EFF56A3" w:rsidR="00B5789C" w:rsidRPr="005119D2" w:rsidRDefault="581B7B8F" w:rsidP="006C7AB7">
      <w:pPr>
        <w:pStyle w:val="Sraopastraipa"/>
        <w:numPr>
          <w:ilvl w:val="0"/>
          <w:numId w:val="9"/>
        </w:numPr>
        <w:spacing w:after="0" w:line="240" w:lineRule="auto"/>
        <w:ind w:left="360"/>
        <w:jc w:val="both"/>
        <w:rPr>
          <w:rFonts w:asciiTheme="majorHAnsi" w:eastAsia="Segoe UI" w:hAnsiTheme="majorHAnsi" w:cstheme="majorHAnsi"/>
          <w:lang w:val="lt-LT"/>
        </w:rPr>
      </w:pPr>
      <w:r w:rsidRPr="005119D2">
        <w:rPr>
          <w:rFonts w:asciiTheme="majorHAnsi" w:eastAsia="Segoe UI" w:hAnsiTheme="majorHAnsi" w:cstheme="majorHAnsi"/>
          <w:lang w:val="lt-LT"/>
        </w:rPr>
        <w:t>neigiamai įvertintus ar probleminius pokalbius;</w:t>
      </w:r>
    </w:p>
    <w:p w14:paraId="04B145D4" w14:textId="7BC5A832" w:rsidR="00B5789C" w:rsidRPr="005119D2" w:rsidRDefault="581B7B8F" w:rsidP="006C7AB7">
      <w:pPr>
        <w:pStyle w:val="Sraopastraipa"/>
        <w:numPr>
          <w:ilvl w:val="0"/>
          <w:numId w:val="9"/>
        </w:numPr>
        <w:spacing w:after="0" w:line="240" w:lineRule="auto"/>
        <w:ind w:left="360"/>
        <w:jc w:val="both"/>
        <w:rPr>
          <w:rFonts w:asciiTheme="majorHAnsi" w:eastAsia="Segoe UI" w:hAnsiTheme="majorHAnsi" w:cstheme="majorHAnsi"/>
          <w:lang w:val="lt-LT"/>
        </w:rPr>
      </w:pPr>
      <w:r w:rsidRPr="005119D2">
        <w:rPr>
          <w:rFonts w:asciiTheme="majorHAnsi" w:eastAsia="Segoe UI" w:hAnsiTheme="majorHAnsi" w:cstheme="majorHAnsi"/>
          <w:lang w:val="lt-LT"/>
        </w:rPr>
        <w:t>atsitiktine tvarka atrinktus pokalbius.</w:t>
      </w:r>
    </w:p>
    <w:p w14:paraId="49467984" w14:textId="05C41B7C"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užtikrinti, kad vertinimo imtis būtų reprezentatyvi ir nebūtų sudaryta tik iš geriausių aptarnavimo atvejų.</w:t>
      </w:r>
    </w:p>
    <w:p w14:paraId="4D99077E" w14:textId="59932BC6" w:rsidR="00B5789C" w:rsidRPr="005119D2" w:rsidRDefault="581B7B8F"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 xml:space="preserve">3.5.4. Vertinimų pateikimo įpareigojimas </w:t>
      </w:r>
    </w:p>
    <w:p w14:paraId="244A4B0D" w14:textId="5299F025"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pateikti Paslaugų gavėjui atliktų kokybės vertinimų rezultatus ne rečiau kaip kartą per savaitę kartu su savaitine kokybės ataskaita.</w:t>
      </w:r>
    </w:p>
    <w:p w14:paraId="22D976D5" w14:textId="72AA247E"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Kiekvieną mėnesį Paslaugų teikėjas privalo pateikti ne mažiau kaip 10 įvertintų pokalbių su užpildytomis vertinimo anketomis (pagal priedą Nr. 1), kurios turi būti prieinamos Paslaugų gavėjui patikrinimui.</w:t>
      </w:r>
    </w:p>
    <w:p w14:paraId="43655A8C" w14:textId="5D4AB655"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gavėjas turi teisę papildomai pasirinkti pokalbius vertinimui ir reikalauti jų įvertinimo pagal nustatytą vertinimo metodiką.</w:t>
      </w:r>
    </w:p>
    <w:p w14:paraId="0D7EF844" w14:textId="24131019" w:rsidR="00B5789C" w:rsidRPr="005119D2" w:rsidRDefault="581B7B8F"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3.5.5. Įžvalgos ir pasiūlymai</w:t>
      </w:r>
    </w:p>
    <w:p w14:paraId="07FB4ACB" w14:textId="460F35E8" w:rsidR="00B5789C" w:rsidRPr="005119D2" w:rsidRDefault="581B7B8F"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teikėjas privalo ne rečiau kaip kartą per ketvirtį pateikti Paslaugų gavėjui įžvalgas ir pasiūlymus, skirtus klientų aptarnavimo procesų gerinimui.</w:t>
      </w:r>
    </w:p>
    <w:p w14:paraId="4BA89A4C" w14:textId="40602D05" w:rsidR="00B5789C" w:rsidRDefault="581B7B8F" w:rsidP="005119D2">
      <w:pPr>
        <w:spacing w:after="0" w:line="240" w:lineRule="auto"/>
        <w:jc w:val="both"/>
        <w:rPr>
          <w:rFonts w:asciiTheme="majorHAnsi" w:eastAsia="Segoe UI" w:hAnsiTheme="majorHAnsi" w:cstheme="majorHAnsi"/>
          <w:b/>
          <w:bCs/>
          <w:lang w:val="lt-LT"/>
        </w:rPr>
      </w:pPr>
      <w:r w:rsidRPr="005119D2">
        <w:rPr>
          <w:rFonts w:asciiTheme="majorHAnsi" w:eastAsia="Segoe UI" w:hAnsiTheme="majorHAnsi" w:cstheme="majorHAnsi"/>
          <w:lang w:val="lt-LT"/>
        </w:rPr>
        <w:t>Pasiūlymai turi būti pagrįsti ataskaitų duomenimis, klientų aptarnavimo analizėmis ir nustatytais paslaugų kokybės trūkumais.</w:t>
      </w:r>
      <w:r w:rsidRPr="005119D2">
        <w:rPr>
          <w:rFonts w:asciiTheme="majorHAnsi" w:eastAsia="Segoe UI" w:hAnsiTheme="majorHAnsi" w:cstheme="majorHAnsi"/>
          <w:b/>
          <w:bCs/>
          <w:lang w:val="lt-LT"/>
        </w:rPr>
        <w:t xml:space="preserve"> </w:t>
      </w:r>
    </w:p>
    <w:p w14:paraId="2A641926" w14:textId="77777777" w:rsidR="006F37E2" w:rsidRPr="005119D2" w:rsidRDefault="006F37E2" w:rsidP="005119D2">
      <w:pPr>
        <w:spacing w:after="0" w:line="240" w:lineRule="auto"/>
        <w:jc w:val="both"/>
        <w:rPr>
          <w:rFonts w:asciiTheme="majorHAnsi" w:eastAsia="Segoe UI" w:hAnsiTheme="majorHAnsi" w:cstheme="majorHAnsi"/>
          <w:b/>
          <w:bCs/>
          <w:lang w:val="lt-LT"/>
        </w:rPr>
      </w:pPr>
    </w:p>
    <w:p w14:paraId="2AD82B32" w14:textId="77777777" w:rsidR="00E16FE2" w:rsidRDefault="00E16FE2" w:rsidP="006F37E2">
      <w:pPr>
        <w:spacing w:after="0" w:line="240" w:lineRule="auto"/>
        <w:jc w:val="center"/>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4. PASLAUGŲ TIEKĖJO SISTEMOS REIKALAVIMAI (IŠPLĖSTI)</w:t>
      </w:r>
    </w:p>
    <w:p w14:paraId="03CAD712" w14:textId="77777777" w:rsidR="006F37E2" w:rsidRPr="005119D2" w:rsidRDefault="006F37E2" w:rsidP="005119D2">
      <w:pPr>
        <w:spacing w:after="0" w:line="240" w:lineRule="auto"/>
        <w:jc w:val="both"/>
        <w:rPr>
          <w:rFonts w:asciiTheme="majorHAnsi" w:hAnsiTheme="majorHAnsi" w:cstheme="majorHAnsi"/>
          <w:b/>
          <w:bCs/>
          <w:color w:val="4F81BD" w:themeColor="accent1"/>
          <w:lang w:val="lt-LT"/>
        </w:rPr>
      </w:pPr>
    </w:p>
    <w:p w14:paraId="41FDF2CF" w14:textId="77777777" w:rsidR="00E16FE2" w:rsidRPr="005119D2" w:rsidRDefault="00E16FE2"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4.1. Bendrieji reikalavimai</w:t>
      </w:r>
    </w:p>
    <w:p w14:paraId="4658BA47"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4.1.1. Paslaugų teikėjas privalo naudoti patikimas, stabilias ir saugias informacines sistemas, užtikrinančias nepertraukiamą paslaugų teikimą.</w:t>
      </w:r>
    </w:p>
    <w:p w14:paraId="54EF0FC8"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4.1.2. Naudojamos sistemos turi būti reguliariai atnaujinamos, palaikomos ir apsaugotos nuo saugumo pažeidimų.</w:t>
      </w:r>
    </w:p>
    <w:p w14:paraId="347D40DA" w14:textId="16C7614A"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4.1.3. Sistemos turi užtikrinti ne mažesnį kaip 99,5 % prieinamumą per kalendorinį mėnesį.</w:t>
      </w:r>
    </w:p>
    <w:p w14:paraId="442DBA3F" w14:textId="77777777" w:rsidR="00E16FE2" w:rsidRPr="005119D2" w:rsidRDefault="00E16FE2"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4.2. Duomenų perdavimas ir saugojimas</w:t>
      </w:r>
    </w:p>
    <w:p w14:paraId="294ECE91"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4.2.1. Duomenų perdavimas ir sinchronizavimas negali būti vykdomas naudojant viešas debesų kompiuterijos (</w:t>
      </w:r>
      <w:proofErr w:type="spellStart"/>
      <w:r w:rsidRPr="005119D2">
        <w:rPr>
          <w:rFonts w:asciiTheme="majorHAnsi" w:hAnsiTheme="majorHAnsi" w:cstheme="majorHAnsi"/>
          <w:lang w:val="lt-LT"/>
        </w:rPr>
        <w:t>public</w:t>
      </w:r>
      <w:proofErr w:type="spellEnd"/>
      <w:r w:rsidRPr="005119D2">
        <w:rPr>
          <w:rFonts w:asciiTheme="majorHAnsi" w:hAnsiTheme="majorHAnsi" w:cstheme="majorHAnsi"/>
          <w:lang w:val="lt-LT"/>
        </w:rPr>
        <w:t xml:space="preserve"> </w:t>
      </w:r>
      <w:proofErr w:type="spellStart"/>
      <w:r w:rsidRPr="005119D2">
        <w:rPr>
          <w:rFonts w:asciiTheme="majorHAnsi" w:hAnsiTheme="majorHAnsi" w:cstheme="majorHAnsi"/>
          <w:lang w:val="lt-LT"/>
        </w:rPr>
        <w:t>cloud</w:t>
      </w:r>
      <w:proofErr w:type="spellEnd"/>
      <w:r w:rsidRPr="005119D2">
        <w:rPr>
          <w:rFonts w:asciiTheme="majorHAnsi" w:hAnsiTheme="majorHAnsi" w:cstheme="majorHAnsi"/>
          <w:lang w:val="lt-LT"/>
        </w:rPr>
        <w:t>) paslaugas.</w:t>
      </w:r>
    </w:p>
    <w:p w14:paraId="4F5755AF"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4.2.2. Visi duomenys turi būti perduodami naudojant saugius ryšio kanalus (HTTPS, VPN, TLS ar lygiaverčius).</w:t>
      </w:r>
    </w:p>
    <w:p w14:paraId="647EFF93"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4.2.3. Paslaugų teikėjas privalo užtikrinti, kad duomenys būtų saugomi Europos Sąjungos teritorijoje arba kituose teisės aktų leidžiamuose regionuose.</w:t>
      </w:r>
    </w:p>
    <w:p w14:paraId="771FA4E8"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4.2.4. Duomenys turi būti šifruojami:</w:t>
      </w:r>
    </w:p>
    <w:p w14:paraId="140657D0" w14:textId="6272DA51" w:rsidR="00E16FE2" w:rsidRPr="005119D2" w:rsidRDefault="00E16FE2" w:rsidP="006C7AB7">
      <w:pPr>
        <w:pStyle w:val="Sraopastraipa"/>
        <w:numPr>
          <w:ilvl w:val="0"/>
          <w:numId w:val="25"/>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perdavimo metu (</w:t>
      </w:r>
      <w:proofErr w:type="spellStart"/>
      <w:r w:rsidRPr="005119D2">
        <w:rPr>
          <w:rFonts w:asciiTheme="majorHAnsi" w:hAnsiTheme="majorHAnsi" w:cstheme="majorHAnsi"/>
          <w:lang w:val="lt-LT"/>
        </w:rPr>
        <w:t>in</w:t>
      </w:r>
      <w:proofErr w:type="spellEnd"/>
      <w:r w:rsidRPr="005119D2">
        <w:rPr>
          <w:rFonts w:asciiTheme="majorHAnsi" w:hAnsiTheme="majorHAnsi" w:cstheme="majorHAnsi"/>
          <w:lang w:val="lt-LT"/>
        </w:rPr>
        <w:t xml:space="preserve"> </w:t>
      </w:r>
      <w:proofErr w:type="spellStart"/>
      <w:r w:rsidRPr="005119D2">
        <w:rPr>
          <w:rFonts w:asciiTheme="majorHAnsi" w:hAnsiTheme="majorHAnsi" w:cstheme="majorHAnsi"/>
          <w:lang w:val="lt-LT"/>
        </w:rPr>
        <w:t>transit</w:t>
      </w:r>
      <w:proofErr w:type="spellEnd"/>
      <w:r w:rsidRPr="005119D2">
        <w:rPr>
          <w:rFonts w:asciiTheme="majorHAnsi" w:hAnsiTheme="majorHAnsi" w:cstheme="majorHAnsi"/>
          <w:lang w:val="lt-LT"/>
        </w:rPr>
        <w:t>)</w:t>
      </w:r>
      <w:r w:rsidR="0094055E" w:rsidRPr="005119D2">
        <w:rPr>
          <w:rFonts w:asciiTheme="majorHAnsi" w:hAnsiTheme="majorHAnsi" w:cstheme="majorHAnsi"/>
          <w:lang w:val="lt-LT"/>
        </w:rPr>
        <w:t>;</w:t>
      </w:r>
    </w:p>
    <w:p w14:paraId="4E3398F5" w14:textId="6B2E2DD7" w:rsidR="00E16FE2" w:rsidRPr="005119D2" w:rsidRDefault="00E16FE2" w:rsidP="006C7AB7">
      <w:pPr>
        <w:pStyle w:val="Sraopastraipa"/>
        <w:numPr>
          <w:ilvl w:val="0"/>
          <w:numId w:val="25"/>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 xml:space="preserve">saugojimo metu (at </w:t>
      </w:r>
      <w:proofErr w:type="spellStart"/>
      <w:r w:rsidRPr="005119D2">
        <w:rPr>
          <w:rFonts w:asciiTheme="majorHAnsi" w:hAnsiTheme="majorHAnsi" w:cstheme="majorHAnsi"/>
          <w:lang w:val="lt-LT"/>
        </w:rPr>
        <w:t>rest</w:t>
      </w:r>
      <w:proofErr w:type="spellEnd"/>
      <w:r w:rsidRPr="005119D2">
        <w:rPr>
          <w:rFonts w:asciiTheme="majorHAnsi" w:hAnsiTheme="majorHAnsi" w:cstheme="majorHAnsi"/>
          <w:lang w:val="lt-LT"/>
        </w:rPr>
        <w:t>)</w:t>
      </w:r>
      <w:r w:rsidR="0094055E" w:rsidRPr="005119D2">
        <w:rPr>
          <w:rFonts w:asciiTheme="majorHAnsi" w:hAnsiTheme="majorHAnsi" w:cstheme="majorHAnsi"/>
          <w:lang w:val="lt-LT"/>
        </w:rPr>
        <w:t>;</w:t>
      </w:r>
    </w:p>
    <w:p w14:paraId="5F2CD6F4" w14:textId="77777777" w:rsidR="002A2B37" w:rsidRPr="005119D2" w:rsidRDefault="002A2B37" w:rsidP="005119D2">
      <w:pPr>
        <w:spacing w:after="0" w:line="240" w:lineRule="auto"/>
        <w:jc w:val="both"/>
        <w:rPr>
          <w:rFonts w:asciiTheme="majorHAnsi" w:hAnsiTheme="majorHAnsi" w:cstheme="majorHAnsi"/>
          <w:b/>
          <w:bCs/>
          <w:color w:val="4F81BD" w:themeColor="accent1"/>
          <w:lang w:val="lt-LT"/>
        </w:rPr>
      </w:pPr>
    </w:p>
    <w:p w14:paraId="2C7FD7FB" w14:textId="1435633D" w:rsidR="00E16FE2" w:rsidRPr="005119D2" w:rsidRDefault="00E16FE2"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4.3. Realaus laiko stebėsena</w:t>
      </w:r>
    </w:p>
    <w:p w14:paraId="3F8D7E04"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Paslaugų teikėjas privalo suteikti galimybę realiu laiku stebėti:</w:t>
      </w:r>
    </w:p>
    <w:p w14:paraId="32284462" w14:textId="77777777" w:rsidR="00E16FE2" w:rsidRPr="005119D2" w:rsidRDefault="00E16FE2" w:rsidP="006C7AB7">
      <w:pPr>
        <w:pStyle w:val="Sraopastraipa"/>
        <w:numPr>
          <w:ilvl w:val="0"/>
          <w:numId w:val="11"/>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skambučių srautą</w:t>
      </w:r>
    </w:p>
    <w:p w14:paraId="4DD430C7" w14:textId="77777777" w:rsidR="00E16FE2" w:rsidRPr="005119D2" w:rsidRDefault="00E16FE2" w:rsidP="006C7AB7">
      <w:pPr>
        <w:pStyle w:val="Sraopastraipa"/>
        <w:numPr>
          <w:ilvl w:val="0"/>
          <w:numId w:val="11"/>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laukiančių klientų skaičių</w:t>
      </w:r>
    </w:p>
    <w:p w14:paraId="60601F94" w14:textId="77777777" w:rsidR="00E16FE2" w:rsidRPr="005119D2" w:rsidRDefault="00E16FE2" w:rsidP="006C7AB7">
      <w:pPr>
        <w:pStyle w:val="Sraopastraipa"/>
        <w:numPr>
          <w:ilvl w:val="0"/>
          <w:numId w:val="11"/>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laukimo laiką</w:t>
      </w:r>
    </w:p>
    <w:p w14:paraId="62A85013" w14:textId="77777777" w:rsidR="00E16FE2" w:rsidRPr="005119D2" w:rsidRDefault="00E16FE2" w:rsidP="006C7AB7">
      <w:pPr>
        <w:pStyle w:val="Sraopastraipa"/>
        <w:numPr>
          <w:ilvl w:val="0"/>
          <w:numId w:val="11"/>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konsultantų būsenas (aktyvus, neaktyvus, pertraukoje ir pan.)</w:t>
      </w:r>
    </w:p>
    <w:p w14:paraId="6E14C48A" w14:textId="77777777" w:rsidR="00E16FE2" w:rsidRPr="005119D2" w:rsidRDefault="00E16FE2" w:rsidP="006C7AB7">
      <w:pPr>
        <w:pStyle w:val="Sraopastraipa"/>
        <w:numPr>
          <w:ilvl w:val="0"/>
          <w:numId w:val="11"/>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aktyvių konsultantų skaičių</w:t>
      </w:r>
    </w:p>
    <w:p w14:paraId="7043A794" w14:textId="55BB446A" w:rsidR="00E16FE2" w:rsidRPr="005119D2" w:rsidRDefault="00E16FE2" w:rsidP="006C7AB7">
      <w:pPr>
        <w:pStyle w:val="Sraopastraipa"/>
        <w:numPr>
          <w:ilvl w:val="0"/>
          <w:numId w:val="11"/>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konsultantų užimtumą</w:t>
      </w:r>
    </w:p>
    <w:p w14:paraId="6E80BDEB" w14:textId="77777777" w:rsidR="00E16FE2" w:rsidRPr="005119D2" w:rsidRDefault="00E16FE2"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4.4. Ataskaitos ir analitika</w:t>
      </w:r>
    </w:p>
    <w:p w14:paraId="5C02C29A"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4.4.1. Turi būti galimybė generuoti tiek detalias, tiek apibendrintas ataskaitas.</w:t>
      </w:r>
    </w:p>
    <w:p w14:paraId="70F06CE0"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4.4.2. Ataskaitose turi būti galimybė filtruoti duomenis pagal:</w:t>
      </w:r>
    </w:p>
    <w:p w14:paraId="528DD2E5" w14:textId="77777777" w:rsidR="00E16FE2" w:rsidRPr="005119D2" w:rsidRDefault="00E16FE2" w:rsidP="006C7AB7">
      <w:pPr>
        <w:pStyle w:val="Sraopastraipa"/>
        <w:numPr>
          <w:ilvl w:val="0"/>
          <w:numId w:val="10"/>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laikotarpį</w:t>
      </w:r>
    </w:p>
    <w:p w14:paraId="25E08F68" w14:textId="77777777" w:rsidR="00E16FE2" w:rsidRPr="005119D2" w:rsidRDefault="00E16FE2" w:rsidP="006C7AB7">
      <w:pPr>
        <w:pStyle w:val="Sraopastraipa"/>
        <w:numPr>
          <w:ilvl w:val="0"/>
          <w:numId w:val="10"/>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konsultantus</w:t>
      </w:r>
    </w:p>
    <w:p w14:paraId="32EA580E" w14:textId="77777777" w:rsidR="00E16FE2" w:rsidRPr="005119D2" w:rsidRDefault="00E16FE2" w:rsidP="006C7AB7">
      <w:pPr>
        <w:pStyle w:val="Sraopastraipa"/>
        <w:numPr>
          <w:ilvl w:val="0"/>
          <w:numId w:val="10"/>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temas</w:t>
      </w:r>
    </w:p>
    <w:p w14:paraId="6340F1AB" w14:textId="77777777" w:rsidR="00E16FE2" w:rsidRPr="005119D2" w:rsidRDefault="00E16FE2" w:rsidP="006C7AB7">
      <w:pPr>
        <w:pStyle w:val="Sraopastraipa"/>
        <w:numPr>
          <w:ilvl w:val="0"/>
          <w:numId w:val="10"/>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skambučių tipus</w:t>
      </w:r>
    </w:p>
    <w:p w14:paraId="4D840C21"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4.4.3. Turi būti galimybė eksportuoti visus duomenis į Excel (.</w:t>
      </w:r>
      <w:proofErr w:type="spellStart"/>
      <w:r w:rsidRPr="005119D2">
        <w:rPr>
          <w:rFonts w:asciiTheme="majorHAnsi" w:hAnsiTheme="majorHAnsi" w:cstheme="majorHAnsi"/>
          <w:lang w:val="lt-LT"/>
        </w:rPr>
        <w:t>xlsx</w:t>
      </w:r>
      <w:proofErr w:type="spellEnd"/>
      <w:r w:rsidRPr="005119D2">
        <w:rPr>
          <w:rFonts w:asciiTheme="majorHAnsi" w:hAnsiTheme="majorHAnsi" w:cstheme="majorHAnsi"/>
          <w:lang w:val="lt-LT"/>
        </w:rPr>
        <w:t>) formatą.</w:t>
      </w:r>
    </w:p>
    <w:p w14:paraId="5DD2341D"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4.4.4. Sistemoje turi būti pateikiami šie rodikliai:</w:t>
      </w:r>
    </w:p>
    <w:p w14:paraId="64262C7A" w14:textId="77777777" w:rsidR="00E16FE2" w:rsidRPr="005119D2" w:rsidRDefault="00E16FE2" w:rsidP="006C7AB7">
      <w:pPr>
        <w:pStyle w:val="Sraopastraipa"/>
        <w:numPr>
          <w:ilvl w:val="0"/>
          <w:numId w:val="12"/>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bendras skambučių skaičius</w:t>
      </w:r>
    </w:p>
    <w:p w14:paraId="27852C66" w14:textId="77777777" w:rsidR="00E16FE2" w:rsidRPr="005119D2" w:rsidRDefault="00E16FE2" w:rsidP="006C7AB7">
      <w:pPr>
        <w:pStyle w:val="Sraopastraipa"/>
        <w:numPr>
          <w:ilvl w:val="0"/>
          <w:numId w:val="12"/>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atsilieptų / prarastų skambučių skaičius</w:t>
      </w:r>
    </w:p>
    <w:p w14:paraId="3B0503FF" w14:textId="77777777" w:rsidR="00E16FE2" w:rsidRPr="005119D2" w:rsidRDefault="00E16FE2" w:rsidP="006C7AB7">
      <w:pPr>
        <w:pStyle w:val="Sraopastraipa"/>
        <w:numPr>
          <w:ilvl w:val="0"/>
          <w:numId w:val="12"/>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SLA</w:t>
      </w:r>
    </w:p>
    <w:p w14:paraId="4A77174A" w14:textId="77777777" w:rsidR="00E16FE2" w:rsidRPr="005119D2" w:rsidRDefault="00E16FE2" w:rsidP="006C7AB7">
      <w:pPr>
        <w:pStyle w:val="Sraopastraipa"/>
        <w:numPr>
          <w:ilvl w:val="0"/>
          <w:numId w:val="12"/>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vidutinis laukimo laikas (ASA)</w:t>
      </w:r>
    </w:p>
    <w:p w14:paraId="55C560ED" w14:textId="77777777" w:rsidR="00E16FE2" w:rsidRPr="005119D2" w:rsidRDefault="00E16FE2" w:rsidP="006C7AB7">
      <w:pPr>
        <w:pStyle w:val="Sraopastraipa"/>
        <w:numPr>
          <w:ilvl w:val="0"/>
          <w:numId w:val="12"/>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vidutinė aptarnavimo trukmė (AHT)</w:t>
      </w:r>
    </w:p>
    <w:p w14:paraId="10244548" w14:textId="77777777" w:rsidR="00E16FE2" w:rsidRPr="005119D2" w:rsidRDefault="00E16FE2" w:rsidP="006C7AB7">
      <w:pPr>
        <w:pStyle w:val="Sraopastraipa"/>
        <w:numPr>
          <w:ilvl w:val="0"/>
          <w:numId w:val="12"/>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skambučių pasiskirstymas</w:t>
      </w:r>
    </w:p>
    <w:p w14:paraId="6107E798" w14:textId="466DD59A" w:rsidR="00E16FE2" w:rsidRPr="005119D2" w:rsidRDefault="00E16FE2" w:rsidP="006C7AB7">
      <w:pPr>
        <w:pStyle w:val="Sraopastraipa"/>
        <w:numPr>
          <w:ilvl w:val="0"/>
          <w:numId w:val="12"/>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piko laikotarpiai</w:t>
      </w:r>
    </w:p>
    <w:p w14:paraId="074CA52A" w14:textId="77777777" w:rsidR="00E16FE2" w:rsidRPr="005119D2" w:rsidRDefault="00E16FE2"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4.5. Kliento istorija ir duomenų valdymas</w:t>
      </w:r>
    </w:p>
    <w:p w14:paraId="2268E1CD"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4.5.1. Sistemoje turi būti kaupiama pilna kliento istorija:</w:t>
      </w:r>
    </w:p>
    <w:p w14:paraId="2CAB2906" w14:textId="77777777" w:rsidR="00E16FE2" w:rsidRPr="005119D2" w:rsidRDefault="00E16FE2" w:rsidP="006C7AB7">
      <w:pPr>
        <w:pStyle w:val="Sraopastraipa"/>
        <w:numPr>
          <w:ilvl w:val="0"/>
          <w:numId w:val="13"/>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skambučiai</w:t>
      </w:r>
    </w:p>
    <w:p w14:paraId="3D51A3D2" w14:textId="77777777" w:rsidR="00E16FE2" w:rsidRPr="005119D2" w:rsidRDefault="00E16FE2" w:rsidP="006C7AB7">
      <w:pPr>
        <w:pStyle w:val="Sraopastraipa"/>
        <w:numPr>
          <w:ilvl w:val="0"/>
          <w:numId w:val="13"/>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užduotys</w:t>
      </w:r>
    </w:p>
    <w:p w14:paraId="00068490" w14:textId="77777777" w:rsidR="00E16FE2" w:rsidRPr="005119D2" w:rsidRDefault="00E16FE2" w:rsidP="006C7AB7">
      <w:pPr>
        <w:pStyle w:val="Sraopastraipa"/>
        <w:numPr>
          <w:ilvl w:val="0"/>
          <w:numId w:val="13"/>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perskambinimai</w:t>
      </w:r>
    </w:p>
    <w:p w14:paraId="1518308D" w14:textId="77777777" w:rsidR="00E16FE2" w:rsidRPr="005119D2" w:rsidRDefault="00E16FE2" w:rsidP="006C7AB7">
      <w:pPr>
        <w:pStyle w:val="Sraopastraipa"/>
        <w:numPr>
          <w:ilvl w:val="0"/>
          <w:numId w:val="13"/>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ankstesni sprendimai</w:t>
      </w:r>
    </w:p>
    <w:p w14:paraId="5C0B5974"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4.5.2. Paslaugų gavėjas turi turėti galimybę realiu laiku peržiūrėti ir koreguoti duomenis.</w:t>
      </w:r>
    </w:p>
    <w:p w14:paraId="3A73A288"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4.5.3. Visi pakeitimai turi būti registruojami (</w:t>
      </w:r>
      <w:proofErr w:type="spellStart"/>
      <w:r w:rsidRPr="005119D2">
        <w:rPr>
          <w:rFonts w:asciiTheme="majorHAnsi" w:hAnsiTheme="majorHAnsi" w:cstheme="majorHAnsi"/>
          <w:lang w:val="lt-LT"/>
        </w:rPr>
        <w:t>audit</w:t>
      </w:r>
      <w:proofErr w:type="spellEnd"/>
      <w:r w:rsidRPr="005119D2">
        <w:rPr>
          <w:rFonts w:asciiTheme="majorHAnsi" w:hAnsiTheme="majorHAnsi" w:cstheme="majorHAnsi"/>
          <w:lang w:val="lt-LT"/>
        </w:rPr>
        <w:t xml:space="preserve"> </w:t>
      </w:r>
      <w:proofErr w:type="spellStart"/>
      <w:r w:rsidRPr="005119D2">
        <w:rPr>
          <w:rFonts w:asciiTheme="majorHAnsi" w:hAnsiTheme="majorHAnsi" w:cstheme="majorHAnsi"/>
          <w:lang w:val="lt-LT"/>
        </w:rPr>
        <w:t>trail</w:t>
      </w:r>
      <w:proofErr w:type="spellEnd"/>
      <w:r w:rsidRPr="005119D2">
        <w:rPr>
          <w:rFonts w:asciiTheme="majorHAnsi" w:hAnsiTheme="majorHAnsi" w:cstheme="majorHAnsi"/>
          <w:lang w:val="lt-LT"/>
        </w:rPr>
        <w:t>):</w:t>
      </w:r>
    </w:p>
    <w:p w14:paraId="012F188C" w14:textId="77777777" w:rsidR="00E16FE2" w:rsidRPr="005119D2" w:rsidRDefault="00E16FE2" w:rsidP="006C7AB7">
      <w:pPr>
        <w:pStyle w:val="Sraopastraipa"/>
        <w:numPr>
          <w:ilvl w:val="0"/>
          <w:numId w:val="14"/>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kas keitė</w:t>
      </w:r>
    </w:p>
    <w:p w14:paraId="06CD5DDF" w14:textId="77777777" w:rsidR="00E16FE2" w:rsidRPr="005119D2" w:rsidRDefault="00E16FE2" w:rsidP="006C7AB7">
      <w:pPr>
        <w:pStyle w:val="Sraopastraipa"/>
        <w:numPr>
          <w:ilvl w:val="0"/>
          <w:numId w:val="14"/>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kada keitė</w:t>
      </w:r>
    </w:p>
    <w:p w14:paraId="2CBCB241" w14:textId="77777777" w:rsidR="00E16FE2" w:rsidRPr="005119D2" w:rsidRDefault="00E16FE2"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4.6. Duomenų kokybė ir kontrolė</w:t>
      </w:r>
    </w:p>
    <w:p w14:paraId="5E0F4084"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4.6.1. Turi būti įdiegta duomenų validacija:</w:t>
      </w:r>
    </w:p>
    <w:p w14:paraId="0A2AE26F" w14:textId="77777777" w:rsidR="00E16FE2" w:rsidRPr="005119D2" w:rsidRDefault="00E16FE2" w:rsidP="006C7AB7">
      <w:pPr>
        <w:pStyle w:val="Sraopastraipa"/>
        <w:numPr>
          <w:ilvl w:val="0"/>
          <w:numId w:val="15"/>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telefono numeriai</w:t>
      </w:r>
    </w:p>
    <w:p w14:paraId="2A3D6948" w14:textId="77777777" w:rsidR="00E16FE2" w:rsidRPr="005119D2" w:rsidRDefault="00E16FE2" w:rsidP="006C7AB7">
      <w:pPr>
        <w:pStyle w:val="Sraopastraipa"/>
        <w:numPr>
          <w:ilvl w:val="0"/>
          <w:numId w:val="15"/>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adresai</w:t>
      </w:r>
    </w:p>
    <w:p w14:paraId="10FCC866" w14:textId="77777777" w:rsidR="00E16FE2" w:rsidRPr="005119D2" w:rsidRDefault="00E16FE2" w:rsidP="006C7AB7">
      <w:pPr>
        <w:pStyle w:val="Sraopastraipa"/>
        <w:numPr>
          <w:ilvl w:val="0"/>
          <w:numId w:val="15"/>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privalomi laukai</w:t>
      </w:r>
    </w:p>
    <w:p w14:paraId="4CA0B158"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4.6.2. Sistemoje turi būti įdiegtos kontrolės taisyklės, neleidžiančios pateikti nepilnų ar neteisingų duomenų.</w:t>
      </w:r>
    </w:p>
    <w:p w14:paraId="2BEEDEF6" w14:textId="1D43EFCC"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4.6.3. Turi būti galimybė užtikrinti, kad duomenys negalėtų būti ištrinti be atsekamumo mechanizmo.</w:t>
      </w:r>
    </w:p>
    <w:p w14:paraId="05EC44EF" w14:textId="77777777" w:rsidR="00E16FE2" w:rsidRPr="005119D2" w:rsidRDefault="00E16FE2"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4.7. Prieigos valdymas ir autentifikavimas</w:t>
      </w:r>
    </w:p>
    <w:p w14:paraId="541D35D4"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4.7.1. Prisijungimas vykdomas tik per Paslaugų gavėjo patvirtintą VPN sprendimą.</w:t>
      </w:r>
    </w:p>
    <w:p w14:paraId="7FA6D7E9"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4.7.2. Turi būti naudojamos individualios vartotojų paskyros (</w:t>
      </w:r>
      <w:proofErr w:type="spellStart"/>
      <w:r w:rsidRPr="005119D2">
        <w:rPr>
          <w:rFonts w:asciiTheme="majorHAnsi" w:hAnsiTheme="majorHAnsi" w:cstheme="majorHAnsi"/>
          <w:lang w:val="lt-LT"/>
        </w:rPr>
        <w:t>named</w:t>
      </w:r>
      <w:proofErr w:type="spellEnd"/>
      <w:r w:rsidRPr="005119D2">
        <w:rPr>
          <w:rFonts w:asciiTheme="majorHAnsi" w:hAnsiTheme="majorHAnsi" w:cstheme="majorHAnsi"/>
          <w:lang w:val="lt-LT"/>
        </w:rPr>
        <w:t xml:space="preserve"> </w:t>
      </w:r>
      <w:proofErr w:type="spellStart"/>
      <w:r w:rsidRPr="005119D2">
        <w:rPr>
          <w:rFonts w:asciiTheme="majorHAnsi" w:hAnsiTheme="majorHAnsi" w:cstheme="majorHAnsi"/>
          <w:lang w:val="lt-LT"/>
        </w:rPr>
        <w:t>users</w:t>
      </w:r>
      <w:proofErr w:type="spellEnd"/>
      <w:r w:rsidRPr="005119D2">
        <w:rPr>
          <w:rFonts w:asciiTheme="majorHAnsi" w:hAnsiTheme="majorHAnsi" w:cstheme="majorHAnsi"/>
          <w:lang w:val="lt-LT"/>
        </w:rPr>
        <w:t>).</w:t>
      </w:r>
    </w:p>
    <w:p w14:paraId="3EB5F3F0"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4.7.3. Bendrų paskyrų naudojimas draudžiamas.</w:t>
      </w:r>
    </w:p>
    <w:p w14:paraId="655C2669"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 xml:space="preserve">4.7.4. Privalomas </w:t>
      </w:r>
      <w:proofErr w:type="spellStart"/>
      <w:r w:rsidRPr="005119D2">
        <w:rPr>
          <w:rFonts w:asciiTheme="majorHAnsi" w:hAnsiTheme="majorHAnsi" w:cstheme="majorHAnsi"/>
          <w:lang w:val="lt-LT"/>
        </w:rPr>
        <w:t>daugiafaktorinis</w:t>
      </w:r>
      <w:proofErr w:type="spellEnd"/>
      <w:r w:rsidRPr="005119D2">
        <w:rPr>
          <w:rFonts w:asciiTheme="majorHAnsi" w:hAnsiTheme="majorHAnsi" w:cstheme="majorHAnsi"/>
          <w:lang w:val="lt-LT"/>
        </w:rPr>
        <w:t xml:space="preserve"> autentifikavimas (MFA).</w:t>
      </w:r>
    </w:p>
    <w:p w14:paraId="2DE90061" w14:textId="5C9D7934"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4.7.5. El. paštas negali būti naudojamas kaip MFA priemonė.</w:t>
      </w:r>
    </w:p>
    <w:p w14:paraId="5EC052AB" w14:textId="77777777" w:rsidR="00E16FE2" w:rsidRPr="005119D2" w:rsidRDefault="00E16FE2"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4.8. IT saugumo papildomi reikalavimai</w:t>
      </w:r>
    </w:p>
    <w:p w14:paraId="3DB78586"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4.8.1. Turi būti įdiegtas automatinis sesijos užbaigimas (</w:t>
      </w:r>
      <w:proofErr w:type="spellStart"/>
      <w:r w:rsidRPr="005119D2">
        <w:rPr>
          <w:rFonts w:asciiTheme="majorHAnsi" w:hAnsiTheme="majorHAnsi" w:cstheme="majorHAnsi"/>
          <w:lang w:val="lt-LT"/>
        </w:rPr>
        <w:t>session</w:t>
      </w:r>
      <w:proofErr w:type="spellEnd"/>
      <w:r w:rsidRPr="005119D2">
        <w:rPr>
          <w:rFonts w:asciiTheme="majorHAnsi" w:hAnsiTheme="majorHAnsi" w:cstheme="majorHAnsi"/>
          <w:lang w:val="lt-LT"/>
        </w:rPr>
        <w:t xml:space="preserve"> </w:t>
      </w:r>
      <w:proofErr w:type="spellStart"/>
      <w:r w:rsidRPr="005119D2">
        <w:rPr>
          <w:rFonts w:asciiTheme="majorHAnsi" w:hAnsiTheme="majorHAnsi" w:cstheme="majorHAnsi"/>
          <w:lang w:val="lt-LT"/>
        </w:rPr>
        <w:t>timeout</w:t>
      </w:r>
      <w:proofErr w:type="spellEnd"/>
      <w:r w:rsidRPr="005119D2">
        <w:rPr>
          <w:rFonts w:asciiTheme="majorHAnsi" w:hAnsiTheme="majorHAnsi" w:cstheme="majorHAnsi"/>
          <w:lang w:val="lt-LT"/>
        </w:rPr>
        <w:t>) po neaktyvumo laikotarpio (ne ilgesnio kaip 15 min.).</w:t>
      </w:r>
    </w:p>
    <w:p w14:paraId="448A2E96"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4.8.2. Draudžiama naudoti asmeninius (nevaldomus) įrenginius prisijungimui prie Paslaugų gavėjo sistemų.</w:t>
      </w:r>
    </w:p>
    <w:p w14:paraId="042A0038"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4.8.3. Darbo vietos turi būti apsaugotos:</w:t>
      </w:r>
    </w:p>
    <w:p w14:paraId="5A572202" w14:textId="77777777" w:rsidR="00E16FE2" w:rsidRPr="005119D2" w:rsidRDefault="00E16FE2" w:rsidP="006C7AB7">
      <w:pPr>
        <w:pStyle w:val="Sraopastraipa"/>
        <w:numPr>
          <w:ilvl w:val="0"/>
          <w:numId w:val="16"/>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antivirusine programine įranga</w:t>
      </w:r>
    </w:p>
    <w:p w14:paraId="5BC0935F" w14:textId="77777777" w:rsidR="00E16FE2" w:rsidRPr="005119D2" w:rsidRDefault="00E16FE2" w:rsidP="006C7AB7">
      <w:pPr>
        <w:pStyle w:val="Sraopastraipa"/>
        <w:numPr>
          <w:ilvl w:val="0"/>
          <w:numId w:val="16"/>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ugniasiene (</w:t>
      </w:r>
      <w:proofErr w:type="spellStart"/>
      <w:r w:rsidRPr="005119D2">
        <w:rPr>
          <w:rFonts w:asciiTheme="majorHAnsi" w:hAnsiTheme="majorHAnsi" w:cstheme="majorHAnsi"/>
          <w:lang w:val="lt-LT"/>
        </w:rPr>
        <w:t>firewall</w:t>
      </w:r>
      <w:proofErr w:type="spellEnd"/>
      <w:r w:rsidRPr="005119D2">
        <w:rPr>
          <w:rFonts w:asciiTheme="majorHAnsi" w:hAnsiTheme="majorHAnsi" w:cstheme="majorHAnsi"/>
          <w:lang w:val="lt-LT"/>
        </w:rPr>
        <w:t>)</w:t>
      </w:r>
    </w:p>
    <w:p w14:paraId="05E28BE4"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4.8.4. Paslaugų teikėjas privalo užtikrinti reguliarius duomenų atsarginių kopijų (</w:t>
      </w:r>
      <w:proofErr w:type="spellStart"/>
      <w:r w:rsidRPr="005119D2">
        <w:rPr>
          <w:rFonts w:asciiTheme="majorHAnsi" w:hAnsiTheme="majorHAnsi" w:cstheme="majorHAnsi"/>
          <w:lang w:val="lt-LT"/>
        </w:rPr>
        <w:t>backup</w:t>
      </w:r>
      <w:proofErr w:type="spellEnd"/>
      <w:r w:rsidRPr="005119D2">
        <w:rPr>
          <w:rFonts w:asciiTheme="majorHAnsi" w:hAnsiTheme="majorHAnsi" w:cstheme="majorHAnsi"/>
          <w:lang w:val="lt-LT"/>
        </w:rPr>
        <w:t>) darymus:</w:t>
      </w:r>
    </w:p>
    <w:p w14:paraId="5F1D5E47" w14:textId="77777777" w:rsidR="00E16FE2" w:rsidRPr="005119D2" w:rsidRDefault="00E16FE2" w:rsidP="006C7AB7">
      <w:pPr>
        <w:pStyle w:val="Sraopastraipa"/>
        <w:numPr>
          <w:ilvl w:val="0"/>
          <w:numId w:val="17"/>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ne rečiau kaip kartą per parą</w:t>
      </w:r>
    </w:p>
    <w:p w14:paraId="04B6A955" w14:textId="77777777" w:rsidR="00E16FE2" w:rsidRPr="005119D2" w:rsidRDefault="00E16FE2" w:rsidP="006C7AB7">
      <w:pPr>
        <w:pStyle w:val="Sraopastraipa"/>
        <w:numPr>
          <w:ilvl w:val="0"/>
          <w:numId w:val="17"/>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su galimybe atkurti duomenis</w:t>
      </w:r>
    </w:p>
    <w:p w14:paraId="6E8AC5B1"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4.8.5. Turi būti užtikrintas incidentų valdymas:</w:t>
      </w:r>
    </w:p>
    <w:p w14:paraId="5CCF10C2" w14:textId="77777777" w:rsidR="00E16FE2" w:rsidRPr="005119D2" w:rsidRDefault="00E16FE2" w:rsidP="006C7AB7">
      <w:pPr>
        <w:pStyle w:val="Sraopastraipa"/>
        <w:numPr>
          <w:ilvl w:val="0"/>
          <w:numId w:val="18"/>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registravimas</w:t>
      </w:r>
    </w:p>
    <w:p w14:paraId="0EC2CD41" w14:textId="77777777" w:rsidR="00E16FE2" w:rsidRPr="005119D2" w:rsidRDefault="00E16FE2" w:rsidP="006C7AB7">
      <w:pPr>
        <w:pStyle w:val="Sraopastraipa"/>
        <w:numPr>
          <w:ilvl w:val="0"/>
          <w:numId w:val="18"/>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analizė</w:t>
      </w:r>
    </w:p>
    <w:p w14:paraId="215AB0C3" w14:textId="0B0FAF51" w:rsidR="00E16FE2" w:rsidRPr="005119D2" w:rsidRDefault="00E16FE2" w:rsidP="006C7AB7">
      <w:pPr>
        <w:pStyle w:val="Sraopastraipa"/>
        <w:numPr>
          <w:ilvl w:val="0"/>
          <w:numId w:val="18"/>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sprendimas</w:t>
      </w:r>
    </w:p>
    <w:p w14:paraId="2F3BFF02" w14:textId="516C8F9C" w:rsidR="00E16FE2" w:rsidRPr="005119D2" w:rsidRDefault="00E16FE2"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 xml:space="preserve">4.9. Integracijos reikalavimai </w:t>
      </w:r>
    </w:p>
    <w:p w14:paraId="2BB2C539"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4.9.1. Paslaugų teikėjo sistemos turi turėti galimybę integruotis su Paslaugų gavėjo sistemomis (API arba lygiaverčiais sprendimais).</w:t>
      </w:r>
    </w:p>
    <w:p w14:paraId="0444D8DA" w14:textId="77777777" w:rsidR="00E16FE2" w:rsidRPr="005119D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4.9.2. Integracijos turi užtikrinti:</w:t>
      </w:r>
    </w:p>
    <w:p w14:paraId="603FDF10" w14:textId="77777777" w:rsidR="00E16FE2" w:rsidRPr="005119D2" w:rsidRDefault="00E16FE2" w:rsidP="006C7AB7">
      <w:pPr>
        <w:pStyle w:val="Sraopastraipa"/>
        <w:numPr>
          <w:ilvl w:val="0"/>
          <w:numId w:val="19"/>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realaus laiko duomenų perdavimą</w:t>
      </w:r>
    </w:p>
    <w:p w14:paraId="0D5D47AD" w14:textId="77777777" w:rsidR="00E16FE2" w:rsidRPr="005119D2" w:rsidRDefault="00E16FE2" w:rsidP="006C7AB7">
      <w:pPr>
        <w:pStyle w:val="Sraopastraipa"/>
        <w:numPr>
          <w:ilvl w:val="0"/>
          <w:numId w:val="19"/>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duomenų nuoseklumą</w:t>
      </w:r>
    </w:p>
    <w:p w14:paraId="4E9369AD" w14:textId="77777777" w:rsidR="00E16FE2" w:rsidRPr="005119D2" w:rsidRDefault="00E16FE2" w:rsidP="006C7AB7">
      <w:pPr>
        <w:pStyle w:val="Sraopastraipa"/>
        <w:numPr>
          <w:ilvl w:val="0"/>
          <w:numId w:val="19"/>
        </w:numPr>
        <w:spacing w:after="0" w:line="240" w:lineRule="auto"/>
        <w:ind w:left="720"/>
        <w:jc w:val="both"/>
        <w:rPr>
          <w:rFonts w:asciiTheme="majorHAnsi" w:hAnsiTheme="majorHAnsi" w:cstheme="majorHAnsi"/>
          <w:lang w:val="lt-LT"/>
        </w:rPr>
      </w:pPr>
      <w:r w:rsidRPr="005119D2">
        <w:rPr>
          <w:rFonts w:asciiTheme="majorHAnsi" w:hAnsiTheme="majorHAnsi" w:cstheme="majorHAnsi"/>
          <w:lang w:val="lt-LT"/>
        </w:rPr>
        <w:t>klaidų valdymą</w:t>
      </w:r>
    </w:p>
    <w:p w14:paraId="6EF08C60" w14:textId="4E367D16" w:rsidR="00E16FE2" w:rsidRDefault="00E16FE2"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4.9.3. Bet kokie integracijos pakeitimai turi būti suderinami su Paslaugų gavėju.</w:t>
      </w:r>
    </w:p>
    <w:p w14:paraId="5D4002B1" w14:textId="77777777" w:rsidR="006F37E2" w:rsidRPr="005119D2" w:rsidRDefault="006F37E2" w:rsidP="005119D2">
      <w:pPr>
        <w:spacing w:after="0" w:line="240" w:lineRule="auto"/>
        <w:jc w:val="both"/>
        <w:rPr>
          <w:rFonts w:asciiTheme="majorHAnsi" w:hAnsiTheme="majorHAnsi" w:cstheme="majorHAnsi"/>
          <w:lang w:val="lt-LT"/>
        </w:rPr>
      </w:pPr>
    </w:p>
    <w:p w14:paraId="55561DD4" w14:textId="39E34839" w:rsidR="00B5789C" w:rsidRDefault="0D5520A3" w:rsidP="006F37E2">
      <w:pPr>
        <w:pStyle w:val="Antrat1"/>
        <w:numPr>
          <w:ilvl w:val="0"/>
          <w:numId w:val="0"/>
        </w:numPr>
        <w:spacing w:before="0" w:line="240" w:lineRule="auto"/>
        <w:jc w:val="center"/>
        <w:rPr>
          <w:rFonts w:eastAsia="Segoe UI" w:cstheme="majorHAnsi"/>
          <w:sz w:val="22"/>
          <w:szCs w:val="22"/>
          <w:lang w:val="lt-LT"/>
        </w:rPr>
      </w:pPr>
      <w:r w:rsidRPr="005119D2">
        <w:rPr>
          <w:rFonts w:eastAsia="Segoe UI" w:cstheme="majorHAnsi"/>
          <w:sz w:val="22"/>
          <w:szCs w:val="22"/>
          <w:lang w:val="lt-LT"/>
        </w:rPr>
        <w:t>5. PASLAUGŲ TĘSTINUMAS</w:t>
      </w:r>
    </w:p>
    <w:p w14:paraId="4A190932" w14:textId="77777777" w:rsidR="006F37E2" w:rsidRPr="006F37E2" w:rsidRDefault="006F37E2" w:rsidP="006F37E2">
      <w:pPr>
        <w:rPr>
          <w:lang w:val="lt-LT"/>
        </w:rPr>
      </w:pPr>
    </w:p>
    <w:p w14:paraId="3999C1E9" w14:textId="145EBCF5"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5.1. Paslaugų teikėjas privalo turėti veiklos tęstinumo planą ir užtikrinti paslaugų teikimą techninių sutrikimų ar kitų nenumatytų situacijų atveju.</w:t>
      </w:r>
    </w:p>
    <w:p w14:paraId="591D659E" w14:textId="008CDD32"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5.2. Kritinių incidentų atveju paslaugos turi būti atkurtos ne vėliau kaip per 2 valandas.</w:t>
      </w:r>
    </w:p>
    <w:p w14:paraId="653267A0" w14:textId="3ACA422F" w:rsidR="00B5789C" w:rsidRDefault="0D5520A3"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5.3. Paslaugų gavėjas informuoja Paslaugų teikėją ne vėliau kaip prieš 2 darbo dienas apie planuojamą paslaugų apimties pakeitimą arba sustabdymą.</w:t>
      </w:r>
    </w:p>
    <w:p w14:paraId="558C0F85" w14:textId="77777777" w:rsidR="006F37E2" w:rsidRPr="005119D2" w:rsidRDefault="006F37E2" w:rsidP="005119D2">
      <w:pPr>
        <w:spacing w:after="0" w:line="240" w:lineRule="auto"/>
        <w:jc w:val="both"/>
        <w:rPr>
          <w:rFonts w:asciiTheme="majorHAnsi" w:hAnsiTheme="majorHAnsi" w:cstheme="majorHAnsi"/>
          <w:lang w:val="lt-LT"/>
        </w:rPr>
      </w:pPr>
    </w:p>
    <w:p w14:paraId="71788E69" w14:textId="3C0E1067" w:rsidR="00B5789C" w:rsidRDefault="0D5520A3" w:rsidP="006F37E2">
      <w:pPr>
        <w:pStyle w:val="Antrat1"/>
        <w:numPr>
          <w:ilvl w:val="0"/>
          <w:numId w:val="0"/>
        </w:numPr>
        <w:spacing w:before="0" w:line="240" w:lineRule="auto"/>
        <w:jc w:val="center"/>
        <w:rPr>
          <w:rFonts w:eastAsia="Segoe UI" w:cstheme="majorHAnsi"/>
          <w:sz w:val="22"/>
          <w:szCs w:val="22"/>
          <w:lang w:val="lt-LT"/>
        </w:rPr>
      </w:pPr>
      <w:r w:rsidRPr="005119D2">
        <w:rPr>
          <w:rFonts w:eastAsia="Segoe UI" w:cstheme="majorHAnsi"/>
          <w:sz w:val="22"/>
          <w:szCs w:val="22"/>
          <w:lang w:val="lt-LT"/>
        </w:rPr>
        <w:t>6. KIBERNETINIO SAUGUMO REIKALAVIMAI</w:t>
      </w:r>
    </w:p>
    <w:p w14:paraId="16D2FDEA" w14:textId="77777777" w:rsidR="006F37E2" w:rsidRPr="006F37E2" w:rsidRDefault="006F37E2" w:rsidP="006F37E2">
      <w:pPr>
        <w:rPr>
          <w:lang w:val="lt-LT"/>
        </w:rPr>
      </w:pPr>
    </w:p>
    <w:p w14:paraId="2D6633D9" w14:textId="43F2409C"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 xml:space="preserve">6.1. Pastebėjęs kibernetinės atakos požymius, Paslaugų teikėjas privalo nedelsdamas informuoti Paslaugų gavėją el. paštu </w:t>
      </w:r>
      <w:hyperlink r:id="rId6">
        <w:r w:rsidRPr="005119D2">
          <w:rPr>
            <w:rStyle w:val="Hipersaitas"/>
            <w:rFonts w:asciiTheme="majorHAnsi" w:eastAsia="Segoe UI" w:hAnsiTheme="majorHAnsi" w:cstheme="majorHAnsi"/>
            <w:lang w:val="lt-LT"/>
          </w:rPr>
          <w:t>cyber@vasa.lt</w:t>
        </w:r>
      </w:hyperlink>
      <w:r w:rsidRPr="005119D2">
        <w:rPr>
          <w:rFonts w:asciiTheme="majorHAnsi" w:eastAsia="Segoe UI" w:hAnsiTheme="majorHAnsi" w:cstheme="majorHAnsi"/>
          <w:lang w:val="lt-LT"/>
        </w:rPr>
        <w:t>.</w:t>
      </w:r>
    </w:p>
    <w:p w14:paraId="14720837" w14:textId="55B34D4E"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 xml:space="preserve">6.2. Prisijungimai prie Paslaugų gavėjo sistemų turi būti vykdomi naudojant </w:t>
      </w:r>
      <w:proofErr w:type="spellStart"/>
      <w:r w:rsidRPr="005119D2">
        <w:rPr>
          <w:rFonts w:asciiTheme="majorHAnsi" w:eastAsia="Segoe UI" w:hAnsiTheme="majorHAnsi" w:cstheme="majorHAnsi"/>
          <w:lang w:val="lt-LT"/>
        </w:rPr>
        <w:t>daugiafaktorinį</w:t>
      </w:r>
      <w:proofErr w:type="spellEnd"/>
      <w:r w:rsidRPr="005119D2">
        <w:rPr>
          <w:rFonts w:asciiTheme="majorHAnsi" w:eastAsia="Segoe UI" w:hAnsiTheme="majorHAnsi" w:cstheme="majorHAnsi"/>
          <w:lang w:val="lt-LT"/>
        </w:rPr>
        <w:t xml:space="preserve"> autentifikavimą (MFA).</w:t>
      </w:r>
    </w:p>
    <w:p w14:paraId="543590A1" w14:textId="16E2ABC3"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6.3. Paslaugų teikėjas privalo užtikrinti, kad Paslaugų gavėjo konfidenciali informacija nebūtų prieinama neautorizuotiems asmenims.</w:t>
      </w:r>
    </w:p>
    <w:p w14:paraId="1B98DEDA" w14:textId="06A43380" w:rsidR="00B5789C" w:rsidRDefault="0D5520A3"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6.4. Paslaugų teikėjas privalo laikytis galiojančių Lietuvos Respublikos teisės aktų ir atitikti kibernetinio saugumo reikalavimus</w:t>
      </w:r>
      <w:r w:rsidR="008D463C" w:rsidRPr="005119D2">
        <w:rPr>
          <w:rFonts w:asciiTheme="majorHAnsi" w:eastAsia="Segoe UI" w:hAnsiTheme="majorHAnsi" w:cstheme="majorHAnsi"/>
          <w:lang w:val="lt-LT"/>
        </w:rPr>
        <w:t>.</w:t>
      </w:r>
    </w:p>
    <w:p w14:paraId="0584C56A" w14:textId="77777777" w:rsidR="006F37E2" w:rsidRPr="005119D2" w:rsidRDefault="006F37E2" w:rsidP="005119D2">
      <w:pPr>
        <w:spacing w:after="0" w:line="240" w:lineRule="auto"/>
        <w:jc w:val="both"/>
        <w:rPr>
          <w:rFonts w:asciiTheme="majorHAnsi" w:hAnsiTheme="majorHAnsi" w:cstheme="majorHAnsi"/>
          <w:lang w:val="lt-LT"/>
        </w:rPr>
      </w:pPr>
    </w:p>
    <w:p w14:paraId="32C7A1B3" w14:textId="24C11072" w:rsidR="00B5789C" w:rsidRDefault="0D5520A3" w:rsidP="006F37E2">
      <w:pPr>
        <w:pStyle w:val="Antrat1"/>
        <w:numPr>
          <w:ilvl w:val="0"/>
          <w:numId w:val="0"/>
        </w:numPr>
        <w:spacing w:before="0" w:line="240" w:lineRule="auto"/>
        <w:jc w:val="center"/>
        <w:rPr>
          <w:rFonts w:eastAsia="Segoe UI" w:cstheme="majorHAnsi"/>
          <w:sz w:val="22"/>
          <w:szCs w:val="22"/>
          <w:lang w:val="lt-LT"/>
        </w:rPr>
      </w:pPr>
      <w:r w:rsidRPr="005119D2">
        <w:rPr>
          <w:rFonts w:eastAsia="Segoe UI" w:cstheme="majorHAnsi"/>
          <w:sz w:val="22"/>
          <w:szCs w:val="22"/>
          <w:lang w:val="lt-LT"/>
        </w:rPr>
        <w:t>7. NACIONALINIO SAUGUMO REIKALAVIMAI</w:t>
      </w:r>
    </w:p>
    <w:p w14:paraId="06BEB61B" w14:textId="77777777" w:rsidR="006F37E2" w:rsidRPr="006F37E2" w:rsidRDefault="006F37E2" w:rsidP="006F37E2">
      <w:pPr>
        <w:rPr>
          <w:lang w:val="lt-LT"/>
        </w:rPr>
      </w:pPr>
    </w:p>
    <w:p w14:paraId="50800200" w14:textId="23B5A9E8"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7.1. Paslaugų teikėjas privalo užtikrinti, kad naudojamos sistemos atitiktų nacionalinio saugumo reikalavimus.</w:t>
      </w:r>
    </w:p>
    <w:p w14:paraId="12BF336B" w14:textId="47DDC5B1" w:rsidR="00B5789C" w:rsidRDefault="0D5520A3"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7.2. Paslaugų teikėjas privalo pateikti informaciją apie naudojamas sistemas, jų kilmės šalį, duomenų saugojimo vietą bei taikomas saugumo priemones.</w:t>
      </w:r>
    </w:p>
    <w:p w14:paraId="4CBF20EB" w14:textId="77777777" w:rsidR="006F37E2" w:rsidRPr="005119D2" w:rsidRDefault="006F37E2" w:rsidP="005119D2">
      <w:pPr>
        <w:spacing w:after="0" w:line="240" w:lineRule="auto"/>
        <w:jc w:val="both"/>
        <w:rPr>
          <w:rFonts w:asciiTheme="majorHAnsi" w:hAnsiTheme="majorHAnsi" w:cstheme="majorHAnsi"/>
          <w:lang w:val="lt-LT"/>
        </w:rPr>
      </w:pPr>
    </w:p>
    <w:p w14:paraId="092D31B5" w14:textId="6ABE77FD" w:rsidR="00B5789C" w:rsidRDefault="0D5520A3" w:rsidP="006F37E2">
      <w:pPr>
        <w:pStyle w:val="Antrat1"/>
        <w:numPr>
          <w:ilvl w:val="0"/>
          <w:numId w:val="0"/>
        </w:numPr>
        <w:spacing w:before="0" w:line="240" w:lineRule="auto"/>
        <w:jc w:val="center"/>
        <w:rPr>
          <w:rFonts w:eastAsia="Segoe UI" w:cstheme="majorHAnsi"/>
          <w:sz w:val="22"/>
          <w:szCs w:val="22"/>
          <w:lang w:val="lt-LT"/>
        </w:rPr>
      </w:pPr>
      <w:r w:rsidRPr="005119D2">
        <w:rPr>
          <w:rFonts w:eastAsia="Segoe UI" w:cstheme="majorHAnsi"/>
          <w:sz w:val="22"/>
          <w:szCs w:val="22"/>
          <w:lang w:val="lt-LT"/>
        </w:rPr>
        <w:t>8.</w:t>
      </w:r>
      <w:r w:rsidR="00F700A5" w:rsidRPr="005119D2">
        <w:rPr>
          <w:rFonts w:eastAsia="Segoe UI" w:cstheme="majorHAnsi"/>
          <w:sz w:val="22"/>
          <w:szCs w:val="22"/>
          <w:lang w:val="lt-LT"/>
        </w:rPr>
        <w:t xml:space="preserve"> </w:t>
      </w:r>
      <w:r w:rsidRPr="005119D2">
        <w:rPr>
          <w:rFonts w:eastAsia="Segoe UI" w:cstheme="majorHAnsi"/>
          <w:sz w:val="22"/>
          <w:szCs w:val="22"/>
          <w:lang w:val="lt-LT"/>
        </w:rPr>
        <w:t>SANKCIJOS IR ATSAKOMYBĖ</w:t>
      </w:r>
    </w:p>
    <w:p w14:paraId="5AF4F3F6" w14:textId="77777777" w:rsidR="006F37E2" w:rsidRPr="006F37E2" w:rsidRDefault="006F37E2" w:rsidP="006F37E2">
      <w:pPr>
        <w:rPr>
          <w:lang w:val="lt-LT"/>
        </w:rPr>
      </w:pPr>
    </w:p>
    <w:p w14:paraId="1C7D3B88" w14:textId="22F38C58" w:rsidR="00B5789C" w:rsidRPr="005119D2" w:rsidRDefault="0D5520A3"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8.1. Bendros nuostatos</w:t>
      </w:r>
    </w:p>
    <w:p w14:paraId="77332791" w14:textId="4E0EEF7A"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Paslaugų gavėjas turi teisę taikyti sankcijas Paslaugų teikėjui nepasiekus nustatytų paslaugų kokybės rodiklių ar nesilaikant Techninės specifikacijos reikalavimų.</w:t>
      </w:r>
    </w:p>
    <w:p w14:paraId="06CD8A2B" w14:textId="5A4A30A1" w:rsidR="00B5789C" w:rsidRPr="005119D2" w:rsidRDefault="0D5520A3"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8.2. Sankcijų taikymo atvejai</w:t>
      </w:r>
    </w:p>
    <w:p w14:paraId="4E2CF5B3" w14:textId="3207C882"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Sankcijos taikomos šiais atvejais:</w:t>
      </w:r>
    </w:p>
    <w:p w14:paraId="3A8F7A0A" w14:textId="437913BD" w:rsidR="00B5789C" w:rsidRPr="005119D2" w:rsidRDefault="0D5520A3" w:rsidP="006C7AB7">
      <w:pPr>
        <w:pStyle w:val="Sraopastraipa"/>
        <w:numPr>
          <w:ilvl w:val="0"/>
          <w:numId w:val="20"/>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nepasiektas aptarnavimo lygis (SLA);</w:t>
      </w:r>
    </w:p>
    <w:p w14:paraId="4989D3FA" w14:textId="1E35CF96" w:rsidR="00B5789C" w:rsidRPr="005119D2" w:rsidRDefault="0D5520A3" w:rsidP="006C7AB7">
      <w:pPr>
        <w:pStyle w:val="Sraopastraipa"/>
        <w:numPr>
          <w:ilvl w:val="0"/>
          <w:numId w:val="20"/>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nepasiektas klientų vertinimo rodiklis (≥85 %);</w:t>
      </w:r>
    </w:p>
    <w:p w14:paraId="77EA9E3F" w14:textId="5AB970C5" w:rsidR="00B5789C" w:rsidRPr="005119D2" w:rsidRDefault="0D5520A3" w:rsidP="006C7AB7">
      <w:pPr>
        <w:pStyle w:val="Sraopastraipa"/>
        <w:numPr>
          <w:ilvl w:val="0"/>
          <w:numId w:val="20"/>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nepasiektas konsultantų testų išlaikymo rodiklis;</w:t>
      </w:r>
    </w:p>
    <w:p w14:paraId="6D8F4F6B" w14:textId="3E758326" w:rsidR="00B5789C" w:rsidRPr="005119D2" w:rsidRDefault="0D5520A3" w:rsidP="006C7AB7">
      <w:pPr>
        <w:pStyle w:val="Sraopastraipa"/>
        <w:numPr>
          <w:ilvl w:val="0"/>
          <w:numId w:val="20"/>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nepateiktos arba pavėluotai pateiktos ataskaitos;</w:t>
      </w:r>
    </w:p>
    <w:p w14:paraId="3FC9D427" w14:textId="521EE532" w:rsidR="00B5789C" w:rsidRPr="005119D2" w:rsidRDefault="0D5520A3" w:rsidP="006C7AB7">
      <w:pPr>
        <w:pStyle w:val="Sraopastraipa"/>
        <w:numPr>
          <w:ilvl w:val="0"/>
          <w:numId w:val="20"/>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nesudaryta galimybė realiu laiku stebėti duomenis;</w:t>
      </w:r>
    </w:p>
    <w:p w14:paraId="10CAAF70" w14:textId="579F4935" w:rsidR="00B5789C" w:rsidRPr="005119D2" w:rsidRDefault="0D5520A3" w:rsidP="006C7AB7">
      <w:pPr>
        <w:pStyle w:val="Sraopastraipa"/>
        <w:numPr>
          <w:ilvl w:val="0"/>
          <w:numId w:val="20"/>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nesilaikoma kitų nustatytų reikalavimų.</w:t>
      </w:r>
    </w:p>
    <w:p w14:paraId="6D2B02AF" w14:textId="673C03F0" w:rsidR="00B5789C" w:rsidRPr="005119D2" w:rsidRDefault="0D5520A3" w:rsidP="005119D2">
      <w:pPr>
        <w:pStyle w:val="Antrat3"/>
        <w:numPr>
          <w:ilvl w:val="0"/>
          <w:numId w:val="0"/>
        </w:numPr>
        <w:spacing w:before="0" w:line="240" w:lineRule="auto"/>
        <w:jc w:val="both"/>
        <w:rPr>
          <w:rFonts w:cstheme="majorHAnsi"/>
          <w:lang w:val="lt-LT"/>
        </w:rPr>
      </w:pPr>
      <w:r w:rsidRPr="005119D2">
        <w:rPr>
          <w:rFonts w:eastAsia="Segoe UI" w:cstheme="majorHAnsi"/>
          <w:lang w:val="lt-LT"/>
        </w:rPr>
        <w:t>8.3. Sankcijų forma</w:t>
      </w:r>
    </w:p>
    <w:p w14:paraId="10665ADF" w14:textId="3F926350"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Sankcijos taikomos kaip proporcingas mėnesinės paslaugų kainos mažinimas, atsižvelgiant į nepasiektų rodiklių mastą.</w:t>
      </w:r>
    </w:p>
    <w:p w14:paraId="460FEFE8" w14:textId="6D74D551" w:rsidR="00B5789C" w:rsidRPr="005119D2" w:rsidRDefault="0D5520A3"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8.4. Korekciniai veiksmai</w:t>
      </w:r>
    </w:p>
    <w:p w14:paraId="6F9788A5" w14:textId="24BAEAD4"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Nustačius rodiklių neatitikimus, Paslaugų teikėjas per 5 darbo dienas privalo pateikti korekcinių veiksmų planą.</w:t>
      </w:r>
    </w:p>
    <w:p w14:paraId="45BC0B36" w14:textId="2430F83C" w:rsidR="00B5789C" w:rsidRPr="005119D2" w:rsidRDefault="0D5520A3"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8.5. Pakartotiniai pažeidimai</w:t>
      </w:r>
    </w:p>
    <w:p w14:paraId="5CE3527F" w14:textId="31871EA1" w:rsidR="00B5789C" w:rsidRPr="005119D2" w:rsidRDefault="0D5520A3" w:rsidP="005119D2">
      <w:pPr>
        <w:spacing w:after="0" w:line="240" w:lineRule="auto"/>
        <w:jc w:val="both"/>
        <w:rPr>
          <w:rFonts w:asciiTheme="majorHAnsi" w:hAnsiTheme="majorHAnsi" w:cstheme="majorHAnsi"/>
          <w:lang w:val="lt-LT"/>
        </w:rPr>
      </w:pPr>
      <w:r w:rsidRPr="005119D2">
        <w:rPr>
          <w:rFonts w:asciiTheme="majorHAnsi" w:eastAsia="Segoe UI" w:hAnsiTheme="majorHAnsi" w:cstheme="majorHAnsi"/>
          <w:lang w:val="lt-LT"/>
        </w:rPr>
        <w:t>Jei tas pats rodiklis nepasiekiamas du ataskaitinius laikotarpius iš eilės, Paslaugų gavėjas turi teisę:</w:t>
      </w:r>
    </w:p>
    <w:p w14:paraId="7AE60435" w14:textId="130F3F79" w:rsidR="00B5789C" w:rsidRPr="005119D2" w:rsidRDefault="0D5520A3" w:rsidP="006C7AB7">
      <w:pPr>
        <w:pStyle w:val="Sraopastraipa"/>
        <w:numPr>
          <w:ilvl w:val="0"/>
          <w:numId w:val="21"/>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reikalauti pakeisti konsultantus;</w:t>
      </w:r>
    </w:p>
    <w:p w14:paraId="18A4F2E6" w14:textId="034F8C75" w:rsidR="00B5789C" w:rsidRPr="005119D2" w:rsidRDefault="0D5520A3" w:rsidP="006C7AB7">
      <w:pPr>
        <w:pStyle w:val="Sraopastraipa"/>
        <w:numPr>
          <w:ilvl w:val="0"/>
          <w:numId w:val="21"/>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reikalauti papildomų mokymų;</w:t>
      </w:r>
    </w:p>
    <w:p w14:paraId="7DEC8A10" w14:textId="5D4A5B49" w:rsidR="00B5789C" w:rsidRPr="005119D2" w:rsidRDefault="0D5520A3" w:rsidP="006C7AB7">
      <w:pPr>
        <w:pStyle w:val="Sraopastraipa"/>
        <w:numPr>
          <w:ilvl w:val="0"/>
          <w:numId w:val="21"/>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taikyti papildomas sankcijas;</w:t>
      </w:r>
    </w:p>
    <w:p w14:paraId="33CCC82C" w14:textId="3223E66D" w:rsidR="00B5789C" w:rsidRPr="005119D2" w:rsidRDefault="0D5520A3" w:rsidP="006C7AB7">
      <w:pPr>
        <w:pStyle w:val="Sraopastraipa"/>
        <w:numPr>
          <w:ilvl w:val="0"/>
          <w:numId w:val="21"/>
        </w:numPr>
        <w:spacing w:after="0" w:line="240" w:lineRule="auto"/>
        <w:ind w:left="720"/>
        <w:jc w:val="both"/>
        <w:rPr>
          <w:rFonts w:asciiTheme="majorHAnsi" w:eastAsia="Segoe UI" w:hAnsiTheme="majorHAnsi" w:cstheme="majorHAnsi"/>
          <w:lang w:val="lt-LT"/>
        </w:rPr>
      </w:pPr>
      <w:r w:rsidRPr="005119D2">
        <w:rPr>
          <w:rFonts w:asciiTheme="majorHAnsi" w:eastAsia="Segoe UI" w:hAnsiTheme="majorHAnsi" w:cstheme="majorHAnsi"/>
          <w:lang w:val="lt-LT"/>
        </w:rPr>
        <w:t>nutraukti sutartį teisės aktų nustatyta tvarka.</w:t>
      </w:r>
    </w:p>
    <w:p w14:paraId="15510B4D" w14:textId="5931891A" w:rsidR="00B5789C" w:rsidRPr="005119D2" w:rsidRDefault="0D5520A3" w:rsidP="005119D2">
      <w:pPr>
        <w:pStyle w:val="Antrat3"/>
        <w:numPr>
          <w:ilvl w:val="0"/>
          <w:numId w:val="0"/>
        </w:numPr>
        <w:spacing w:before="0" w:line="240" w:lineRule="auto"/>
        <w:jc w:val="both"/>
        <w:rPr>
          <w:rFonts w:eastAsia="Segoe UI" w:cstheme="majorHAnsi"/>
          <w:lang w:val="lt-LT"/>
        </w:rPr>
      </w:pPr>
      <w:r w:rsidRPr="005119D2">
        <w:rPr>
          <w:rFonts w:eastAsia="Segoe UI" w:cstheme="majorHAnsi"/>
          <w:lang w:val="lt-LT"/>
        </w:rPr>
        <w:t>8.6. Atsakomybė</w:t>
      </w:r>
    </w:p>
    <w:p w14:paraId="4E557431" w14:textId="7CBD50E1" w:rsidR="00B5789C" w:rsidRPr="005119D2" w:rsidRDefault="0D5520A3" w:rsidP="005119D2">
      <w:pPr>
        <w:spacing w:after="0" w:line="240" w:lineRule="auto"/>
        <w:jc w:val="both"/>
        <w:rPr>
          <w:rFonts w:asciiTheme="majorHAnsi" w:eastAsia="Segoe UI" w:hAnsiTheme="majorHAnsi" w:cstheme="majorHAnsi"/>
          <w:lang w:val="lt-LT"/>
        </w:rPr>
      </w:pPr>
      <w:r w:rsidRPr="005119D2">
        <w:rPr>
          <w:rFonts w:asciiTheme="majorHAnsi" w:eastAsia="Segoe UI" w:hAnsiTheme="majorHAnsi" w:cstheme="majorHAnsi"/>
          <w:lang w:val="lt-LT"/>
        </w:rPr>
        <w:t>Sankcijų taikymas neatleidžia Paslaugų teikėjo nuo pareigos tinkamai vykdyti sutartinius įsipareigojimus.</w:t>
      </w:r>
    </w:p>
    <w:p w14:paraId="6126E445" w14:textId="77777777" w:rsidR="002A2B37" w:rsidRPr="005119D2" w:rsidRDefault="002A2B37" w:rsidP="005119D2">
      <w:pPr>
        <w:spacing w:after="0" w:line="240" w:lineRule="auto"/>
        <w:jc w:val="both"/>
        <w:rPr>
          <w:rFonts w:asciiTheme="majorHAnsi" w:hAnsiTheme="majorHAnsi" w:cstheme="majorHAnsi"/>
          <w:b/>
          <w:bCs/>
          <w:color w:val="4F81BD" w:themeColor="accent1"/>
          <w:lang w:val="lt-LT"/>
        </w:rPr>
      </w:pPr>
    </w:p>
    <w:p w14:paraId="401258FB" w14:textId="77777777" w:rsidR="00C45DCD" w:rsidRPr="005119D2" w:rsidRDefault="00C45DCD" w:rsidP="005119D2">
      <w:pPr>
        <w:spacing w:after="0" w:line="240" w:lineRule="auto"/>
        <w:jc w:val="both"/>
        <w:rPr>
          <w:rFonts w:asciiTheme="majorHAnsi" w:hAnsiTheme="majorHAnsi" w:cstheme="majorHAnsi"/>
          <w:b/>
          <w:bCs/>
          <w:color w:val="4F81BD" w:themeColor="accent1"/>
          <w:lang w:val="lt-LT"/>
        </w:rPr>
      </w:pPr>
    </w:p>
    <w:p w14:paraId="30A8409C" w14:textId="06C375D9" w:rsidR="00A828BA" w:rsidRPr="005119D2" w:rsidRDefault="005E4CEC" w:rsidP="005119D2">
      <w:pPr>
        <w:spacing w:after="0" w:line="240" w:lineRule="auto"/>
        <w:jc w:val="both"/>
        <w:rPr>
          <w:rFonts w:asciiTheme="majorHAnsi" w:hAnsiTheme="majorHAnsi" w:cstheme="majorHAnsi"/>
          <w:b/>
          <w:bCs/>
          <w:color w:val="4F81BD" w:themeColor="accent1"/>
          <w:lang w:val="lt-LT"/>
        </w:rPr>
      </w:pPr>
      <w:r w:rsidRPr="005119D2">
        <w:rPr>
          <w:rFonts w:asciiTheme="majorHAnsi" w:hAnsiTheme="majorHAnsi" w:cstheme="majorHAnsi"/>
          <w:b/>
          <w:bCs/>
          <w:color w:val="4F81BD" w:themeColor="accent1"/>
          <w:lang w:val="lt-LT"/>
        </w:rPr>
        <w:tab/>
      </w:r>
      <w:r w:rsidRPr="005119D2">
        <w:rPr>
          <w:rFonts w:asciiTheme="majorHAnsi" w:hAnsiTheme="majorHAnsi" w:cstheme="majorHAnsi"/>
          <w:b/>
          <w:bCs/>
          <w:color w:val="4F81BD" w:themeColor="accent1"/>
          <w:lang w:val="lt-LT"/>
        </w:rPr>
        <w:tab/>
      </w:r>
      <w:r w:rsidRPr="005119D2">
        <w:rPr>
          <w:rFonts w:asciiTheme="majorHAnsi" w:hAnsiTheme="majorHAnsi" w:cstheme="majorHAnsi"/>
          <w:b/>
          <w:bCs/>
          <w:color w:val="4F81BD" w:themeColor="accent1"/>
          <w:lang w:val="lt-LT"/>
        </w:rPr>
        <w:tab/>
      </w:r>
      <w:r w:rsidRPr="005119D2">
        <w:rPr>
          <w:rFonts w:asciiTheme="majorHAnsi" w:hAnsiTheme="majorHAnsi" w:cstheme="majorHAnsi"/>
          <w:b/>
          <w:bCs/>
          <w:color w:val="4F81BD" w:themeColor="accent1"/>
          <w:lang w:val="lt-LT"/>
        </w:rPr>
        <w:tab/>
      </w:r>
      <w:r w:rsidRPr="005119D2">
        <w:rPr>
          <w:rFonts w:asciiTheme="majorHAnsi" w:hAnsiTheme="majorHAnsi" w:cstheme="majorHAnsi"/>
          <w:b/>
          <w:bCs/>
          <w:color w:val="4F81BD" w:themeColor="accent1"/>
          <w:lang w:val="lt-LT"/>
        </w:rPr>
        <w:tab/>
      </w:r>
      <w:r w:rsidRPr="005119D2">
        <w:rPr>
          <w:rFonts w:asciiTheme="majorHAnsi" w:hAnsiTheme="majorHAnsi" w:cstheme="majorHAnsi"/>
          <w:b/>
          <w:bCs/>
          <w:color w:val="4F81BD" w:themeColor="accent1"/>
          <w:lang w:val="lt-LT"/>
        </w:rPr>
        <w:tab/>
      </w:r>
      <w:r w:rsidRPr="005119D2">
        <w:rPr>
          <w:rFonts w:asciiTheme="majorHAnsi" w:hAnsiTheme="majorHAnsi" w:cstheme="majorHAnsi"/>
          <w:b/>
          <w:bCs/>
          <w:color w:val="4F81BD" w:themeColor="accent1"/>
          <w:lang w:val="lt-LT"/>
        </w:rPr>
        <w:tab/>
      </w:r>
      <w:r w:rsidRPr="005119D2">
        <w:rPr>
          <w:rFonts w:asciiTheme="majorHAnsi" w:hAnsiTheme="majorHAnsi" w:cstheme="majorHAnsi"/>
          <w:b/>
          <w:bCs/>
          <w:color w:val="4F81BD" w:themeColor="accent1"/>
          <w:lang w:val="lt-LT"/>
        </w:rPr>
        <w:tab/>
      </w:r>
      <w:r w:rsidRPr="005119D2">
        <w:rPr>
          <w:rFonts w:asciiTheme="majorHAnsi" w:hAnsiTheme="majorHAnsi" w:cstheme="majorHAnsi"/>
          <w:b/>
          <w:bCs/>
          <w:color w:val="4F81BD" w:themeColor="accent1"/>
          <w:lang w:val="lt-LT"/>
        </w:rPr>
        <w:tab/>
        <w:t>PRIEDAS Nr. 1</w:t>
      </w:r>
    </w:p>
    <w:tbl>
      <w:tblPr>
        <w:tblW w:w="0" w:type="auto"/>
        <w:tblCellSpacing w:w="15" w:type="dxa"/>
        <w:tblInd w:w="-360" w:type="dxa"/>
        <w:tblCellMar>
          <w:top w:w="15" w:type="dxa"/>
          <w:left w:w="15" w:type="dxa"/>
          <w:bottom w:w="15" w:type="dxa"/>
          <w:right w:w="15" w:type="dxa"/>
        </w:tblCellMar>
        <w:tblLook w:val="04A0" w:firstRow="1" w:lastRow="0" w:firstColumn="1" w:lastColumn="0" w:noHBand="0" w:noVBand="1"/>
      </w:tblPr>
      <w:tblGrid>
        <w:gridCol w:w="387"/>
        <w:gridCol w:w="1869"/>
        <w:gridCol w:w="2428"/>
        <w:gridCol w:w="5043"/>
        <w:gridCol w:w="589"/>
      </w:tblGrid>
      <w:tr w:rsidR="00777E54" w:rsidRPr="005119D2" w14:paraId="26A79363"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363A2A6" w14:textId="77777777" w:rsidR="00777E54" w:rsidRPr="005119D2" w:rsidRDefault="00777E54" w:rsidP="005119D2">
            <w:pPr>
              <w:spacing w:after="0" w:line="240" w:lineRule="auto"/>
              <w:jc w:val="both"/>
              <w:rPr>
                <w:rFonts w:asciiTheme="majorHAnsi" w:hAnsiTheme="majorHAnsi" w:cstheme="majorHAnsi"/>
                <w:b/>
                <w:bCs/>
                <w:lang w:val="lt-LT"/>
              </w:rPr>
            </w:pPr>
            <w:r w:rsidRPr="005119D2">
              <w:rPr>
                <w:rFonts w:asciiTheme="majorHAnsi" w:hAnsiTheme="majorHAnsi" w:cstheme="majorHAnsi"/>
                <w:b/>
                <w:bCs/>
                <w:lang w:val="lt-LT"/>
              </w:rPr>
              <w:t>Nr.</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063A2D5" w14:textId="77777777" w:rsidR="00777E54" w:rsidRPr="005119D2" w:rsidRDefault="00777E54" w:rsidP="005119D2">
            <w:pPr>
              <w:spacing w:after="0" w:line="240" w:lineRule="auto"/>
              <w:jc w:val="both"/>
              <w:rPr>
                <w:rFonts w:asciiTheme="majorHAnsi" w:hAnsiTheme="majorHAnsi" w:cstheme="majorHAnsi"/>
                <w:b/>
                <w:bCs/>
                <w:lang w:val="lt-LT"/>
              </w:rPr>
            </w:pPr>
            <w:r w:rsidRPr="005119D2">
              <w:rPr>
                <w:rFonts w:asciiTheme="majorHAnsi" w:hAnsiTheme="majorHAnsi" w:cstheme="majorHAnsi"/>
                <w:b/>
                <w:bCs/>
                <w:lang w:val="lt-LT"/>
              </w:rPr>
              <w:t>Vertinimo sritis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96A87C5" w14:textId="77777777" w:rsidR="00777E54" w:rsidRPr="005119D2" w:rsidRDefault="00777E54" w:rsidP="005119D2">
            <w:pPr>
              <w:spacing w:after="0" w:line="240" w:lineRule="auto"/>
              <w:jc w:val="both"/>
              <w:rPr>
                <w:rFonts w:asciiTheme="majorHAnsi" w:hAnsiTheme="majorHAnsi" w:cstheme="majorHAnsi"/>
                <w:b/>
                <w:bCs/>
                <w:lang w:val="lt-LT"/>
              </w:rPr>
            </w:pPr>
            <w:r w:rsidRPr="005119D2">
              <w:rPr>
                <w:rFonts w:asciiTheme="majorHAnsi" w:hAnsiTheme="majorHAnsi" w:cstheme="majorHAnsi"/>
                <w:b/>
                <w:bCs/>
                <w:lang w:val="lt-LT"/>
              </w:rPr>
              <w:t>Kriterijus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6E7417F" w14:textId="77777777" w:rsidR="00777E54" w:rsidRPr="005119D2" w:rsidRDefault="00777E54" w:rsidP="005119D2">
            <w:pPr>
              <w:spacing w:after="0" w:line="240" w:lineRule="auto"/>
              <w:jc w:val="both"/>
              <w:rPr>
                <w:rFonts w:asciiTheme="majorHAnsi" w:hAnsiTheme="majorHAnsi" w:cstheme="majorHAnsi"/>
                <w:b/>
                <w:bCs/>
                <w:lang w:val="lt-LT"/>
              </w:rPr>
            </w:pPr>
            <w:r w:rsidRPr="005119D2">
              <w:rPr>
                <w:rFonts w:asciiTheme="majorHAnsi" w:hAnsiTheme="majorHAnsi" w:cstheme="majorHAnsi"/>
                <w:b/>
                <w:bCs/>
                <w:lang w:val="lt-LT"/>
              </w:rPr>
              <w:t>Aprašymas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0C87E72" w14:textId="77777777" w:rsidR="00777E54" w:rsidRPr="005119D2" w:rsidRDefault="00777E54" w:rsidP="005119D2">
            <w:pPr>
              <w:spacing w:after="0" w:line="240" w:lineRule="auto"/>
              <w:jc w:val="both"/>
              <w:rPr>
                <w:rFonts w:asciiTheme="majorHAnsi" w:hAnsiTheme="majorHAnsi" w:cstheme="majorHAnsi"/>
                <w:b/>
                <w:bCs/>
                <w:lang w:val="lt-LT"/>
              </w:rPr>
            </w:pPr>
            <w:r w:rsidRPr="005119D2">
              <w:rPr>
                <w:rFonts w:asciiTheme="majorHAnsi" w:hAnsiTheme="majorHAnsi" w:cstheme="majorHAnsi"/>
                <w:b/>
                <w:bCs/>
                <w:lang w:val="lt-LT"/>
              </w:rPr>
              <w:t>Balas</w:t>
            </w:r>
          </w:p>
        </w:tc>
      </w:tr>
      <w:tr w:rsidR="00777E54" w:rsidRPr="005119D2" w14:paraId="1DE8340D"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CE0ABF"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7EEED5"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Bendravimas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9D2E5E"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Mandagumas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08AB28"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Mandagus, profesionalus bendravimas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9B03A8"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1–5</w:t>
            </w:r>
          </w:p>
        </w:tc>
      </w:tr>
      <w:tr w:rsidR="00777E54" w:rsidRPr="005119D2" w14:paraId="3BE8A0F2"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0219F67"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ED1399"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Bendravimas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15C50D"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Aiškumas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354FDA"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Informacija pateikta aiškiai ir suprantamai</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44526A7"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1–5</w:t>
            </w:r>
          </w:p>
        </w:tc>
      </w:tr>
      <w:tr w:rsidR="00777E54" w:rsidRPr="005119D2" w14:paraId="3D7A40E0"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6733A4E"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3</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D90ACBB"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Informacija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3F7F70"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Tikslumas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08CF1E"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Pateikta informacija teisinga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FE8D2A"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1–5</w:t>
            </w:r>
          </w:p>
        </w:tc>
      </w:tr>
      <w:tr w:rsidR="00777E54" w:rsidRPr="005119D2" w14:paraId="669ACC72"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617A932"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4</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C29225"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Informacija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6D6B02"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Išsamumas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AF1634"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Pateikta pilna informacija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F380A4"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1–5</w:t>
            </w:r>
          </w:p>
        </w:tc>
      </w:tr>
      <w:tr w:rsidR="00777E54" w:rsidRPr="005119D2" w14:paraId="22C7E3BC"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BA22C72"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5</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8FF4FE"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Procesas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B69D78"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Procedūrų laikymasis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0C405B2"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Laikytasi visų nustatytų taisyklių</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1B563B"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1–5</w:t>
            </w:r>
          </w:p>
        </w:tc>
      </w:tr>
      <w:tr w:rsidR="00777E54" w:rsidRPr="005119D2" w14:paraId="10A4AE4C"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9787604"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6</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5465AC"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Procesas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CD58BE"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Duomenų registravimas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D24206"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Teisingai užregistruoti duomenys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3BA138"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1–5</w:t>
            </w:r>
          </w:p>
        </w:tc>
      </w:tr>
      <w:tr w:rsidR="00777E54" w:rsidRPr="005119D2" w14:paraId="2732A175"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8BF61FE"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1F1296"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Rezultatas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18B8A5"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Problemos sprendimas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70559A"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Kliento klausimas išspręstas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90DB1C"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1–5</w:t>
            </w:r>
          </w:p>
        </w:tc>
      </w:tr>
      <w:tr w:rsidR="00777E54" w:rsidRPr="005119D2" w14:paraId="633E28D2"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C68C8A3"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8</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AE60BD4"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Rezultatas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6608C19"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Pirmo kontakto sprendimas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EB6AE1"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Sprendimas be eskalavimo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27024BC" w14:textId="77777777" w:rsidR="00777E54" w:rsidRPr="005119D2" w:rsidRDefault="00777E54"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1–5</w:t>
            </w:r>
          </w:p>
        </w:tc>
      </w:tr>
      <w:tr w:rsidR="00577475" w:rsidRPr="005119D2" w14:paraId="4F4EDBED"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67AA1A76" w14:textId="5D0D2A4D" w:rsidR="00577475" w:rsidRPr="005119D2" w:rsidRDefault="0057747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9</w:t>
            </w:r>
          </w:p>
        </w:tc>
        <w:tc>
          <w:tcPr>
            <w:tcW w:w="0" w:type="auto"/>
            <w:tcBorders>
              <w:top w:val="single" w:sz="6" w:space="0" w:color="E6E6E6"/>
              <w:left w:val="single" w:sz="6" w:space="0" w:color="E6E6E6"/>
              <w:bottom w:val="single" w:sz="6" w:space="0" w:color="E6E6E6"/>
              <w:right w:val="single" w:sz="6" w:space="0" w:color="E6E6E6"/>
            </w:tcBorders>
            <w:vAlign w:val="center"/>
          </w:tcPr>
          <w:p w14:paraId="03C5FFE1" w14:textId="02E980F6" w:rsidR="00577475" w:rsidRPr="005119D2" w:rsidRDefault="0057747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Informacija</w:t>
            </w:r>
          </w:p>
        </w:tc>
        <w:tc>
          <w:tcPr>
            <w:tcW w:w="0" w:type="auto"/>
            <w:tcBorders>
              <w:top w:val="single" w:sz="6" w:space="0" w:color="E6E6E6"/>
              <w:left w:val="single" w:sz="6" w:space="0" w:color="E6E6E6"/>
              <w:bottom w:val="single" w:sz="6" w:space="0" w:color="E6E6E6"/>
              <w:right w:val="single" w:sz="6" w:space="0" w:color="E6E6E6"/>
            </w:tcBorders>
            <w:vAlign w:val="center"/>
          </w:tcPr>
          <w:p w14:paraId="5DF61A80" w14:textId="33CC96D7" w:rsidR="00577475" w:rsidRPr="005119D2" w:rsidRDefault="0057747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Aktualumas</w:t>
            </w:r>
          </w:p>
        </w:tc>
        <w:tc>
          <w:tcPr>
            <w:tcW w:w="0" w:type="auto"/>
            <w:tcBorders>
              <w:top w:val="single" w:sz="6" w:space="0" w:color="E6E6E6"/>
              <w:left w:val="single" w:sz="6" w:space="0" w:color="E6E6E6"/>
              <w:bottom w:val="single" w:sz="6" w:space="0" w:color="E6E6E6"/>
              <w:right w:val="single" w:sz="6" w:space="0" w:color="E6E6E6"/>
            </w:tcBorders>
            <w:vAlign w:val="center"/>
          </w:tcPr>
          <w:p w14:paraId="45639071" w14:textId="63509EDB" w:rsidR="00577475" w:rsidRPr="005119D2" w:rsidRDefault="0057747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Naudota aktuali, naujausia informacija</w:t>
            </w:r>
          </w:p>
        </w:tc>
        <w:tc>
          <w:tcPr>
            <w:tcW w:w="0" w:type="auto"/>
            <w:tcBorders>
              <w:top w:val="single" w:sz="6" w:space="0" w:color="E6E6E6"/>
              <w:left w:val="single" w:sz="6" w:space="0" w:color="E6E6E6"/>
              <w:bottom w:val="single" w:sz="6" w:space="0" w:color="E6E6E6"/>
              <w:right w:val="single" w:sz="6" w:space="0" w:color="E6E6E6"/>
            </w:tcBorders>
            <w:vAlign w:val="center"/>
          </w:tcPr>
          <w:p w14:paraId="17A92721" w14:textId="08BEADD7" w:rsidR="00577475" w:rsidRPr="005119D2" w:rsidRDefault="0057747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 1–5</w:t>
            </w:r>
          </w:p>
        </w:tc>
      </w:tr>
      <w:tr w:rsidR="00577475" w:rsidRPr="005119D2" w14:paraId="07E07614" w14:textId="77777777" w:rsidTr="0043172E">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251FEB93" w14:textId="346D22E9" w:rsidR="00577475" w:rsidRPr="005119D2" w:rsidRDefault="0007397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10</w:t>
            </w:r>
          </w:p>
        </w:tc>
        <w:tc>
          <w:tcPr>
            <w:tcW w:w="0" w:type="auto"/>
            <w:tcBorders>
              <w:top w:val="single" w:sz="6" w:space="0" w:color="E6E6E6"/>
              <w:left w:val="single" w:sz="6" w:space="0" w:color="E6E6E6"/>
              <w:bottom w:val="single" w:sz="6" w:space="0" w:color="E6E6E6"/>
              <w:right w:val="single" w:sz="6" w:space="0" w:color="E6E6E6"/>
            </w:tcBorders>
            <w:vAlign w:val="center"/>
          </w:tcPr>
          <w:p w14:paraId="1D271983" w14:textId="77777777" w:rsidR="00073975" w:rsidRPr="005119D2" w:rsidRDefault="00073975"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Aptarnavimo kokybė</w:t>
            </w:r>
          </w:p>
          <w:p w14:paraId="549D3946" w14:textId="77777777" w:rsidR="00577475" w:rsidRPr="005119D2" w:rsidRDefault="00577475" w:rsidP="005119D2">
            <w:pPr>
              <w:spacing w:after="0" w:line="240" w:lineRule="auto"/>
              <w:jc w:val="both"/>
              <w:rPr>
                <w:rFonts w:asciiTheme="majorHAnsi" w:hAnsiTheme="majorHAnsi" w:cstheme="majorHAnsi"/>
                <w:lang w:val="lt-LT"/>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79E8AB30" w14:textId="77777777" w:rsidR="002C41F3" w:rsidRPr="005119D2" w:rsidRDefault="002C41F3"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Iniciatyvumas</w:t>
            </w:r>
          </w:p>
          <w:p w14:paraId="2EAB0839" w14:textId="77777777" w:rsidR="00577475" w:rsidRPr="005119D2" w:rsidRDefault="00577475" w:rsidP="005119D2">
            <w:pPr>
              <w:spacing w:after="0" w:line="240" w:lineRule="auto"/>
              <w:jc w:val="both"/>
              <w:rPr>
                <w:rFonts w:asciiTheme="majorHAnsi" w:hAnsiTheme="majorHAnsi" w:cstheme="majorHAnsi"/>
                <w:lang w:val="lt-LT"/>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47238527" w14:textId="77777777" w:rsidR="002C41F3" w:rsidRPr="005119D2" w:rsidRDefault="002C41F3"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Konsultantas pasiūlė sprendimą ar papildomą naudą klientui</w:t>
            </w:r>
          </w:p>
          <w:p w14:paraId="72674BB8" w14:textId="77777777" w:rsidR="00577475" w:rsidRPr="005119D2" w:rsidRDefault="00577475" w:rsidP="005119D2">
            <w:pPr>
              <w:spacing w:after="0" w:line="240" w:lineRule="auto"/>
              <w:jc w:val="both"/>
              <w:rPr>
                <w:rFonts w:asciiTheme="majorHAnsi" w:hAnsiTheme="majorHAnsi" w:cstheme="majorHAnsi"/>
                <w:lang w:val="lt-LT"/>
              </w:rPr>
            </w:pPr>
          </w:p>
        </w:tc>
        <w:tc>
          <w:tcPr>
            <w:tcW w:w="0" w:type="auto"/>
            <w:tcBorders>
              <w:top w:val="single" w:sz="6" w:space="0" w:color="E6E6E6"/>
              <w:left w:val="single" w:sz="6" w:space="0" w:color="E6E6E6"/>
              <w:bottom w:val="single" w:sz="6" w:space="0" w:color="E6E6E6"/>
              <w:right w:val="single" w:sz="6" w:space="0" w:color="E6E6E6"/>
            </w:tcBorders>
            <w:vAlign w:val="center"/>
          </w:tcPr>
          <w:p w14:paraId="4052E604" w14:textId="77777777" w:rsidR="002C41F3" w:rsidRPr="005119D2" w:rsidRDefault="002C41F3"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1–5</w:t>
            </w:r>
          </w:p>
          <w:p w14:paraId="7FD0C9F3" w14:textId="77777777" w:rsidR="00577475" w:rsidRPr="005119D2" w:rsidRDefault="00577475" w:rsidP="005119D2">
            <w:pPr>
              <w:spacing w:after="0" w:line="240" w:lineRule="auto"/>
              <w:jc w:val="both"/>
              <w:rPr>
                <w:rFonts w:asciiTheme="majorHAnsi" w:hAnsiTheme="majorHAnsi" w:cstheme="majorHAnsi"/>
                <w:lang w:val="lt-LT"/>
              </w:rPr>
            </w:pPr>
          </w:p>
        </w:tc>
      </w:tr>
    </w:tbl>
    <w:p w14:paraId="1C9F71A7" w14:textId="132EBF6F" w:rsidR="00B5789C" w:rsidRPr="005119D2" w:rsidRDefault="00B5789C" w:rsidP="005119D2">
      <w:pPr>
        <w:spacing w:after="0" w:line="240" w:lineRule="auto"/>
        <w:jc w:val="both"/>
        <w:rPr>
          <w:rFonts w:asciiTheme="majorHAnsi" w:hAnsiTheme="majorHAnsi" w:cstheme="majorHAnsi"/>
          <w:lang w:val="lt-LT"/>
        </w:rPr>
      </w:pPr>
    </w:p>
    <w:p w14:paraId="7B586310" w14:textId="456406AE" w:rsidR="00994976" w:rsidRPr="005119D2" w:rsidRDefault="00994976"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Vertinimo interpretacija: 4–5 balai – atitinka reikalavimus; 3–3,9 balo – iš dalies atitinka reikalavimus (reikalingi tobulinimai); mažiau nei 3 balai – neatitinka reikalavimų.</w:t>
      </w:r>
    </w:p>
    <w:p w14:paraId="1AEC73BF" w14:textId="2F5E5B41" w:rsidR="00C45DCD" w:rsidRPr="005119D2" w:rsidRDefault="00A476AE" w:rsidP="005119D2">
      <w:pPr>
        <w:spacing w:after="0" w:line="240" w:lineRule="auto"/>
        <w:jc w:val="both"/>
        <w:rPr>
          <w:rFonts w:asciiTheme="majorHAnsi" w:hAnsiTheme="majorHAnsi" w:cstheme="majorHAnsi"/>
          <w:lang w:val="lt-LT"/>
        </w:rPr>
      </w:pPr>
      <w:r w:rsidRPr="005119D2">
        <w:rPr>
          <w:rFonts w:asciiTheme="majorHAnsi" w:hAnsiTheme="majorHAnsi" w:cstheme="majorHAnsi"/>
          <w:lang w:val="lt-LT"/>
        </w:rPr>
        <w:t>Bendras įvertinimas apskaičiuojamas kaip visų kriterijų vidurkis. Teigiamu laikomas vertinimas, kai vidurkis ne mažesnis kaip 4 balai.</w:t>
      </w:r>
    </w:p>
    <w:p w14:paraId="39059CAA" w14:textId="77777777" w:rsidR="00C45DCD" w:rsidRPr="005119D2" w:rsidRDefault="00C45DCD" w:rsidP="005119D2">
      <w:pPr>
        <w:spacing w:after="0" w:line="240" w:lineRule="auto"/>
        <w:jc w:val="both"/>
        <w:rPr>
          <w:rFonts w:asciiTheme="majorHAnsi" w:hAnsiTheme="majorHAnsi" w:cstheme="majorHAnsi"/>
          <w:lang w:val="lt-LT"/>
        </w:rPr>
      </w:pPr>
    </w:p>
    <w:p w14:paraId="2F83EE6C" w14:textId="77777777" w:rsidR="00777E54" w:rsidRPr="005119D2" w:rsidRDefault="00777E54" w:rsidP="005119D2">
      <w:pPr>
        <w:spacing w:after="0" w:line="240" w:lineRule="auto"/>
        <w:jc w:val="both"/>
        <w:rPr>
          <w:rFonts w:asciiTheme="majorHAnsi" w:hAnsiTheme="majorHAnsi" w:cstheme="majorHAnsi"/>
          <w:lang w:val="lt-LT"/>
        </w:rPr>
      </w:pPr>
    </w:p>
    <w:sectPr w:rsidR="00777E54" w:rsidRPr="005119D2" w:rsidSect="005119D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6" w15:restartNumberingAfterBreak="0">
    <w:nsid w:val="05040B64"/>
    <w:multiLevelType w:val="hybridMultilevel"/>
    <w:tmpl w:val="1F986E9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05DC711F"/>
    <w:multiLevelType w:val="hybridMultilevel"/>
    <w:tmpl w:val="2BA6F0E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09455B22"/>
    <w:multiLevelType w:val="multilevel"/>
    <w:tmpl w:val="EB769A4A"/>
    <w:lvl w:ilvl="0">
      <w:start w:val="1"/>
      <w:numFmt w:val="decimal"/>
      <w:pStyle w:val="Antrat1"/>
      <w:lvlText w:val="%1."/>
      <w:lvlJc w:val="left"/>
      <w:pPr>
        <w:ind w:left="360" w:hanging="360"/>
      </w:pPr>
      <w:rPr>
        <w:rFonts w:hint="default"/>
      </w:rPr>
    </w:lvl>
    <w:lvl w:ilvl="1">
      <w:start w:val="1"/>
      <w:numFmt w:val="decimal"/>
      <w:pStyle w:val="Antrat2"/>
      <w:lvlText w:val="%1.%2"/>
      <w:lvlJc w:val="left"/>
      <w:pPr>
        <w:ind w:left="720" w:hanging="360"/>
      </w:pPr>
      <w:rPr>
        <w:rFonts w:hint="default"/>
      </w:rPr>
    </w:lvl>
    <w:lvl w:ilvl="2">
      <w:start w:val="1"/>
      <w:numFmt w:val="decimal"/>
      <w:pStyle w:val="Antrat3"/>
      <w:lvlText w:val="%1.%2.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D032DC"/>
    <w:multiLevelType w:val="hybridMultilevel"/>
    <w:tmpl w:val="088AF2A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58F0B78"/>
    <w:multiLevelType w:val="hybridMultilevel"/>
    <w:tmpl w:val="0A5E387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5D63252"/>
    <w:multiLevelType w:val="hybridMultilevel"/>
    <w:tmpl w:val="FA182A7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F951AFD"/>
    <w:multiLevelType w:val="hybridMultilevel"/>
    <w:tmpl w:val="760C34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31984944"/>
    <w:multiLevelType w:val="hybridMultilevel"/>
    <w:tmpl w:val="084E11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D9379A2"/>
    <w:multiLevelType w:val="hybridMultilevel"/>
    <w:tmpl w:val="A92447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2376CC3"/>
    <w:multiLevelType w:val="hybridMultilevel"/>
    <w:tmpl w:val="0D56FE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3325F7"/>
    <w:multiLevelType w:val="hybridMultilevel"/>
    <w:tmpl w:val="90ACA89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55E45FB6"/>
    <w:multiLevelType w:val="hybridMultilevel"/>
    <w:tmpl w:val="98043A0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AEB457A"/>
    <w:multiLevelType w:val="hybridMultilevel"/>
    <w:tmpl w:val="B16C29E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5F3C57B1"/>
    <w:multiLevelType w:val="hybridMultilevel"/>
    <w:tmpl w:val="37AE68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3673E58"/>
    <w:multiLevelType w:val="hybridMultilevel"/>
    <w:tmpl w:val="C40EC73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689C6E01"/>
    <w:multiLevelType w:val="hybridMultilevel"/>
    <w:tmpl w:val="0B6A657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704B4FEF"/>
    <w:multiLevelType w:val="hybridMultilevel"/>
    <w:tmpl w:val="D9CAB7E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75CA087E"/>
    <w:multiLevelType w:val="hybridMultilevel"/>
    <w:tmpl w:val="776282F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68D3E05"/>
    <w:multiLevelType w:val="hybridMultilevel"/>
    <w:tmpl w:val="9A02CD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39240089">
    <w:abstractNumId w:val="5"/>
  </w:num>
  <w:num w:numId="2" w16cid:durableId="516235667">
    <w:abstractNumId w:val="3"/>
  </w:num>
  <w:num w:numId="3" w16cid:durableId="1892493104">
    <w:abstractNumId w:val="2"/>
  </w:num>
  <w:num w:numId="4" w16cid:durableId="752436512">
    <w:abstractNumId w:val="4"/>
  </w:num>
  <w:num w:numId="5" w16cid:durableId="1364594818">
    <w:abstractNumId w:val="1"/>
  </w:num>
  <w:num w:numId="6" w16cid:durableId="1244680298">
    <w:abstractNumId w:val="0"/>
  </w:num>
  <w:num w:numId="7" w16cid:durableId="1509831546">
    <w:abstractNumId w:val="8"/>
  </w:num>
  <w:num w:numId="8" w16cid:durableId="2085684486">
    <w:abstractNumId w:val="19"/>
  </w:num>
  <w:num w:numId="9" w16cid:durableId="105470970">
    <w:abstractNumId w:val="15"/>
  </w:num>
  <w:num w:numId="10" w16cid:durableId="1126243172">
    <w:abstractNumId w:val="7"/>
  </w:num>
  <w:num w:numId="11" w16cid:durableId="1750033824">
    <w:abstractNumId w:val="24"/>
  </w:num>
  <w:num w:numId="12" w16cid:durableId="659886065">
    <w:abstractNumId w:val="13"/>
  </w:num>
  <w:num w:numId="13" w16cid:durableId="1137647725">
    <w:abstractNumId w:val="10"/>
  </w:num>
  <w:num w:numId="14" w16cid:durableId="1792551266">
    <w:abstractNumId w:val="17"/>
  </w:num>
  <w:num w:numId="15" w16cid:durableId="1246913457">
    <w:abstractNumId w:val="16"/>
  </w:num>
  <w:num w:numId="16" w16cid:durableId="1615672205">
    <w:abstractNumId w:val="20"/>
  </w:num>
  <w:num w:numId="17" w16cid:durableId="1947928693">
    <w:abstractNumId w:val="12"/>
  </w:num>
  <w:num w:numId="18" w16cid:durableId="1825511491">
    <w:abstractNumId w:val="9"/>
  </w:num>
  <w:num w:numId="19" w16cid:durableId="507334350">
    <w:abstractNumId w:val="21"/>
  </w:num>
  <w:num w:numId="20" w16cid:durableId="183903923">
    <w:abstractNumId w:val="18"/>
  </w:num>
  <w:num w:numId="21" w16cid:durableId="110053705">
    <w:abstractNumId w:val="14"/>
  </w:num>
  <w:num w:numId="22" w16cid:durableId="599794577">
    <w:abstractNumId w:val="11"/>
  </w:num>
  <w:num w:numId="23" w16cid:durableId="1714498625">
    <w:abstractNumId w:val="6"/>
  </w:num>
  <w:num w:numId="24" w16cid:durableId="974798998">
    <w:abstractNumId w:val="23"/>
  </w:num>
  <w:num w:numId="25" w16cid:durableId="47815788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FD7"/>
    <w:rsid w:val="00034616"/>
    <w:rsid w:val="000503E3"/>
    <w:rsid w:val="0006063C"/>
    <w:rsid w:val="00066D06"/>
    <w:rsid w:val="00073975"/>
    <w:rsid w:val="0009569D"/>
    <w:rsid w:val="000A146E"/>
    <w:rsid w:val="000A195D"/>
    <w:rsid w:val="000A5BF2"/>
    <w:rsid w:val="000E18D9"/>
    <w:rsid w:val="000E4D41"/>
    <w:rsid w:val="0010209D"/>
    <w:rsid w:val="0011763E"/>
    <w:rsid w:val="00126085"/>
    <w:rsid w:val="0015074B"/>
    <w:rsid w:val="001609D6"/>
    <w:rsid w:val="0017447F"/>
    <w:rsid w:val="00197D00"/>
    <w:rsid w:val="001B523D"/>
    <w:rsid w:val="002052C9"/>
    <w:rsid w:val="002450F5"/>
    <w:rsid w:val="0027156E"/>
    <w:rsid w:val="002827C0"/>
    <w:rsid w:val="0029639D"/>
    <w:rsid w:val="002A2B37"/>
    <w:rsid w:val="002C41F3"/>
    <w:rsid w:val="002E2339"/>
    <w:rsid w:val="00326F90"/>
    <w:rsid w:val="00333B32"/>
    <w:rsid w:val="0036271A"/>
    <w:rsid w:val="0037300E"/>
    <w:rsid w:val="00390C1C"/>
    <w:rsid w:val="003C2EA3"/>
    <w:rsid w:val="003D37A6"/>
    <w:rsid w:val="003E1C85"/>
    <w:rsid w:val="00414958"/>
    <w:rsid w:val="0043172E"/>
    <w:rsid w:val="00450401"/>
    <w:rsid w:val="00463F4F"/>
    <w:rsid w:val="00466913"/>
    <w:rsid w:val="004860F7"/>
    <w:rsid w:val="00487B16"/>
    <w:rsid w:val="004B52E0"/>
    <w:rsid w:val="004D2B4E"/>
    <w:rsid w:val="005119D2"/>
    <w:rsid w:val="00551277"/>
    <w:rsid w:val="00552F97"/>
    <w:rsid w:val="0055425E"/>
    <w:rsid w:val="00577475"/>
    <w:rsid w:val="005E15E1"/>
    <w:rsid w:val="005E3FAC"/>
    <w:rsid w:val="005E4CEC"/>
    <w:rsid w:val="005F01E3"/>
    <w:rsid w:val="005F3715"/>
    <w:rsid w:val="0062622F"/>
    <w:rsid w:val="00672E6A"/>
    <w:rsid w:val="006C46C5"/>
    <w:rsid w:val="006C7AB7"/>
    <w:rsid w:val="006D517C"/>
    <w:rsid w:val="006D5CC1"/>
    <w:rsid w:val="006F37E2"/>
    <w:rsid w:val="006F4595"/>
    <w:rsid w:val="0070439B"/>
    <w:rsid w:val="00744AA5"/>
    <w:rsid w:val="00777E54"/>
    <w:rsid w:val="00781B20"/>
    <w:rsid w:val="007C23E8"/>
    <w:rsid w:val="007D08FE"/>
    <w:rsid w:val="007D74BC"/>
    <w:rsid w:val="00810305"/>
    <w:rsid w:val="00812232"/>
    <w:rsid w:val="00814A63"/>
    <w:rsid w:val="00825B07"/>
    <w:rsid w:val="00832524"/>
    <w:rsid w:val="008438F0"/>
    <w:rsid w:val="00873287"/>
    <w:rsid w:val="0089705F"/>
    <w:rsid w:val="008B453A"/>
    <w:rsid w:val="008B5DB6"/>
    <w:rsid w:val="008D152A"/>
    <w:rsid w:val="008D463C"/>
    <w:rsid w:val="008E2831"/>
    <w:rsid w:val="00930395"/>
    <w:rsid w:val="0093222C"/>
    <w:rsid w:val="0094055E"/>
    <w:rsid w:val="00941937"/>
    <w:rsid w:val="00994976"/>
    <w:rsid w:val="009A2395"/>
    <w:rsid w:val="009B2C0A"/>
    <w:rsid w:val="009F5627"/>
    <w:rsid w:val="00A121FA"/>
    <w:rsid w:val="00A32DC6"/>
    <w:rsid w:val="00A476AE"/>
    <w:rsid w:val="00A828BA"/>
    <w:rsid w:val="00AA1D8D"/>
    <w:rsid w:val="00AB2461"/>
    <w:rsid w:val="00AD5957"/>
    <w:rsid w:val="00AE5BF3"/>
    <w:rsid w:val="00B4561B"/>
    <w:rsid w:val="00B47730"/>
    <w:rsid w:val="00B5789C"/>
    <w:rsid w:val="00BA16FD"/>
    <w:rsid w:val="00BA406B"/>
    <w:rsid w:val="00BA506C"/>
    <w:rsid w:val="00BC4FCF"/>
    <w:rsid w:val="00C1642F"/>
    <w:rsid w:val="00C215D2"/>
    <w:rsid w:val="00C34616"/>
    <w:rsid w:val="00C45DCD"/>
    <w:rsid w:val="00CB0664"/>
    <w:rsid w:val="00CB2597"/>
    <w:rsid w:val="00CF7F32"/>
    <w:rsid w:val="00D070BF"/>
    <w:rsid w:val="00D226D1"/>
    <w:rsid w:val="00D422BF"/>
    <w:rsid w:val="00DA062A"/>
    <w:rsid w:val="00DB085E"/>
    <w:rsid w:val="00DF391D"/>
    <w:rsid w:val="00E156B6"/>
    <w:rsid w:val="00E16FE2"/>
    <w:rsid w:val="00E420B3"/>
    <w:rsid w:val="00E80117"/>
    <w:rsid w:val="00EB2F50"/>
    <w:rsid w:val="00F05DB6"/>
    <w:rsid w:val="00F110BD"/>
    <w:rsid w:val="00F246E7"/>
    <w:rsid w:val="00F47433"/>
    <w:rsid w:val="00F700A5"/>
    <w:rsid w:val="00F7231A"/>
    <w:rsid w:val="00F92143"/>
    <w:rsid w:val="00F96CAD"/>
    <w:rsid w:val="00FB709E"/>
    <w:rsid w:val="00FC693F"/>
    <w:rsid w:val="00FD4153"/>
    <w:rsid w:val="00FE406A"/>
    <w:rsid w:val="00FF052A"/>
    <w:rsid w:val="00FF7AF5"/>
    <w:rsid w:val="07D673EF"/>
    <w:rsid w:val="0D5520A3"/>
    <w:rsid w:val="0F29C546"/>
    <w:rsid w:val="15565551"/>
    <w:rsid w:val="1A338A68"/>
    <w:rsid w:val="21375C68"/>
    <w:rsid w:val="21CC3AC7"/>
    <w:rsid w:val="237BF7E9"/>
    <w:rsid w:val="24796599"/>
    <w:rsid w:val="251B3731"/>
    <w:rsid w:val="27B13436"/>
    <w:rsid w:val="281E786E"/>
    <w:rsid w:val="287AF710"/>
    <w:rsid w:val="29E85EE3"/>
    <w:rsid w:val="2E455296"/>
    <w:rsid w:val="34A0751B"/>
    <w:rsid w:val="34EB010B"/>
    <w:rsid w:val="3759AB26"/>
    <w:rsid w:val="37E96AB2"/>
    <w:rsid w:val="394FCC2A"/>
    <w:rsid w:val="3AD03A0C"/>
    <w:rsid w:val="3D1A6B01"/>
    <w:rsid w:val="3F11EB83"/>
    <w:rsid w:val="433264A9"/>
    <w:rsid w:val="47068406"/>
    <w:rsid w:val="490593DB"/>
    <w:rsid w:val="494A4B4E"/>
    <w:rsid w:val="4C4F2C4E"/>
    <w:rsid w:val="4D168DC6"/>
    <w:rsid w:val="4F1171BD"/>
    <w:rsid w:val="4F3AF2E5"/>
    <w:rsid w:val="509878FF"/>
    <w:rsid w:val="562C7095"/>
    <w:rsid w:val="566DFBF8"/>
    <w:rsid w:val="581B7B8F"/>
    <w:rsid w:val="596E5A17"/>
    <w:rsid w:val="5B58CBCE"/>
    <w:rsid w:val="5B5DFBD7"/>
    <w:rsid w:val="5D24EBA4"/>
    <w:rsid w:val="5F82674E"/>
    <w:rsid w:val="6388ECAE"/>
    <w:rsid w:val="65A2282E"/>
    <w:rsid w:val="65E150A1"/>
    <w:rsid w:val="6B5F6188"/>
    <w:rsid w:val="6CBD1856"/>
    <w:rsid w:val="72A74955"/>
    <w:rsid w:val="77FB9D7F"/>
    <w:rsid w:val="7879C1A8"/>
    <w:rsid w:val="7BD2C84B"/>
    <w:rsid w:val="7CFEF008"/>
    <w:rsid w:val="7E5B1F3B"/>
    <w:rsid w:val="7ED42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B2805AC-A50F-4C8A-B374-2C3BE8C89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numPr>
        <w:numId w:val="7"/>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numPr>
        <w:ilvl w:val="1"/>
        <w:numId w:val="7"/>
      </w:numPr>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numPr>
        <w:ilvl w:val="2"/>
        <w:numId w:val="7"/>
      </w:numPr>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4"/>
      </w:numPr>
      <w:contextualSpacing/>
    </w:pPr>
  </w:style>
  <w:style w:type="paragraph" w:styleId="Sraassunumeriais2">
    <w:name w:val="List Number 2"/>
    <w:basedOn w:val="prastasis"/>
    <w:uiPriority w:val="99"/>
    <w:unhideWhenUsed/>
    <w:rsid w:val="0029639D"/>
    <w:pPr>
      <w:numPr>
        <w:numId w:val="5"/>
      </w:numPr>
      <w:contextualSpacing/>
    </w:pPr>
  </w:style>
  <w:style w:type="paragraph" w:styleId="Sraassunumeriais3">
    <w:name w:val="List Number 3"/>
    <w:basedOn w:val="prastasis"/>
    <w:uiPriority w:val="99"/>
    <w:unhideWhenUsed/>
    <w:rsid w:val="0029639D"/>
    <w:pPr>
      <w:numPr>
        <w:numId w:val="6"/>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saitas">
    <w:name w:val="Hyperlink"/>
    <w:basedOn w:val="Numatytasispastraiposriftas"/>
    <w:uiPriority w:val="99"/>
    <w:unhideWhenUsed/>
    <w:rsid w:val="562C7095"/>
    <w:rPr>
      <w:color w:val="0000FF"/>
      <w:u w:val="single"/>
    </w:rPr>
  </w:style>
  <w:style w:type="character" w:styleId="Komentaronuoroda">
    <w:name w:val="annotation reference"/>
    <w:basedOn w:val="Numatytasispastraiposriftas"/>
    <w:uiPriority w:val="99"/>
    <w:semiHidden/>
    <w:unhideWhenUsed/>
    <w:rsid w:val="00FB709E"/>
    <w:rPr>
      <w:sz w:val="16"/>
      <w:szCs w:val="16"/>
    </w:rPr>
  </w:style>
  <w:style w:type="paragraph" w:styleId="Komentarotekstas">
    <w:name w:val="annotation text"/>
    <w:basedOn w:val="prastasis"/>
    <w:link w:val="KomentarotekstasDiagrama"/>
    <w:uiPriority w:val="99"/>
    <w:unhideWhenUsed/>
    <w:rsid w:val="00FB7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709E"/>
    <w:rPr>
      <w:sz w:val="20"/>
      <w:szCs w:val="20"/>
    </w:rPr>
  </w:style>
  <w:style w:type="paragraph" w:styleId="Komentarotema">
    <w:name w:val="annotation subject"/>
    <w:basedOn w:val="Komentarotekstas"/>
    <w:next w:val="Komentarotekstas"/>
    <w:link w:val="KomentarotemaDiagrama"/>
    <w:uiPriority w:val="99"/>
    <w:semiHidden/>
    <w:unhideWhenUsed/>
    <w:rsid w:val="00FB709E"/>
    <w:rPr>
      <w:b/>
      <w:bCs/>
    </w:rPr>
  </w:style>
  <w:style w:type="character" w:customStyle="1" w:styleId="KomentarotemaDiagrama">
    <w:name w:val="Komentaro tema Diagrama"/>
    <w:basedOn w:val="KomentarotekstasDiagrama"/>
    <w:link w:val="Komentarotema"/>
    <w:uiPriority w:val="99"/>
    <w:semiHidden/>
    <w:rsid w:val="00FB709E"/>
    <w:rPr>
      <w:b/>
      <w:bCs/>
      <w:sz w:val="20"/>
      <w:szCs w:val="20"/>
    </w:rPr>
  </w:style>
  <w:style w:type="paragraph" w:styleId="Pataisymai">
    <w:name w:val="Revision"/>
    <w:hidden/>
    <w:uiPriority w:val="99"/>
    <w:semiHidden/>
    <w:rsid w:val="00FB7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yber@vas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Pages>
  <Words>14375</Words>
  <Characters>8195</Characters>
  <Application>Microsoft Office Word</Application>
  <DocSecurity>0</DocSecurity>
  <Lines>68</Lines>
  <Paragraphs>45</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22525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generated by python-docx</dc:description>
  <cp:lastModifiedBy>Vita Puišienė</cp:lastModifiedBy>
  <cp:revision>60</cp:revision>
  <dcterms:created xsi:type="dcterms:W3CDTF">2026-05-04T05:29:00Z</dcterms:created>
  <dcterms:modified xsi:type="dcterms:W3CDTF">2026-05-06T16:50:00Z</dcterms:modified>
  <cp:category/>
</cp:coreProperties>
</file>