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69884" w14:textId="21C4AEF0" w:rsidR="00F80B38" w:rsidRDefault="00F80B38" w:rsidP="00F80B3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4144">
        <w:rPr>
          <w:rFonts w:ascii="Times New Roman" w:eastAsia="Calibri" w:hAnsi="Times New Roman" w:cs="Times New Roman"/>
          <w:b/>
          <w:caps/>
          <w:sz w:val="24"/>
          <w:szCs w:val="24"/>
        </w:rPr>
        <w:t>Techninė specifikacija</w:t>
      </w:r>
    </w:p>
    <w:p w14:paraId="01BA8DD7" w14:textId="6CE02C99" w:rsidR="005B2188" w:rsidRDefault="005B2188" w:rsidP="00F80B3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6F1BCBF6" w14:textId="77777777" w:rsidR="005B2188" w:rsidRPr="00A94144" w:rsidRDefault="005B2188" w:rsidP="005B218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F05BFF1" w14:textId="77777777" w:rsidR="00F80B38" w:rsidRPr="00A94144" w:rsidRDefault="00F80B38" w:rsidP="00F80B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A15F0A" w14:textId="77777777" w:rsidR="00F80B38" w:rsidRPr="00A94144" w:rsidRDefault="00F80B38" w:rsidP="00F80B38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144">
        <w:rPr>
          <w:rFonts w:ascii="Times New Roman" w:eastAsia="Calibri" w:hAnsi="Times New Roman" w:cs="Times New Roman"/>
          <w:sz w:val="24"/>
          <w:szCs w:val="24"/>
        </w:rPr>
        <w:t>1. Pirkimo objektas – I kaitrumo grupės kuro malkos (uosis, ąžuolas, beržas, klevas, skroblas ar guoba). Malkų ilgis ne trumpesnės kaip 1,5 m. ir ne ilgesnės kaip 3 m.. Drėgnumas  18 - 23 %. Malkos neturi būti supuvusios, sutręšusios. Į malkų kainą turi įeiti visi mokesčiai ir visos kitos išlaidos (pakrovimas, pervežimas,  iškrovimas.  ir kt.).</w:t>
      </w:r>
    </w:p>
    <w:p w14:paraId="67E9FE9C" w14:textId="4F0BB323" w:rsidR="00F80B38" w:rsidRDefault="00F80B38" w:rsidP="00F80B38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94144">
        <w:rPr>
          <w:rFonts w:ascii="Times New Roman" w:eastAsia="Calibri" w:hAnsi="Times New Roman" w:cs="Times New Roman"/>
          <w:sz w:val="24"/>
          <w:szCs w:val="24"/>
        </w:rPr>
        <w:t>.  Perkamų malkų storis ne mažesnis kaip 150 mm</w:t>
      </w:r>
      <w:r w:rsidR="000C1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6CA" w:rsidRPr="000C16CA">
        <w:rPr>
          <w:rFonts w:ascii="Times New Roman" w:eastAsia="Calibri" w:hAnsi="Times New Roman" w:cs="Times New Roman"/>
          <w:sz w:val="24"/>
          <w:szCs w:val="24"/>
        </w:rPr>
        <w:t>ir ne</w:t>
      </w:r>
      <w:r w:rsidR="000C1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6CA" w:rsidRPr="000C16CA">
        <w:rPr>
          <w:rFonts w:ascii="Times New Roman" w:eastAsia="Calibri" w:hAnsi="Times New Roman" w:cs="Times New Roman"/>
          <w:sz w:val="24"/>
          <w:szCs w:val="24"/>
        </w:rPr>
        <w:t>didesnis kaip 600 mm.</w:t>
      </w:r>
      <w:r w:rsidRPr="00A9414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9F271B" w14:textId="30712F08" w:rsidR="00F80B38" w:rsidRPr="00A94144" w:rsidRDefault="00F80B38" w:rsidP="00F80B38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 Malkose neturi būti jokių grybų ar vabzdžių likučių ir joms negali būti taikomi jokie importo apribojimai pagal galiojančius Lietuvos respublikos ar ES teisės aktus.</w:t>
      </w:r>
    </w:p>
    <w:p w14:paraId="16D98C34" w14:textId="2C386F9B" w:rsidR="00F80B38" w:rsidRPr="00A94144" w:rsidRDefault="00F80B38" w:rsidP="00F80B38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94144">
        <w:rPr>
          <w:rFonts w:ascii="Times New Roman" w:eastAsia="Calibri" w:hAnsi="Times New Roman" w:cs="Times New Roman"/>
          <w:sz w:val="24"/>
          <w:szCs w:val="24"/>
        </w:rPr>
        <w:t>. Mediena klasifikuojama, ženklinama, matuojama ir jos tūris nustatomas vadovaujantis Apvalios medienos klasifikavimo ir ženklinimo taisyklėmis, patvirtintomis 2001 m. liepos 5 d. Lietuvos Respublikos aplinkos ministro įsakymu Nr. 358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vėlesniais pakeitimais</w:t>
      </w:r>
      <w:r w:rsidRPr="00A94144">
        <w:rPr>
          <w:rFonts w:ascii="Times New Roman" w:eastAsia="Calibri" w:hAnsi="Times New Roman" w:cs="Times New Roman"/>
          <w:sz w:val="24"/>
          <w:szCs w:val="24"/>
        </w:rPr>
        <w:t>, Apvaliosios medienos bei nenukirsto miško matavimo ir tūrio nustatymo taisyklėmis, patvirtintomis 2002 m. gruodžio 10 d. Lietuvos Respublikos aplinkos ministro įsakymu Nr. 631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vėlesniais pakeitimais</w:t>
      </w:r>
      <w:r w:rsidRPr="00A94144">
        <w:rPr>
          <w:rFonts w:ascii="Times New Roman" w:eastAsia="Calibri" w:hAnsi="Times New Roman" w:cs="Times New Roman"/>
          <w:sz w:val="24"/>
          <w:szCs w:val="24"/>
        </w:rPr>
        <w:t xml:space="preserve"> ir Apvaliosios medienos apskaitos tvarka, patvirtinta 2007 m. gruodžio 12 d. Lietuvos  Respublikos aplinkos ministro įsakymu Nr. D-672 su vėlesniais pasikeitimais.</w:t>
      </w:r>
    </w:p>
    <w:p w14:paraId="32E45F17" w14:textId="77777777" w:rsidR="00F80B38" w:rsidRPr="00A94144" w:rsidRDefault="00F80B38" w:rsidP="00F80B38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144">
        <w:rPr>
          <w:rFonts w:ascii="Times New Roman" w:eastAsia="Calibri" w:hAnsi="Times New Roman" w:cs="Times New Roman"/>
          <w:sz w:val="24"/>
          <w:szCs w:val="24"/>
        </w:rPr>
        <w:t>5. Perkamų malkų rūšis, kiekis, pristatymo vieta bei laikas nurodomas lentelėje:</w:t>
      </w:r>
    </w:p>
    <w:p w14:paraId="7E20B1AB" w14:textId="77777777" w:rsidR="00F80B38" w:rsidRPr="00A94144" w:rsidRDefault="00F80B38" w:rsidP="00F80B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144">
        <w:rPr>
          <w:rFonts w:ascii="Times New Roman" w:eastAsia="Calibri" w:hAnsi="Times New Roman" w:cs="Times New Roman"/>
          <w:b/>
          <w:sz w:val="24"/>
          <w:szCs w:val="24"/>
        </w:rPr>
        <w:t>I – kaitrumo grupė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563"/>
        <w:gridCol w:w="1523"/>
        <w:gridCol w:w="847"/>
        <w:gridCol w:w="844"/>
        <w:gridCol w:w="836"/>
        <w:gridCol w:w="836"/>
        <w:gridCol w:w="809"/>
        <w:gridCol w:w="758"/>
      </w:tblGrid>
      <w:tr w:rsidR="00050191" w:rsidRPr="00A94144" w14:paraId="482F1D49" w14:textId="2DACCF42" w:rsidTr="000743C5">
        <w:tc>
          <w:tcPr>
            <w:tcW w:w="2563" w:type="dxa"/>
            <w:vMerge w:val="restart"/>
          </w:tcPr>
          <w:p w14:paraId="474CF5CA" w14:textId="77777777" w:rsidR="00050191" w:rsidRPr="00A94144" w:rsidRDefault="00050191" w:rsidP="00BF6E00">
            <w:pPr>
              <w:jc w:val="center"/>
              <w:rPr>
                <w:rFonts w:eastAsia="Calibri" w:cs="Times New Roman"/>
                <w:b/>
              </w:rPr>
            </w:pPr>
            <w:r w:rsidRPr="00A94144">
              <w:rPr>
                <w:rFonts w:eastAsia="Calibri" w:cs="Times New Roman"/>
                <w:b/>
              </w:rPr>
              <w:t>Pristatymo vieta, adresas</w:t>
            </w:r>
          </w:p>
        </w:tc>
        <w:tc>
          <w:tcPr>
            <w:tcW w:w="1523" w:type="dxa"/>
            <w:vMerge w:val="restart"/>
          </w:tcPr>
          <w:p w14:paraId="6E7E2C35" w14:textId="77777777" w:rsidR="00050191" w:rsidRPr="00A94144" w:rsidRDefault="00050191" w:rsidP="00BF6E00">
            <w:pPr>
              <w:jc w:val="center"/>
              <w:rPr>
                <w:rFonts w:eastAsia="Calibri" w:cs="Times New Roman"/>
                <w:b/>
              </w:rPr>
            </w:pPr>
            <w:r w:rsidRPr="00A94144">
              <w:rPr>
                <w:rFonts w:eastAsia="Calibri" w:cs="Times New Roman"/>
                <w:b/>
              </w:rPr>
              <w:t>Malkų kiekis</w:t>
            </w:r>
          </w:p>
        </w:tc>
        <w:tc>
          <w:tcPr>
            <w:tcW w:w="4930" w:type="dxa"/>
            <w:gridSpan w:val="6"/>
          </w:tcPr>
          <w:p w14:paraId="5997CF8C" w14:textId="30405C14" w:rsidR="00050191" w:rsidRPr="00A94144" w:rsidRDefault="00050191" w:rsidP="00BF6E00">
            <w:pPr>
              <w:jc w:val="center"/>
              <w:rPr>
                <w:rFonts w:eastAsia="Calibri" w:cs="Times New Roman"/>
                <w:b/>
              </w:rPr>
            </w:pPr>
            <w:r w:rsidRPr="00A94144">
              <w:rPr>
                <w:rFonts w:eastAsia="Calibri" w:cs="Times New Roman"/>
                <w:b/>
              </w:rPr>
              <w:t>Malkų pristatymas (mėnesiais)</w:t>
            </w:r>
          </w:p>
        </w:tc>
      </w:tr>
      <w:tr w:rsidR="00050191" w:rsidRPr="00A94144" w14:paraId="43ADB6B8" w14:textId="30020D05" w:rsidTr="00050191">
        <w:tc>
          <w:tcPr>
            <w:tcW w:w="2563" w:type="dxa"/>
            <w:vMerge/>
          </w:tcPr>
          <w:p w14:paraId="528344F9" w14:textId="77777777" w:rsidR="00050191" w:rsidRPr="00A94144" w:rsidRDefault="00050191" w:rsidP="00BF6E00">
            <w:pPr>
              <w:rPr>
                <w:rFonts w:eastAsia="Calibri" w:cs="Times New Roman"/>
              </w:rPr>
            </w:pPr>
          </w:p>
        </w:tc>
        <w:tc>
          <w:tcPr>
            <w:tcW w:w="1523" w:type="dxa"/>
            <w:vMerge/>
          </w:tcPr>
          <w:p w14:paraId="10F9DAED" w14:textId="77777777" w:rsidR="00050191" w:rsidRPr="00A94144" w:rsidRDefault="00050191" w:rsidP="00BF6E00">
            <w:pPr>
              <w:rPr>
                <w:rFonts w:eastAsia="Calibri" w:cs="Times New Roman"/>
              </w:rPr>
            </w:pPr>
          </w:p>
        </w:tc>
        <w:tc>
          <w:tcPr>
            <w:tcW w:w="847" w:type="dxa"/>
          </w:tcPr>
          <w:p w14:paraId="5C508119" w14:textId="77777777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 w:rsidRPr="00A94144">
              <w:rPr>
                <w:rFonts w:eastAsia="Calibri" w:cs="Times New Roman"/>
              </w:rPr>
              <w:t>0</w:t>
            </w:r>
            <w:r>
              <w:rPr>
                <w:rFonts w:eastAsia="Calibri" w:cs="Times New Roman"/>
              </w:rPr>
              <w:t>5</w:t>
            </w:r>
          </w:p>
        </w:tc>
        <w:tc>
          <w:tcPr>
            <w:tcW w:w="844" w:type="dxa"/>
          </w:tcPr>
          <w:p w14:paraId="17759578" w14:textId="77777777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 w:rsidRPr="00A94144">
              <w:rPr>
                <w:rFonts w:eastAsia="Calibri" w:cs="Times New Roman"/>
              </w:rPr>
              <w:t>0</w:t>
            </w:r>
            <w:r>
              <w:rPr>
                <w:rFonts w:eastAsia="Calibri" w:cs="Times New Roman"/>
              </w:rPr>
              <w:t>6</w:t>
            </w:r>
          </w:p>
        </w:tc>
        <w:tc>
          <w:tcPr>
            <w:tcW w:w="836" w:type="dxa"/>
          </w:tcPr>
          <w:p w14:paraId="14F3D9F7" w14:textId="77777777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08</w:t>
            </w:r>
          </w:p>
        </w:tc>
        <w:tc>
          <w:tcPr>
            <w:tcW w:w="836" w:type="dxa"/>
          </w:tcPr>
          <w:p w14:paraId="69FD8323" w14:textId="77777777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09</w:t>
            </w:r>
          </w:p>
        </w:tc>
        <w:tc>
          <w:tcPr>
            <w:tcW w:w="809" w:type="dxa"/>
          </w:tcPr>
          <w:p w14:paraId="3D9CCE93" w14:textId="4FAA1E18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758" w:type="dxa"/>
          </w:tcPr>
          <w:p w14:paraId="59BA4684" w14:textId="542F51F9" w:rsidR="00050191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</w:t>
            </w:r>
          </w:p>
        </w:tc>
      </w:tr>
      <w:tr w:rsidR="00050191" w:rsidRPr="00A94144" w14:paraId="1BFDF98A" w14:textId="5A301DA7" w:rsidTr="00050191">
        <w:tc>
          <w:tcPr>
            <w:tcW w:w="2563" w:type="dxa"/>
          </w:tcPr>
          <w:p w14:paraId="7A477819" w14:textId="77777777" w:rsidR="00050191" w:rsidRPr="00A94144" w:rsidRDefault="00050191" w:rsidP="00BF6E00">
            <w:pPr>
              <w:rPr>
                <w:rFonts w:eastAsia="Calibri" w:cs="Times New Roman"/>
              </w:rPr>
            </w:pPr>
            <w:r w:rsidRPr="00A94144">
              <w:rPr>
                <w:rFonts w:eastAsia="Calibri" w:cs="Times New Roman"/>
              </w:rPr>
              <w:t>Kretingsodžio k., Sodžiaus g. 1C, Kretingos r.</w:t>
            </w:r>
          </w:p>
        </w:tc>
        <w:tc>
          <w:tcPr>
            <w:tcW w:w="1523" w:type="dxa"/>
          </w:tcPr>
          <w:p w14:paraId="22D74D52" w14:textId="5C620189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800 </w:t>
            </w:r>
            <w:r w:rsidRPr="00A94144">
              <w:rPr>
                <w:rFonts w:eastAsia="Calibri" w:cs="Times New Roman"/>
              </w:rPr>
              <w:t>kietmetrių</w:t>
            </w:r>
          </w:p>
        </w:tc>
        <w:tc>
          <w:tcPr>
            <w:tcW w:w="847" w:type="dxa"/>
          </w:tcPr>
          <w:p w14:paraId="38BE0E8B" w14:textId="64DD37A7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 w:rsidRPr="00A94144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00</w:t>
            </w:r>
          </w:p>
        </w:tc>
        <w:tc>
          <w:tcPr>
            <w:tcW w:w="844" w:type="dxa"/>
          </w:tcPr>
          <w:p w14:paraId="6E40B679" w14:textId="550D77FF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200</w:t>
            </w:r>
          </w:p>
        </w:tc>
        <w:tc>
          <w:tcPr>
            <w:tcW w:w="836" w:type="dxa"/>
          </w:tcPr>
          <w:p w14:paraId="43A520D7" w14:textId="5989F5B3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200</w:t>
            </w:r>
          </w:p>
        </w:tc>
        <w:tc>
          <w:tcPr>
            <w:tcW w:w="836" w:type="dxa"/>
          </w:tcPr>
          <w:p w14:paraId="30E9ACB3" w14:textId="32B78A06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100</w:t>
            </w:r>
          </w:p>
        </w:tc>
        <w:tc>
          <w:tcPr>
            <w:tcW w:w="809" w:type="dxa"/>
          </w:tcPr>
          <w:p w14:paraId="0F932BA4" w14:textId="4258CDB0" w:rsidR="00050191" w:rsidRPr="00A94144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100</w:t>
            </w:r>
          </w:p>
        </w:tc>
        <w:tc>
          <w:tcPr>
            <w:tcW w:w="758" w:type="dxa"/>
          </w:tcPr>
          <w:p w14:paraId="02EE787F" w14:textId="52848A82" w:rsidR="00050191" w:rsidRDefault="00050191" w:rsidP="00BF6E0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100</w:t>
            </w:r>
          </w:p>
        </w:tc>
      </w:tr>
    </w:tbl>
    <w:p w14:paraId="668E6C2E" w14:textId="77777777" w:rsidR="00F80B38" w:rsidRDefault="00F80B38" w:rsidP="00F80B38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5AD721" w14:textId="24E52FD9" w:rsidR="00F80B38" w:rsidRDefault="00F80B38" w:rsidP="00F80B38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38">
        <w:rPr>
          <w:rFonts w:ascii="Times New Roman" w:eastAsia="Calibri" w:hAnsi="Times New Roman" w:cs="Times New Roman"/>
          <w:sz w:val="24"/>
          <w:szCs w:val="24"/>
        </w:rPr>
        <w:t>6. Aplinkos saugos reikalavimai, taikomi transporto priemonei. Malkinės medienos pristatymo transporto priemonės turi būti techniškai tvarkingos ir pritaikytos tokių krovinių gabenimui ir savaiminiam iškrovimui.</w:t>
      </w:r>
    </w:p>
    <w:p w14:paraId="252188CA" w14:textId="77777777" w:rsidR="005B2188" w:rsidRDefault="005B2188" w:rsidP="00F80B38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B2188">
        <w:rPr>
          <w:rFonts w:ascii="Times New Roman" w:eastAsia="Calibri" w:hAnsi="Times New Roman" w:cs="Times New Roman"/>
          <w:sz w:val="24"/>
          <w:szCs w:val="24"/>
        </w:rPr>
        <w:t>. Malkų tiekėjas pasiima, išsiveža ir savo sąnaudomis sutvarko su malkomis atvežtas neleistinas priemaišas.</w:t>
      </w:r>
    </w:p>
    <w:p w14:paraId="07694F48" w14:textId="03E44D67" w:rsidR="005B2188" w:rsidRPr="000C16CA" w:rsidRDefault="005B2188" w:rsidP="00F80B38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0C16C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204B18">
        <w:rPr>
          <w:rFonts w:ascii="Times New Roman" w:eastAsia="Calibri" w:hAnsi="Times New Roman" w:cs="Times New Roman"/>
          <w:sz w:val="24"/>
          <w:szCs w:val="24"/>
        </w:rPr>
        <w:t>Malkos pristatomos</w:t>
      </w:r>
      <w:r w:rsidR="000C16CA" w:rsidRPr="00204B18">
        <w:rPr>
          <w:rFonts w:ascii="Times New Roman" w:eastAsia="Calibri" w:hAnsi="Times New Roman" w:cs="Times New Roman"/>
          <w:sz w:val="24"/>
          <w:szCs w:val="24"/>
        </w:rPr>
        <w:t xml:space="preserve"> ir iškraunamos</w:t>
      </w:r>
      <w:r w:rsidRPr="00204B18">
        <w:rPr>
          <w:rFonts w:ascii="Times New Roman" w:eastAsia="Calibri" w:hAnsi="Times New Roman" w:cs="Times New Roman"/>
          <w:sz w:val="24"/>
          <w:szCs w:val="24"/>
        </w:rPr>
        <w:t xml:space="preserve"> darbo dienomis Pirkėjo darbo valandomis: Pirmadieniais-penktadieniais nuo 8.00 iki 16.00 val.</w:t>
      </w:r>
    </w:p>
    <w:p w14:paraId="6CBDFB27" w14:textId="38D52FB7" w:rsidR="001766EB" w:rsidRPr="001766EB" w:rsidRDefault="001766EB" w:rsidP="00F80B38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66EB">
        <w:rPr>
          <w:rFonts w:ascii="Times New Roman" w:eastAsia="Calibri" w:hAnsi="Times New Roman" w:cs="Times New Roman"/>
          <w:b/>
          <w:bCs/>
          <w:sz w:val="24"/>
          <w:szCs w:val="24"/>
        </w:rPr>
        <w:t>Pastaba: malkinės med</w:t>
      </w:r>
      <w:bookmarkStart w:id="0" w:name="_GoBack"/>
      <w:bookmarkEnd w:id="0"/>
      <w:r w:rsidRPr="001766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ienos </w:t>
      </w:r>
      <w:r w:rsidR="000C16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konkrečią </w:t>
      </w:r>
      <w:r w:rsidRPr="001766EB">
        <w:rPr>
          <w:rFonts w:ascii="Times New Roman" w:eastAsia="Calibri" w:hAnsi="Times New Roman" w:cs="Times New Roman"/>
          <w:b/>
          <w:bCs/>
          <w:sz w:val="24"/>
          <w:szCs w:val="24"/>
        </w:rPr>
        <w:t>iškrovimo vietą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(prie katilinės)</w:t>
      </w:r>
      <w:r w:rsidRPr="001766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nurodo pirkėj</w:t>
      </w:r>
      <w:r w:rsidR="000C16CA">
        <w:rPr>
          <w:rFonts w:ascii="Times New Roman" w:eastAsia="Calibri" w:hAnsi="Times New Roman" w:cs="Times New Roman"/>
          <w:b/>
          <w:bCs/>
          <w:sz w:val="24"/>
          <w:szCs w:val="24"/>
        </w:rPr>
        <w:t>o atsakingas asmuo</w:t>
      </w:r>
      <w:r w:rsidRPr="001766E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4E98733" w14:textId="77777777" w:rsidR="00F80B38" w:rsidRPr="00A94144" w:rsidRDefault="00F80B38" w:rsidP="00F80B3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414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</w:p>
    <w:p w14:paraId="2DF480E7" w14:textId="77777777" w:rsidR="00F80B38" w:rsidRDefault="00F80B38" w:rsidP="00F80B38"/>
    <w:p w14:paraId="1527F33A" w14:textId="77777777" w:rsidR="00681EB1" w:rsidRDefault="00681EB1"/>
    <w:sectPr w:rsidR="00681EB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38"/>
    <w:rsid w:val="00050191"/>
    <w:rsid w:val="000C16CA"/>
    <w:rsid w:val="001766EB"/>
    <w:rsid w:val="00204B18"/>
    <w:rsid w:val="005B2188"/>
    <w:rsid w:val="00681EB1"/>
    <w:rsid w:val="00697FAB"/>
    <w:rsid w:val="00F8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5E9A"/>
  <w15:chartTrackingRefBased/>
  <w15:docId w15:val="{7C8FA0BB-3FF4-45FC-A83C-7FF6C944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39"/>
    <w:rsid w:val="00F80B38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8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</dc:creator>
  <cp:keywords/>
  <dc:description/>
  <cp:lastModifiedBy>Darbas</cp:lastModifiedBy>
  <cp:revision>4</cp:revision>
  <dcterms:created xsi:type="dcterms:W3CDTF">2026-04-28T14:02:00Z</dcterms:created>
  <dcterms:modified xsi:type="dcterms:W3CDTF">2026-05-05T12:24:00Z</dcterms:modified>
</cp:coreProperties>
</file>