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4E20" w14:textId="77777777" w:rsidR="002E6E25" w:rsidRPr="002E6E25" w:rsidRDefault="002E6E25" w:rsidP="00F20D7D">
      <w:pPr>
        <w:spacing w:after="0" w:line="240" w:lineRule="auto"/>
        <w:jc w:val="center"/>
        <w:rPr>
          <w:rFonts w:ascii="Times New Roman" w:hAnsi="Times New Roman" w:cs="Times New Roman"/>
          <w:b/>
          <w:sz w:val="24"/>
        </w:rPr>
      </w:pPr>
      <w:r w:rsidRPr="002E6E25">
        <w:rPr>
          <w:rFonts w:ascii="Times New Roman" w:hAnsi="Times New Roman" w:cs="Times New Roman"/>
          <w:b/>
          <w:sz w:val="24"/>
        </w:rPr>
        <w:t>VIEŠOJI ĮSTAIGA</w:t>
      </w:r>
    </w:p>
    <w:p w14:paraId="46BF51A2" w14:textId="798C0ED7" w:rsidR="002E6E25" w:rsidRPr="003779C5" w:rsidRDefault="002E6E25" w:rsidP="003779C5">
      <w:pPr>
        <w:spacing w:line="240" w:lineRule="auto"/>
        <w:jc w:val="center"/>
        <w:rPr>
          <w:rFonts w:ascii="Times New Roman" w:hAnsi="Times New Roman" w:cs="Times New Roman"/>
          <w:b/>
          <w:sz w:val="24"/>
        </w:rPr>
      </w:pPr>
      <w:r w:rsidRPr="002E6E25">
        <w:rPr>
          <w:rFonts w:ascii="Times New Roman" w:hAnsi="Times New Roman" w:cs="Times New Roman"/>
          <w:b/>
          <w:caps/>
          <w:sz w:val="24"/>
        </w:rPr>
        <w:t>Vilniaus miesto</w:t>
      </w:r>
      <w:r w:rsidRPr="002E6E25">
        <w:rPr>
          <w:rFonts w:ascii="Times New Roman" w:hAnsi="Times New Roman" w:cs="Times New Roman"/>
          <w:b/>
          <w:sz w:val="24"/>
        </w:rPr>
        <w:t xml:space="preserve"> LIGONINĖ</w:t>
      </w:r>
    </w:p>
    <w:p w14:paraId="1789E82E" w14:textId="01842D02" w:rsidR="002E6E25" w:rsidRPr="002E6E25" w:rsidRDefault="002E6E25" w:rsidP="00F20D7D">
      <w:pPr>
        <w:spacing w:after="0" w:line="240" w:lineRule="auto"/>
        <w:jc w:val="center"/>
        <w:rPr>
          <w:rFonts w:ascii="Times New Roman" w:eastAsia="Calibri" w:hAnsi="Times New Roman" w:cs="Times New Roman"/>
          <w:b/>
          <w:bCs/>
          <w:sz w:val="24"/>
          <w:szCs w:val="24"/>
        </w:rPr>
      </w:pPr>
      <w:r w:rsidRPr="002E6E25">
        <w:rPr>
          <w:rFonts w:ascii="Times New Roman" w:eastAsia="Calibri" w:hAnsi="Times New Roman" w:cs="Times New Roman"/>
          <w:b/>
          <w:bCs/>
          <w:sz w:val="24"/>
          <w:szCs w:val="24"/>
        </w:rPr>
        <w:t xml:space="preserve">KVIETIMAS SUTEIKTI  RINKOS KONSULTACIJĄ </w:t>
      </w:r>
    </w:p>
    <w:p w14:paraId="209CE762" w14:textId="77777777" w:rsidR="002E6E25" w:rsidRPr="002E6E25" w:rsidRDefault="002E6E25" w:rsidP="00F20D7D">
      <w:pPr>
        <w:spacing w:after="0" w:line="240" w:lineRule="auto"/>
        <w:jc w:val="center"/>
        <w:rPr>
          <w:rFonts w:ascii="Times New Roman" w:eastAsia="Calibri" w:hAnsi="Times New Roman" w:cs="Times New Roman"/>
          <w:b/>
          <w:bCs/>
          <w:sz w:val="24"/>
          <w:szCs w:val="24"/>
        </w:rPr>
      </w:pPr>
    </w:p>
    <w:p w14:paraId="3E6556B2" w14:textId="6EEB59F6" w:rsidR="002E6E25" w:rsidRPr="002E6E25" w:rsidRDefault="002E6E25" w:rsidP="00F20D7D">
      <w:pPr>
        <w:keepNext/>
        <w:widowControl w:val="0"/>
        <w:spacing w:after="0" w:line="240" w:lineRule="auto"/>
        <w:ind w:firstLine="567"/>
        <w:jc w:val="both"/>
        <w:outlineLvl w:val="1"/>
        <w:rPr>
          <w:rFonts w:ascii="Times New Roman" w:eastAsia="Calibri" w:hAnsi="Times New Roman" w:cs="Times New Roman"/>
          <w:sz w:val="24"/>
          <w:szCs w:val="24"/>
        </w:rPr>
      </w:pPr>
      <w:r w:rsidRPr="002E6E25">
        <w:rPr>
          <w:rFonts w:ascii="Times New Roman" w:hAnsi="Times New Roman" w:cs="Times New Roman"/>
          <w:sz w:val="24"/>
          <w:szCs w:val="24"/>
        </w:rPr>
        <w:t xml:space="preserve">Viešoji įstaiga Vilniaus miesto klinikinė ligoninė (toliau – Perkančioji organizacija) vadovaudamasi Lietuvos Respublikos viešųjų pirkimų įstatymo 27 str. ir siekdama pasirengti </w:t>
      </w:r>
      <w:r w:rsidR="009E7903">
        <w:rPr>
          <w:rFonts w:ascii="Times New Roman" w:hAnsi="Times New Roman" w:cs="Times New Roman"/>
          <w:b/>
          <w:sz w:val="24"/>
          <w:szCs w:val="24"/>
          <w:lang w:eastAsia="lt-LT"/>
        </w:rPr>
        <w:t>dezinfekcijos ir sterilizacijos priemonių</w:t>
      </w:r>
      <w:r w:rsidR="003779C5">
        <w:rPr>
          <w:rFonts w:ascii="Times New Roman" w:hAnsi="Times New Roman" w:cs="Times New Roman"/>
          <w:b/>
          <w:sz w:val="24"/>
          <w:szCs w:val="24"/>
          <w:lang w:eastAsia="lt-LT"/>
        </w:rPr>
        <w:t xml:space="preserve"> </w:t>
      </w:r>
      <w:r>
        <w:rPr>
          <w:rFonts w:ascii="Times New Roman" w:hAnsi="Times New Roman" w:cs="Times New Roman"/>
          <w:sz w:val="24"/>
          <w:szCs w:val="24"/>
        </w:rPr>
        <w:t>viešajam pirkimui</w:t>
      </w:r>
      <w:r w:rsidRPr="002E6E25">
        <w:rPr>
          <w:rFonts w:ascii="Times New Roman" w:hAnsi="Times New Roman" w:cs="Times New Roman"/>
          <w:sz w:val="24"/>
          <w:szCs w:val="24"/>
        </w:rPr>
        <w:t xml:space="preserve"> </w:t>
      </w:r>
      <w:r w:rsidRPr="002E6E25">
        <w:rPr>
          <w:rFonts w:ascii="Times New Roman" w:eastAsia="Calibri" w:hAnsi="Times New Roman" w:cs="Times New Roman"/>
          <w:sz w:val="24"/>
          <w:szCs w:val="24"/>
        </w:rPr>
        <w:t xml:space="preserve">(toliau – </w:t>
      </w:r>
      <w:r w:rsidRPr="002E6E25">
        <w:rPr>
          <w:rFonts w:ascii="Times New Roman" w:eastAsia="Calibri" w:hAnsi="Times New Roman" w:cs="Times New Roman"/>
          <w:bCs/>
          <w:sz w:val="24"/>
          <w:szCs w:val="24"/>
        </w:rPr>
        <w:t>Pirkimas</w:t>
      </w:r>
      <w:r w:rsidRPr="002E6E25">
        <w:rPr>
          <w:rFonts w:ascii="Times New Roman" w:eastAsia="Calibri" w:hAnsi="Times New Roman" w:cs="Times New Roman"/>
          <w:sz w:val="24"/>
          <w:szCs w:val="24"/>
        </w:rPr>
        <w:t>) prašo nepriklausomų ekspertų, institucijų arba rinkos dalyvių suteikti konsultaciją.</w:t>
      </w:r>
    </w:p>
    <w:p w14:paraId="50BBB810" w14:textId="77777777" w:rsidR="002E6E25" w:rsidRPr="002E6E25" w:rsidRDefault="002E6E25" w:rsidP="00F20D7D">
      <w:pPr>
        <w:spacing w:after="0" w:line="240" w:lineRule="auto"/>
        <w:ind w:firstLine="720"/>
        <w:jc w:val="both"/>
        <w:rPr>
          <w:rFonts w:ascii="Times New Roman" w:eastAsia="Calibri" w:hAnsi="Times New Roman" w:cs="Times New Roman"/>
          <w:color w:val="000000"/>
          <w:sz w:val="24"/>
          <w:szCs w:val="24"/>
        </w:rPr>
      </w:pPr>
      <w:r w:rsidRPr="002E6E25">
        <w:rPr>
          <w:rFonts w:ascii="Times New Roman" w:eastAsia="Calibri" w:hAnsi="Times New Roman" w:cs="Times New Roman"/>
          <w:color w:val="000000"/>
          <w:sz w:val="24"/>
          <w:szCs w:val="24"/>
        </w:rPr>
        <w:t>Šios rinkos konsultacijos tikslas informuoti tiekėjus apie būsimą pirkimą ir reikalavimus pirkimui, išsiaiškinti įvairius su pirkimo objektu susijusius klausimus, tinkamai pasiruošti pirkimui ir jo strategijos parinkimui.</w:t>
      </w:r>
    </w:p>
    <w:p w14:paraId="4C913001" w14:textId="67F9339F"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b/>
          <w:bCs/>
          <w:sz w:val="24"/>
          <w:szCs w:val="24"/>
        </w:rPr>
        <w:t>Konsultacijos būdas</w:t>
      </w:r>
      <w:r w:rsidRPr="002E6E25">
        <w:rPr>
          <w:rFonts w:ascii="Times New Roman" w:eastAsia="Calibri" w:hAnsi="Times New Roman" w:cs="Times New Roman"/>
          <w:sz w:val="24"/>
          <w:szCs w:val="24"/>
        </w:rPr>
        <w:t xml:space="preserve">: rinkos konsultacija vykdoma Centrinės viešųjų pirkimų informacinės sistemos (toliau </w:t>
      </w:r>
      <w:r w:rsidRPr="002E6E25">
        <w:rPr>
          <w:rFonts w:ascii="Times New Roman" w:hAnsi="Times New Roman" w:cs="Times New Roman"/>
          <w:bCs/>
          <w:kern w:val="24"/>
          <w:sz w:val="24"/>
          <w:szCs w:val="24"/>
          <w:lang w:eastAsia="lt-LT"/>
        </w:rPr>
        <w:t xml:space="preserve">– </w:t>
      </w:r>
      <w:r w:rsidRPr="002E6E25">
        <w:rPr>
          <w:rFonts w:ascii="Times New Roman" w:hAnsi="Times New Roman" w:cs="Times New Roman"/>
          <w:b/>
          <w:kern w:val="24"/>
          <w:sz w:val="24"/>
          <w:szCs w:val="24"/>
          <w:lang w:eastAsia="lt-LT"/>
        </w:rPr>
        <w:t>CVP IS</w:t>
      </w:r>
      <w:r w:rsidRPr="002E6E25">
        <w:rPr>
          <w:rFonts w:ascii="Times New Roman" w:hAnsi="Times New Roman" w:cs="Times New Roman"/>
          <w:bCs/>
          <w:kern w:val="24"/>
          <w:sz w:val="24"/>
          <w:szCs w:val="24"/>
          <w:lang w:eastAsia="lt-LT"/>
        </w:rPr>
        <w:t xml:space="preserve">) priemonėmis. </w:t>
      </w:r>
      <w:r w:rsidRPr="002E6E25">
        <w:rPr>
          <w:rFonts w:ascii="Times New Roman" w:eastAsia="Calibri" w:hAnsi="Times New Roman" w:cs="Times New Roman"/>
          <w:sz w:val="24"/>
          <w:szCs w:val="24"/>
        </w:rPr>
        <w:t>Kviečiame rinkos dalyvius susipažinti su skelbiam</w:t>
      </w:r>
      <w:r>
        <w:rPr>
          <w:rFonts w:ascii="Times New Roman" w:eastAsia="Calibri" w:hAnsi="Times New Roman" w:cs="Times New Roman"/>
          <w:sz w:val="24"/>
          <w:szCs w:val="24"/>
        </w:rPr>
        <w:t>u</w:t>
      </w:r>
      <w:r w:rsidRPr="002E6E25">
        <w:rPr>
          <w:rFonts w:ascii="Times New Roman" w:eastAsia="Calibri" w:hAnsi="Times New Roman" w:cs="Times New Roman"/>
          <w:sz w:val="24"/>
          <w:szCs w:val="24"/>
        </w:rPr>
        <w:t xml:space="preserve"> </w:t>
      </w:r>
      <w:r w:rsidR="009E7903">
        <w:rPr>
          <w:rFonts w:ascii="Times New Roman" w:hAnsi="Times New Roman" w:cs="Times New Roman"/>
          <w:bCs/>
          <w:i/>
          <w:iCs/>
          <w:sz w:val="24"/>
          <w:szCs w:val="24"/>
          <w:lang w:eastAsia="lt-LT"/>
        </w:rPr>
        <w:t>dezinfekcijos ir sterilizacijos priemonių</w:t>
      </w:r>
      <w:r w:rsidR="00A77BFE" w:rsidRPr="00A77BFE">
        <w:rPr>
          <w:rFonts w:ascii="Times New Roman" w:hAnsi="Times New Roman" w:cs="Times New Roman"/>
          <w:i/>
          <w:sz w:val="24"/>
          <w:szCs w:val="24"/>
        </w:rPr>
        <w:t xml:space="preserve"> </w:t>
      </w:r>
      <w:r w:rsidRPr="002E6E25">
        <w:rPr>
          <w:rFonts w:ascii="Times New Roman" w:hAnsi="Times New Roman" w:cs="Times New Roman"/>
          <w:i/>
          <w:sz w:val="24"/>
          <w:szCs w:val="24"/>
        </w:rPr>
        <w:t>technin</w:t>
      </w:r>
      <w:r>
        <w:rPr>
          <w:rFonts w:ascii="Times New Roman" w:hAnsi="Times New Roman" w:cs="Times New Roman"/>
          <w:i/>
          <w:sz w:val="24"/>
          <w:szCs w:val="24"/>
        </w:rPr>
        <w:t>ės</w:t>
      </w:r>
      <w:r w:rsidRPr="002E6E25">
        <w:rPr>
          <w:rFonts w:ascii="Times New Roman" w:hAnsi="Times New Roman" w:cs="Times New Roman"/>
          <w:i/>
          <w:sz w:val="24"/>
          <w:szCs w:val="24"/>
        </w:rPr>
        <w:t xml:space="preserve"> specifikacij</w:t>
      </w:r>
      <w:r>
        <w:rPr>
          <w:rFonts w:ascii="Times New Roman" w:hAnsi="Times New Roman" w:cs="Times New Roman"/>
          <w:i/>
          <w:sz w:val="24"/>
          <w:szCs w:val="24"/>
        </w:rPr>
        <w:t>os</w:t>
      </w:r>
      <w:r w:rsidRPr="002E6E25">
        <w:rPr>
          <w:rFonts w:ascii="Times New Roman" w:hAnsi="Times New Roman" w:cs="Times New Roman"/>
          <w:i/>
          <w:sz w:val="24"/>
          <w:szCs w:val="24"/>
        </w:rPr>
        <w:t xml:space="preserve"> projekt</w:t>
      </w:r>
      <w:r>
        <w:rPr>
          <w:rFonts w:ascii="Times New Roman" w:hAnsi="Times New Roman" w:cs="Times New Roman"/>
          <w:i/>
          <w:sz w:val="24"/>
          <w:szCs w:val="24"/>
        </w:rPr>
        <w:t>u</w:t>
      </w:r>
      <w:r w:rsidRPr="002E6E25">
        <w:rPr>
          <w:rFonts w:ascii="Times New Roman" w:hAnsi="Times New Roman" w:cs="Times New Roman"/>
          <w:i/>
          <w:sz w:val="24"/>
          <w:szCs w:val="24"/>
        </w:rPr>
        <w:t xml:space="preserve"> </w:t>
      </w:r>
      <w:r w:rsidRPr="002E6E25">
        <w:rPr>
          <w:rFonts w:ascii="Times New Roman" w:eastAsia="Calibri" w:hAnsi="Times New Roman" w:cs="Times New Roman"/>
          <w:sz w:val="24"/>
          <w:szCs w:val="24"/>
        </w:rPr>
        <w:t xml:space="preserve">ir CVP IS priemonėmis </w:t>
      </w:r>
      <w:r w:rsidRPr="002E6E25">
        <w:rPr>
          <w:rFonts w:ascii="Times New Roman" w:hAnsi="Times New Roman" w:cs="Times New Roman"/>
          <w:color w:val="000000"/>
          <w:sz w:val="24"/>
          <w:szCs w:val="24"/>
        </w:rPr>
        <w:t xml:space="preserve">iki CVP IS nurodyto termino pabaigos </w:t>
      </w:r>
      <w:r w:rsidRPr="002E6E25">
        <w:rPr>
          <w:rFonts w:ascii="Times New Roman" w:eastAsia="Calibri" w:hAnsi="Times New Roman" w:cs="Times New Roman"/>
          <w:sz w:val="24"/>
          <w:szCs w:val="24"/>
        </w:rPr>
        <w:t xml:space="preserve">aktyviai teikti pastabas, klausimus ir pasiūlymus, bei pateikti atsakymus į pateiktus klausimus. </w:t>
      </w:r>
      <w:r w:rsidRPr="002E6E25">
        <w:rPr>
          <w:rFonts w:ascii="Times New Roman" w:hAnsi="Times New Roman" w:cs="Times New Roman"/>
          <w:sz w:val="24"/>
          <w:szCs w:val="24"/>
        </w:rPr>
        <w:t>Klausimai, pastabos (siūlymai), gauti pasibaigus CVP IS nurodytam terminui gali būti nenagrinėjami.</w:t>
      </w:r>
      <w:r w:rsidRPr="002E6E25">
        <w:rPr>
          <w:rFonts w:ascii="Times New Roman" w:hAnsi="Times New Roman" w:cs="Times New Roman"/>
          <w:bCs/>
          <w:kern w:val="24"/>
          <w:sz w:val="24"/>
          <w:szCs w:val="24"/>
          <w:lang w:eastAsia="lt-LT"/>
        </w:rPr>
        <w:t xml:space="preserve"> </w:t>
      </w:r>
      <w:r w:rsidRPr="002E6E25">
        <w:rPr>
          <w:rFonts w:ascii="Times New Roman" w:eastAsia="Calibri" w:hAnsi="Times New Roman" w:cs="Times New Roman"/>
          <w:sz w:val="24"/>
          <w:szCs w:val="24"/>
        </w:rPr>
        <w:t>Susitikimai rengiami nebus.</w:t>
      </w:r>
    </w:p>
    <w:p w14:paraId="78EB694E" w14:textId="4593A682"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sz w:val="24"/>
          <w:szCs w:val="24"/>
        </w:rPr>
        <w:t>Rinkos konsultacija nėra skelbimas apie Pirkimą ar išankstinis skelbimas apie Pirkimą, poreikio aprašymas nėra galutinis Pirkimo dokumentas.</w:t>
      </w:r>
    </w:p>
    <w:p w14:paraId="7A33D875" w14:textId="77777777" w:rsidR="002E6E25" w:rsidRPr="002E6E25" w:rsidRDefault="002E6E25" w:rsidP="00F20D7D">
      <w:pPr>
        <w:pStyle w:val="Body2"/>
        <w:spacing w:after="0"/>
        <w:ind w:firstLine="567"/>
        <w:rPr>
          <w:rFonts w:cs="Times New Roman"/>
          <w:sz w:val="24"/>
          <w:szCs w:val="24"/>
          <w:lang w:val="lt-LT"/>
        </w:rPr>
      </w:pPr>
      <w:r w:rsidRPr="002E6E25">
        <w:rPr>
          <w:rFonts w:cs="Times New Roman"/>
          <w:sz w:val="24"/>
          <w:szCs w:val="24"/>
          <w:lang w:val="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198D1C95" w14:textId="77777777" w:rsidR="00A61E11" w:rsidRPr="00A61E11" w:rsidRDefault="00A61E11" w:rsidP="00F20D7D">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4374A2">
        <w:trPr>
          <w:jc w:val="center"/>
        </w:trPr>
        <w:tc>
          <w:tcPr>
            <w:tcW w:w="570" w:type="dxa"/>
            <w:vAlign w:val="center"/>
          </w:tcPr>
          <w:p w14:paraId="558E322E" w14:textId="61F06744" w:rsidR="00925409" w:rsidRPr="00925409" w:rsidRDefault="00925409" w:rsidP="00F20D7D">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5" w:type="dxa"/>
            <w:vAlign w:val="center"/>
          </w:tcPr>
          <w:p w14:paraId="4B27F570" w14:textId="77777777"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3" w:type="dxa"/>
            <w:vAlign w:val="center"/>
          </w:tcPr>
          <w:p w14:paraId="5735C1AD" w14:textId="245D9F38"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4374A2">
        <w:trPr>
          <w:trHeight w:val="709"/>
          <w:jc w:val="center"/>
        </w:trPr>
        <w:tc>
          <w:tcPr>
            <w:tcW w:w="570" w:type="dxa"/>
          </w:tcPr>
          <w:p w14:paraId="285C61C7" w14:textId="2E8EFF68" w:rsidR="00925409" w:rsidRPr="00312ED9" w:rsidRDefault="00925409" w:rsidP="00F20D7D">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945" w:type="dxa"/>
          </w:tcPr>
          <w:p w14:paraId="3A44791D" w14:textId="5C3B2E88" w:rsidR="00340842" w:rsidRPr="00340842" w:rsidRDefault="00340842" w:rsidP="00F20D7D">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w:t>
            </w:r>
            <w:r w:rsidR="00A77BFE">
              <w:rPr>
                <w:rFonts w:ascii="Times New Roman" w:hAnsi="Times New Roman" w:cs="Times New Roman"/>
                <w:bCs/>
                <w:sz w:val="24"/>
                <w:szCs w:val="24"/>
              </w:rPr>
              <w:t>ių</w:t>
            </w:r>
            <w:r w:rsidRPr="00340842">
              <w:rPr>
                <w:rFonts w:ascii="Times New Roman" w:hAnsi="Times New Roman" w:cs="Times New Roman"/>
                <w:bCs/>
                <w:sz w:val="24"/>
                <w:szCs w:val="24"/>
              </w:rPr>
              <w:t xml:space="preserve"> specifikacij</w:t>
            </w:r>
            <w:r w:rsidR="00A77BFE">
              <w:rPr>
                <w:rFonts w:ascii="Times New Roman" w:hAnsi="Times New Roman" w:cs="Times New Roman"/>
                <w:bCs/>
                <w:sz w:val="24"/>
                <w:szCs w:val="24"/>
              </w:rPr>
              <w:t>ų</w:t>
            </w:r>
            <w:r w:rsidRPr="00340842">
              <w:rPr>
                <w:rFonts w:ascii="Times New Roman" w:hAnsi="Times New Roman" w:cs="Times New Roman"/>
                <w:bCs/>
                <w:sz w:val="24"/>
                <w:szCs w:val="24"/>
              </w:rPr>
              <w:t xml:space="preserve"> projekt</w:t>
            </w:r>
            <w:r w:rsidR="00A77BFE">
              <w:rPr>
                <w:rFonts w:ascii="Times New Roman" w:hAnsi="Times New Roman" w:cs="Times New Roman"/>
                <w:bCs/>
                <w:sz w:val="24"/>
                <w:szCs w:val="24"/>
              </w:rPr>
              <w:t>ams</w:t>
            </w:r>
            <w:r w:rsidRPr="00340842">
              <w:rPr>
                <w:rFonts w:ascii="Times New Roman" w:hAnsi="Times New Roman" w:cs="Times New Roman"/>
                <w:bCs/>
                <w:sz w:val="24"/>
                <w:szCs w:val="24"/>
              </w:rPr>
              <w:t>? Jeigu taip, prašome nurodyti konkrečius</w:t>
            </w:r>
            <w:r w:rsidR="00A77BFE">
              <w:rPr>
                <w:rFonts w:ascii="Times New Roman" w:hAnsi="Times New Roman" w:cs="Times New Roman"/>
                <w:bCs/>
                <w:sz w:val="24"/>
                <w:szCs w:val="24"/>
              </w:rPr>
              <w:t xml:space="preserve"> pastabas ir </w:t>
            </w:r>
            <w:r w:rsidRPr="00340842">
              <w:rPr>
                <w:rFonts w:ascii="Times New Roman" w:hAnsi="Times New Roman" w:cs="Times New Roman"/>
                <w:bCs/>
                <w:sz w:val="24"/>
                <w:szCs w:val="24"/>
              </w:rPr>
              <w:t>klausimus, kurie kyla.</w:t>
            </w:r>
          </w:p>
          <w:p w14:paraId="7B1FD13A" w14:textId="0FF5B589" w:rsidR="00340842" w:rsidRPr="00A77BFE" w:rsidRDefault="00340842" w:rsidP="00F20D7D">
            <w:pPr>
              <w:widowControl w:val="0"/>
              <w:suppressAutoHyphens/>
              <w:jc w:val="both"/>
              <w:rPr>
                <w:rFonts w:ascii="Times New Roman" w:eastAsia="Lucida Sans Unicode" w:hAnsi="Times New Roman" w:cs="Times New Roman"/>
                <w:i/>
                <w:iCs/>
                <w:sz w:val="24"/>
                <w:szCs w:val="24"/>
              </w:rPr>
            </w:pPr>
            <w:r w:rsidRPr="00A77BFE">
              <w:rPr>
                <w:rFonts w:ascii="Times New Roman" w:hAnsi="Times New Roman" w:cs="Times New Roman"/>
                <w:bCs/>
                <w:i/>
                <w:iCs/>
                <w:sz w:val="24"/>
                <w:szCs w:val="24"/>
              </w:rPr>
              <w:t>Prašome pateikti argumentuotas pastabas/klausimus.</w:t>
            </w:r>
          </w:p>
        </w:tc>
        <w:tc>
          <w:tcPr>
            <w:tcW w:w="4113" w:type="dxa"/>
          </w:tcPr>
          <w:p w14:paraId="6207C076" w14:textId="77777777" w:rsidR="00925409" w:rsidRDefault="00925409" w:rsidP="00F20D7D">
            <w:pPr>
              <w:widowControl w:val="0"/>
              <w:suppressAutoHyphens/>
              <w:jc w:val="both"/>
              <w:rPr>
                <w:rFonts w:ascii="Times New Roman" w:eastAsia="Lucida Sans Unicode" w:hAnsi="Times New Roman" w:cs="Times New Roman"/>
                <w:sz w:val="24"/>
                <w:szCs w:val="24"/>
              </w:rPr>
            </w:pPr>
          </w:p>
        </w:tc>
      </w:tr>
      <w:tr w:rsidR="00340842" w:rsidRPr="00A61E11" w14:paraId="668E39ED" w14:textId="77777777" w:rsidTr="004374A2">
        <w:trPr>
          <w:trHeight w:val="691"/>
          <w:jc w:val="center"/>
        </w:trPr>
        <w:tc>
          <w:tcPr>
            <w:tcW w:w="570" w:type="dxa"/>
          </w:tcPr>
          <w:p w14:paraId="567AA7A6" w14:textId="0F07E5E2" w:rsidR="00340842" w:rsidRPr="00312ED9"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2</w:t>
            </w:r>
            <w:r w:rsidR="00340842">
              <w:rPr>
                <w:rFonts w:ascii="Times New Roman" w:eastAsia="Lucida Sans Unicode" w:hAnsi="Times New Roman" w:cs="Times New Roman"/>
                <w:color w:val="000000"/>
                <w:sz w:val="24"/>
                <w:szCs w:val="24"/>
              </w:rPr>
              <w:t>.</w:t>
            </w:r>
          </w:p>
        </w:tc>
        <w:tc>
          <w:tcPr>
            <w:tcW w:w="4945" w:type="dxa"/>
          </w:tcPr>
          <w:p w14:paraId="1B83C48C" w14:textId="361F1A15" w:rsidR="00340842" w:rsidRDefault="00340842" w:rsidP="00F20D7D">
            <w:pPr>
              <w:jc w:val="both"/>
              <w:rPr>
                <w:rFonts w:ascii="Times New Roman" w:hAnsi="Times New Roman" w:cs="Times New Roman"/>
                <w:sz w:val="24"/>
                <w:szCs w:val="24"/>
              </w:rPr>
            </w:pPr>
            <w:r w:rsidRPr="00340842">
              <w:rPr>
                <w:rFonts w:ascii="Times New Roman" w:hAnsi="Times New Roman" w:cs="Times New Roman"/>
                <w:sz w:val="24"/>
                <w:szCs w:val="24"/>
              </w:rPr>
              <w:t>Ar techninė</w:t>
            </w:r>
            <w:r w:rsidR="00A77BFE">
              <w:rPr>
                <w:rFonts w:ascii="Times New Roman" w:hAnsi="Times New Roman" w:cs="Times New Roman"/>
                <w:sz w:val="24"/>
                <w:szCs w:val="24"/>
              </w:rPr>
              <w:t>s</w:t>
            </w:r>
            <w:r w:rsidRPr="00340842">
              <w:rPr>
                <w:rFonts w:ascii="Times New Roman" w:hAnsi="Times New Roman" w:cs="Times New Roman"/>
                <w:sz w:val="24"/>
                <w:szCs w:val="24"/>
              </w:rPr>
              <w:t>e specifikacijo</w:t>
            </w:r>
            <w:r w:rsidR="00A77BFE">
              <w:rPr>
                <w:rFonts w:ascii="Times New Roman" w:hAnsi="Times New Roman" w:cs="Times New Roman"/>
                <w:sz w:val="24"/>
                <w:szCs w:val="24"/>
              </w:rPr>
              <w:t>s</w:t>
            </w:r>
            <w:r w:rsidRPr="00340842">
              <w:rPr>
                <w:rFonts w:ascii="Times New Roman" w:hAnsi="Times New Roman" w:cs="Times New Roman"/>
                <w:sz w:val="24"/>
                <w:szCs w:val="24"/>
              </w:rPr>
              <w:t xml:space="preserve">e, tiekėjų manymu, yra reikalavimų, kurie riboja konkurenciją, yra sunkiai įgyvendinami? </w:t>
            </w:r>
          </w:p>
          <w:p w14:paraId="3A7E6EBC" w14:textId="538903C1" w:rsidR="00340842" w:rsidRPr="00A77BFE" w:rsidRDefault="00340842" w:rsidP="00F20D7D">
            <w:pPr>
              <w:jc w:val="both"/>
              <w:rPr>
                <w:rFonts w:ascii="Times New Roman" w:hAnsi="Times New Roman" w:cs="Times New Roman"/>
                <w:i/>
                <w:iCs/>
                <w:sz w:val="24"/>
                <w:szCs w:val="24"/>
              </w:rPr>
            </w:pPr>
            <w:r w:rsidRPr="00A77BFE">
              <w:rPr>
                <w:rFonts w:ascii="Times New Roman" w:hAnsi="Times New Roman" w:cs="Times New Roman"/>
                <w:i/>
                <w:iCs/>
                <w:sz w:val="24"/>
                <w:szCs w:val="24"/>
              </w:rPr>
              <w:t>Prašome pateikti argumentuotas pastabas.</w:t>
            </w:r>
          </w:p>
        </w:tc>
        <w:tc>
          <w:tcPr>
            <w:tcW w:w="4113" w:type="dxa"/>
          </w:tcPr>
          <w:p w14:paraId="1F6AFD90" w14:textId="77777777" w:rsidR="00340842" w:rsidRDefault="00340842"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3153E74C" w14:textId="77777777" w:rsidTr="004374A2">
        <w:trPr>
          <w:trHeight w:val="691"/>
          <w:jc w:val="center"/>
        </w:trPr>
        <w:tc>
          <w:tcPr>
            <w:tcW w:w="570" w:type="dxa"/>
          </w:tcPr>
          <w:p w14:paraId="3D546130" w14:textId="15C20F1C" w:rsidR="00B9360B" w:rsidRDefault="009E7903"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r w:rsidR="00B9360B">
              <w:rPr>
                <w:rFonts w:ascii="Times New Roman" w:eastAsia="Lucida Sans Unicode" w:hAnsi="Times New Roman" w:cs="Times New Roman"/>
                <w:color w:val="000000"/>
                <w:sz w:val="24"/>
                <w:szCs w:val="24"/>
              </w:rPr>
              <w:t>.</w:t>
            </w:r>
          </w:p>
        </w:tc>
        <w:tc>
          <w:tcPr>
            <w:tcW w:w="4945" w:type="dxa"/>
          </w:tcPr>
          <w:p w14:paraId="69215217" w14:textId="66917232" w:rsidR="00B9360B" w:rsidRPr="00A77BFE" w:rsidRDefault="00A77BFE" w:rsidP="00F20D7D">
            <w:pPr>
              <w:jc w:val="both"/>
              <w:rPr>
                <w:rFonts w:ascii="Times New Roman" w:hAnsi="Times New Roman" w:cs="Times New Roman"/>
                <w:bCs/>
                <w:sz w:val="24"/>
                <w:szCs w:val="24"/>
              </w:rPr>
            </w:pPr>
            <w:r w:rsidRPr="00A77BFE">
              <w:rPr>
                <w:rFonts w:ascii="Times New Roman" w:hAnsi="Times New Roman" w:cs="Times New Roman"/>
                <w:sz w:val="24"/>
                <w:szCs w:val="24"/>
              </w:rPr>
              <w:t xml:space="preserve">Kokia </w:t>
            </w:r>
            <w:r w:rsidRPr="00A77BFE">
              <w:rPr>
                <w:rFonts w:ascii="Times New Roman" w:hAnsi="Times New Roman" w:cs="Times New Roman"/>
                <w:b/>
                <w:bCs/>
                <w:sz w:val="24"/>
                <w:szCs w:val="24"/>
              </w:rPr>
              <w:t>preliminari</w:t>
            </w:r>
            <w:r w:rsidRPr="00A77BFE">
              <w:rPr>
                <w:rFonts w:ascii="Times New Roman" w:hAnsi="Times New Roman" w:cs="Times New Roman"/>
                <w:sz w:val="24"/>
                <w:szCs w:val="24"/>
              </w:rPr>
              <w:t xml:space="preserve"> numatomų įsigyti prekių kaina Eur be PVM?</w:t>
            </w:r>
          </w:p>
        </w:tc>
        <w:tc>
          <w:tcPr>
            <w:tcW w:w="4113" w:type="dxa"/>
          </w:tcPr>
          <w:p w14:paraId="3E572C86"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F20D7D">
      <w:pPr>
        <w:spacing w:after="0" w:line="240" w:lineRule="auto"/>
        <w:ind w:firstLine="720"/>
        <w:jc w:val="both"/>
        <w:rPr>
          <w:rFonts w:ascii="Times New Roman" w:eastAsia="Calibri" w:hAnsi="Times New Roman" w:cs="Times New Roman"/>
          <w:kern w:val="0"/>
          <w:sz w:val="24"/>
          <w:szCs w:val="24"/>
          <w14:ligatures w14:val="none"/>
        </w:rPr>
      </w:pPr>
    </w:p>
    <w:p w14:paraId="3B723578" w14:textId="77777777" w:rsidR="001324C1" w:rsidRPr="001324C1" w:rsidRDefault="001324C1" w:rsidP="00F20D7D">
      <w:pPr>
        <w:spacing w:after="0" w:line="240" w:lineRule="auto"/>
        <w:ind w:firstLine="567"/>
        <w:jc w:val="both"/>
        <w:rPr>
          <w:rFonts w:ascii="Times New Roman" w:hAnsi="Times New Roman" w:cs="Times New Roman"/>
          <w:sz w:val="24"/>
          <w:szCs w:val="24"/>
          <w:lang w:eastAsia="ja-JP"/>
        </w:rPr>
      </w:pPr>
      <w:r w:rsidRPr="001324C1">
        <w:rPr>
          <w:rFonts w:ascii="Times New Roman" w:hAnsi="Times New Roman" w:cs="Times New Roman"/>
          <w:iCs/>
          <w:sz w:val="24"/>
          <w:szCs w:val="24"/>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324C1">
        <w:rPr>
          <w:rFonts w:ascii="Times New Roman" w:hAnsi="Times New Roman" w:cs="Times New Roman"/>
          <w:sz w:val="24"/>
          <w:szCs w:val="24"/>
          <w:lang w:eastAsia="ja-JP"/>
        </w:rPr>
        <w:t>.</w:t>
      </w:r>
    </w:p>
    <w:p w14:paraId="2BBCF069" w14:textId="74DE8401" w:rsidR="002823ED" w:rsidRPr="003779C5" w:rsidRDefault="001324C1" w:rsidP="003779C5">
      <w:pPr>
        <w:spacing w:after="0" w:line="240" w:lineRule="auto"/>
        <w:ind w:firstLine="567"/>
        <w:jc w:val="both"/>
        <w:rPr>
          <w:rFonts w:ascii="Times New Roman" w:eastAsia="Calibri" w:hAnsi="Times New Roman" w:cs="Times New Roman"/>
          <w:sz w:val="24"/>
          <w:szCs w:val="24"/>
        </w:rPr>
      </w:pPr>
      <w:r w:rsidRPr="001324C1">
        <w:rPr>
          <w:rFonts w:ascii="Times New Roman" w:eastAsia="Calibri"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sectPr w:rsidR="002823ED" w:rsidRPr="003779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6A20"/>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BB61971"/>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293854">
    <w:abstractNumId w:val="0"/>
  </w:num>
  <w:num w:numId="2" w16cid:durableId="75767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4370E"/>
    <w:rsid w:val="000468F6"/>
    <w:rsid w:val="000A56CB"/>
    <w:rsid w:val="000C4059"/>
    <w:rsid w:val="001324C1"/>
    <w:rsid w:val="00136613"/>
    <w:rsid w:val="001956BD"/>
    <w:rsid w:val="001F3EAB"/>
    <w:rsid w:val="002823ED"/>
    <w:rsid w:val="00283272"/>
    <w:rsid w:val="002E6E25"/>
    <w:rsid w:val="00312ED9"/>
    <w:rsid w:val="00340842"/>
    <w:rsid w:val="003757C7"/>
    <w:rsid w:val="00375DE5"/>
    <w:rsid w:val="003779C5"/>
    <w:rsid w:val="003F7B72"/>
    <w:rsid w:val="00415ABF"/>
    <w:rsid w:val="00433D5E"/>
    <w:rsid w:val="004374A2"/>
    <w:rsid w:val="0050242C"/>
    <w:rsid w:val="00502C6A"/>
    <w:rsid w:val="005477F0"/>
    <w:rsid w:val="00552A64"/>
    <w:rsid w:val="005F13BA"/>
    <w:rsid w:val="005F4A77"/>
    <w:rsid w:val="00642364"/>
    <w:rsid w:val="0066330D"/>
    <w:rsid w:val="00683E85"/>
    <w:rsid w:val="00686284"/>
    <w:rsid w:val="006D1226"/>
    <w:rsid w:val="00787A06"/>
    <w:rsid w:val="007A2E5A"/>
    <w:rsid w:val="007B5D73"/>
    <w:rsid w:val="007F7E50"/>
    <w:rsid w:val="00813E76"/>
    <w:rsid w:val="008A5CF0"/>
    <w:rsid w:val="008B4616"/>
    <w:rsid w:val="008E5F27"/>
    <w:rsid w:val="00913A1F"/>
    <w:rsid w:val="00925409"/>
    <w:rsid w:val="00954C92"/>
    <w:rsid w:val="009560F9"/>
    <w:rsid w:val="009906D4"/>
    <w:rsid w:val="009A5FA0"/>
    <w:rsid w:val="009B63DE"/>
    <w:rsid w:val="009E37C2"/>
    <w:rsid w:val="009E7903"/>
    <w:rsid w:val="00A2236A"/>
    <w:rsid w:val="00A530F3"/>
    <w:rsid w:val="00A54858"/>
    <w:rsid w:val="00A61E11"/>
    <w:rsid w:val="00A77BFE"/>
    <w:rsid w:val="00A801AA"/>
    <w:rsid w:val="00AB0E23"/>
    <w:rsid w:val="00AF5A1F"/>
    <w:rsid w:val="00B36DB1"/>
    <w:rsid w:val="00B9360B"/>
    <w:rsid w:val="00BC50FC"/>
    <w:rsid w:val="00BF59EE"/>
    <w:rsid w:val="00C16940"/>
    <w:rsid w:val="00C52B81"/>
    <w:rsid w:val="00CD07A5"/>
    <w:rsid w:val="00D03E96"/>
    <w:rsid w:val="00ED175F"/>
    <w:rsid w:val="00EE2FBA"/>
    <w:rsid w:val="00F20D7D"/>
    <w:rsid w:val="00F4303E"/>
    <w:rsid w:val="00F86B62"/>
    <w:rsid w:val="00FA1ADF"/>
    <w:rsid w:val="00FB562D"/>
    <w:rsid w:val="00FE0FA0"/>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7A06"/>
    <w:pPr>
      <w:ind w:left="720"/>
      <w:contextualSpacing/>
    </w:pPr>
  </w:style>
  <w:style w:type="character" w:styleId="Komentaronuoroda">
    <w:name w:val="annotation reference"/>
    <w:basedOn w:val="Numatytasispastraiposriftas"/>
    <w:uiPriority w:val="99"/>
    <w:semiHidden/>
    <w:unhideWhenUsed/>
    <w:rsid w:val="007B5D73"/>
    <w:rPr>
      <w:sz w:val="16"/>
      <w:szCs w:val="16"/>
    </w:rPr>
  </w:style>
  <w:style w:type="paragraph" w:styleId="Komentarotekstas">
    <w:name w:val="annotation text"/>
    <w:basedOn w:val="prastasis"/>
    <w:link w:val="KomentarotekstasDiagrama"/>
    <w:uiPriority w:val="99"/>
    <w:semiHidden/>
    <w:unhideWhenUsed/>
    <w:rsid w:val="007B5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5D73"/>
    <w:rPr>
      <w:sz w:val="20"/>
      <w:szCs w:val="20"/>
    </w:rPr>
  </w:style>
  <w:style w:type="paragraph" w:styleId="Komentarotema">
    <w:name w:val="annotation subject"/>
    <w:basedOn w:val="Komentarotekstas"/>
    <w:next w:val="Komentarotekstas"/>
    <w:link w:val="KomentarotemaDiagrama"/>
    <w:uiPriority w:val="99"/>
    <w:semiHidden/>
    <w:unhideWhenUsed/>
    <w:rsid w:val="007B5D73"/>
    <w:rPr>
      <w:b/>
      <w:bCs/>
    </w:rPr>
  </w:style>
  <w:style w:type="character" w:customStyle="1" w:styleId="KomentarotemaDiagrama">
    <w:name w:val="Komentaro tema Diagrama"/>
    <w:basedOn w:val="KomentarotekstasDiagrama"/>
    <w:link w:val="Komentarotema"/>
    <w:uiPriority w:val="99"/>
    <w:semiHidden/>
    <w:rsid w:val="007B5D73"/>
    <w:rPr>
      <w:b/>
      <w:bCs/>
      <w:sz w:val="20"/>
      <w:szCs w:val="20"/>
    </w:rPr>
  </w:style>
  <w:style w:type="paragraph" w:styleId="Pataisymai">
    <w:name w:val="Revision"/>
    <w:hidden/>
    <w:uiPriority w:val="99"/>
    <w:semiHidden/>
    <w:rsid w:val="007B5D73"/>
    <w:pPr>
      <w:spacing w:after="0" w:line="240" w:lineRule="auto"/>
    </w:pPr>
  </w:style>
  <w:style w:type="paragraph" w:customStyle="1" w:styleId="oj-doc-ti">
    <w:name w:val="oj-doc-ti"/>
    <w:basedOn w:val="prastasis"/>
    <w:rsid w:val="008B46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rsid w:val="002E6E2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400F-705E-402F-8D7E-02A5AF6F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408</Words>
  <Characters>2331</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a.pipiriene@vmkl.lt</cp:lastModifiedBy>
  <cp:revision>15</cp:revision>
  <cp:lastPrinted>2025-07-28T10:54:00Z</cp:lastPrinted>
  <dcterms:created xsi:type="dcterms:W3CDTF">2025-07-29T12:51:00Z</dcterms:created>
  <dcterms:modified xsi:type="dcterms:W3CDTF">2026-05-07T11:45:00Z</dcterms:modified>
</cp:coreProperties>
</file>