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7698" w14:textId="5347F97E" w:rsidR="009D0CB4" w:rsidRPr="00116443" w:rsidRDefault="009D0CB4" w:rsidP="009D0CB4">
      <w:pPr>
        <w:pStyle w:val="Heading2"/>
        <w:spacing w:before="0"/>
        <w:ind w:left="10348"/>
        <w:rPr>
          <w:rFonts w:asciiTheme="minorHAnsi" w:eastAsia="Calibr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126333940"/>
      <w:r w:rsidRPr="00116443">
        <w:rPr>
          <w:rFonts w:asciiTheme="minorHAnsi" w:eastAsia="Calibri" w:hAnsiTheme="minorHAnsi" w:cstheme="minorHAnsi"/>
          <w:color w:val="000000" w:themeColor="text1"/>
          <w:sz w:val="21"/>
          <w:szCs w:val="21"/>
        </w:rPr>
        <w:t>Konkurso</w:t>
      </w:r>
      <w:r w:rsidR="008D704D" w:rsidRPr="00116443">
        <w:rPr>
          <w:rFonts w:asciiTheme="minorHAnsi" w:eastAsia="Calibri" w:hAnsiTheme="minorHAnsi" w:cstheme="minorHAnsi"/>
          <w:color w:val="000000" w:themeColor="text1"/>
          <w:sz w:val="21"/>
          <w:szCs w:val="21"/>
        </w:rPr>
        <w:t xml:space="preserve"> </w:t>
      </w:r>
      <w:r w:rsidRPr="00116443">
        <w:rPr>
          <w:rFonts w:asciiTheme="minorHAnsi" w:eastAsia="Calibri" w:hAnsiTheme="minorHAnsi" w:cstheme="minorHAnsi"/>
          <w:color w:val="000000" w:themeColor="text1"/>
          <w:sz w:val="21"/>
          <w:szCs w:val="21"/>
        </w:rPr>
        <w:t xml:space="preserve">specialiųjų </w:t>
      </w:r>
      <w:r w:rsidR="008D704D" w:rsidRPr="00116443">
        <w:rPr>
          <w:rFonts w:asciiTheme="minorHAnsi" w:eastAsia="Calibri" w:hAnsiTheme="minorHAnsi" w:cstheme="minorHAnsi"/>
          <w:color w:val="000000" w:themeColor="text1"/>
          <w:sz w:val="21"/>
          <w:szCs w:val="21"/>
        </w:rPr>
        <w:t xml:space="preserve">sąlygų </w:t>
      </w:r>
      <w:r w:rsidR="006B2B86" w:rsidRPr="00116443">
        <w:rPr>
          <w:rFonts w:asciiTheme="minorHAnsi" w:eastAsia="Calibri" w:hAnsiTheme="minorHAnsi" w:cstheme="minorHAnsi"/>
          <w:color w:val="000000" w:themeColor="text1"/>
          <w:sz w:val="21"/>
          <w:szCs w:val="21"/>
        </w:rPr>
        <w:t>2</w:t>
      </w:r>
      <w:r w:rsidRPr="00116443">
        <w:rPr>
          <w:rFonts w:asciiTheme="minorHAnsi" w:eastAsia="Calibri" w:hAnsiTheme="minorHAnsi" w:cstheme="minorHAnsi"/>
          <w:color w:val="000000" w:themeColor="text1"/>
          <w:sz w:val="21"/>
          <w:szCs w:val="21"/>
        </w:rPr>
        <w:t xml:space="preserve"> priedas</w:t>
      </w:r>
    </w:p>
    <w:p w14:paraId="01D56E47" w14:textId="521E7B1A" w:rsidR="008D704D" w:rsidRPr="00116443" w:rsidRDefault="008D704D" w:rsidP="009D0CB4">
      <w:pPr>
        <w:pStyle w:val="Heading2"/>
        <w:spacing w:before="0"/>
        <w:ind w:left="10348"/>
        <w:rPr>
          <w:rFonts w:asciiTheme="minorHAnsi" w:eastAsia="Calibri" w:hAnsiTheme="minorHAnsi" w:cstheme="minorHAnsi"/>
          <w:color w:val="000000" w:themeColor="text1"/>
          <w:sz w:val="21"/>
          <w:szCs w:val="21"/>
        </w:rPr>
      </w:pPr>
      <w:r w:rsidRPr="00116443">
        <w:rPr>
          <w:rFonts w:asciiTheme="minorHAnsi" w:eastAsia="Calibri" w:hAnsiTheme="minorHAnsi" w:cstheme="minorHAnsi"/>
          <w:color w:val="000000" w:themeColor="text1"/>
          <w:sz w:val="21"/>
          <w:szCs w:val="21"/>
        </w:rPr>
        <w:t>„</w:t>
      </w:r>
      <w:r w:rsidR="00910B56" w:rsidRPr="00116443">
        <w:rPr>
          <w:rFonts w:asciiTheme="minorHAnsi" w:eastAsia="Calibri" w:hAnsiTheme="minorHAnsi" w:cstheme="minorHAnsi"/>
          <w:color w:val="000000" w:themeColor="text1"/>
          <w:sz w:val="21"/>
          <w:szCs w:val="21"/>
        </w:rPr>
        <w:t>Palyginimų lentelė</w:t>
      </w:r>
      <w:r w:rsidRPr="00116443">
        <w:rPr>
          <w:rFonts w:asciiTheme="minorHAnsi" w:eastAsia="Calibri" w:hAnsiTheme="minorHAnsi" w:cstheme="minorHAnsi"/>
          <w:color w:val="000000" w:themeColor="text1"/>
          <w:sz w:val="21"/>
          <w:szCs w:val="21"/>
        </w:rPr>
        <w:t>“</w:t>
      </w:r>
      <w:bookmarkEnd w:id="0"/>
      <w:bookmarkEnd w:id="1"/>
      <w:bookmarkEnd w:id="2"/>
      <w:bookmarkEnd w:id="3"/>
      <w:bookmarkEnd w:id="4"/>
    </w:p>
    <w:p w14:paraId="251A9256" w14:textId="77777777" w:rsidR="00281735" w:rsidRPr="00116443" w:rsidRDefault="00281735" w:rsidP="009D0CB4">
      <w:pPr>
        <w:spacing w:after="0" w:line="240" w:lineRule="auto"/>
        <w:rPr>
          <w:rFonts w:cstheme="minorHAnsi"/>
          <w:bCs/>
          <w:color w:val="000000" w:themeColor="text1"/>
        </w:rPr>
      </w:pPr>
    </w:p>
    <w:p w14:paraId="0EB0F979" w14:textId="77777777" w:rsidR="009D0CB4" w:rsidRPr="00116443" w:rsidRDefault="009D0CB4" w:rsidP="009D0CB4">
      <w:pPr>
        <w:spacing w:after="0" w:line="240" w:lineRule="auto"/>
        <w:rPr>
          <w:rFonts w:cstheme="minorHAnsi"/>
          <w:bCs/>
          <w:color w:val="000000" w:themeColor="text1"/>
        </w:rPr>
      </w:pPr>
    </w:p>
    <w:p w14:paraId="0A6D1339" w14:textId="77777777" w:rsidR="00F1444D" w:rsidRDefault="00F1444D" w:rsidP="009D0CB4">
      <w:pPr>
        <w:pStyle w:val="Subtitle"/>
        <w:spacing w:after="0" w:line="240" w:lineRule="auto"/>
        <w:jc w:val="center"/>
        <w:rPr>
          <w:color w:val="000000" w:themeColor="text1"/>
        </w:rPr>
      </w:pPr>
      <w:r>
        <w:rPr>
          <w:color w:val="000000" w:themeColor="text1"/>
        </w:rPr>
        <w:t>REIKALAVIMŲ</w:t>
      </w:r>
    </w:p>
    <w:p w14:paraId="208FA4F8" w14:textId="488492EC" w:rsidR="00F1444D" w:rsidRDefault="00F1444D" w:rsidP="009D0CB4">
      <w:pPr>
        <w:pStyle w:val="Subtitle"/>
        <w:spacing w:after="0" w:line="240" w:lineRule="auto"/>
        <w:jc w:val="center"/>
        <w:rPr>
          <w:color w:val="000000" w:themeColor="text1"/>
        </w:rPr>
      </w:pPr>
      <w:r>
        <w:rPr>
          <w:color w:val="000000" w:themeColor="text1"/>
        </w:rPr>
        <w:t xml:space="preserve">GRĖSMIŲ ANALIZĖS </w:t>
      </w:r>
      <w:r w:rsidR="00A734D3" w:rsidRPr="00116443">
        <w:rPr>
          <w:color w:val="000000" w:themeColor="text1"/>
        </w:rPr>
        <w:t>PROGRAMIN</w:t>
      </w:r>
      <w:r>
        <w:rPr>
          <w:color w:val="000000" w:themeColor="text1"/>
        </w:rPr>
        <w:t>EI</w:t>
      </w:r>
      <w:r w:rsidR="00A734D3" w:rsidRPr="00116443">
        <w:rPr>
          <w:color w:val="000000" w:themeColor="text1"/>
        </w:rPr>
        <w:t xml:space="preserve"> </w:t>
      </w:r>
      <w:r>
        <w:rPr>
          <w:color w:val="000000" w:themeColor="text1"/>
        </w:rPr>
        <w:t>ĮRANGOS</w:t>
      </w:r>
    </w:p>
    <w:p w14:paraId="5213DBA9" w14:textId="41B87684" w:rsidR="008D704D" w:rsidRPr="00116443" w:rsidRDefault="00910B56" w:rsidP="009D0CB4">
      <w:pPr>
        <w:pStyle w:val="Subtitle"/>
        <w:spacing w:after="0" w:line="240" w:lineRule="auto"/>
        <w:jc w:val="center"/>
        <w:rPr>
          <w:color w:val="000000" w:themeColor="text1"/>
        </w:rPr>
      </w:pPr>
      <w:r w:rsidRPr="00116443">
        <w:rPr>
          <w:color w:val="000000" w:themeColor="text1"/>
        </w:rPr>
        <w:t>PALYGINIMŲ LENTELĖ</w:t>
      </w:r>
    </w:p>
    <w:p w14:paraId="71D7FC7D" w14:textId="77777777" w:rsidR="009D0CB4" w:rsidRPr="00116443" w:rsidRDefault="009D0CB4" w:rsidP="009D0CB4">
      <w:pPr>
        <w:tabs>
          <w:tab w:val="left" w:pos="810"/>
          <w:tab w:val="left" w:pos="990"/>
        </w:tabs>
        <w:spacing w:after="0" w:line="240" w:lineRule="auto"/>
        <w:jc w:val="both"/>
        <w:rPr>
          <w:rFonts w:eastAsia="Calibri" w:cstheme="minorHAnsi"/>
          <w:iCs/>
          <w:color w:val="000000" w:themeColor="text1"/>
        </w:rPr>
      </w:pPr>
    </w:p>
    <w:p w14:paraId="17390681" w14:textId="74B2BD68" w:rsidR="00D0533D" w:rsidRPr="00116443" w:rsidRDefault="00910B56" w:rsidP="00D0533D">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b/>
          <w:iCs/>
          <w:color w:val="000000" w:themeColor="text1"/>
        </w:rPr>
        <w:t>P</w:t>
      </w:r>
      <w:r w:rsidR="00D0533D" w:rsidRPr="00116443">
        <w:rPr>
          <w:rFonts w:eastAsia="Calibri" w:cstheme="minorHAnsi"/>
          <w:b/>
          <w:iCs/>
          <w:color w:val="000000" w:themeColor="text1"/>
        </w:rPr>
        <w:t xml:space="preserve">irkimo objektas: </w:t>
      </w:r>
      <w:r w:rsidR="00F1444D">
        <w:rPr>
          <w:rFonts w:eastAsia="Calibri" w:cstheme="minorHAnsi"/>
          <w:b/>
          <w:iCs/>
          <w:color w:val="000000" w:themeColor="text1"/>
        </w:rPr>
        <w:t xml:space="preserve">Naudojamos gamintojo </w:t>
      </w:r>
      <w:proofErr w:type="spellStart"/>
      <w:r w:rsidR="00F1444D" w:rsidRPr="00F1444D">
        <w:rPr>
          <w:rFonts w:eastAsia="Calibri" w:cstheme="minorHAnsi"/>
          <w:b/>
          <w:iCs/>
          <w:color w:val="000000" w:themeColor="text1"/>
        </w:rPr>
        <w:t>Silobreaker</w:t>
      </w:r>
      <w:proofErr w:type="spellEnd"/>
      <w:r w:rsidR="00F1444D" w:rsidRPr="00F1444D">
        <w:rPr>
          <w:rFonts w:eastAsia="Calibri" w:cstheme="minorHAnsi"/>
          <w:b/>
          <w:iCs/>
          <w:color w:val="000000" w:themeColor="text1"/>
        </w:rPr>
        <w:t>®</w:t>
      </w:r>
      <w:r w:rsidR="00F1444D">
        <w:rPr>
          <w:rStyle w:val="FootnoteReference"/>
          <w:rFonts w:eastAsia="Calibri" w:cstheme="minorHAnsi"/>
          <w:b/>
          <w:iCs/>
          <w:color w:val="000000" w:themeColor="text1"/>
        </w:rPr>
        <w:footnoteReference w:id="2"/>
      </w:r>
      <w:r w:rsidR="00F1444D">
        <w:rPr>
          <w:rFonts w:eastAsia="Calibri" w:cstheme="minorHAnsi"/>
          <w:b/>
          <w:iCs/>
          <w:color w:val="000000" w:themeColor="text1"/>
        </w:rPr>
        <w:t xml:space="preserve"> </w:t>
      </w:r>
      <w:r w:rsidR="006B2B86" w:rsidRPr="00116443">
        <w:rPr>
          <w:rFonts w:eastAsia="Calibri" w:cstheme="minorHAnsi"/>
          <w:b/>
          <w:iCs/>
          <w:color w:val="000000" w:themeColor="text1"/>
        </w:rPr>
        <w:t>grėsmių analizės programinė</w:t>
      </w:r>
      <w:r w:rsidR="00B025CB" w:rsidRPr="00116443">
        <w:rPr>
          <w:rFonts w:eastAsia="Calibri" w:cstheme="minorHAnsi"/>
          <w:b/>
          <w:iCs/>
          <w:color w:val="000000" w:themeColor="text1"/>
        </w:rPr>
        <w:t>s įrangos licencij</w:t>
      </w:r>
      <w:r w:rsidR="003B4C01">
        <w:rPr>
          <w:rFonts w:eastAsia="Calibri" w:cstheme="minorHAnsi"/>
          <w:b/>
          <w:iCs/>
          <w:color w:val="000000" w:themeColor="text1"/>
        </w:rPr>
        <w:t>os</w:t>
      </w:r>
      <w:r w:rsidR="00B025CB" w:rsidRPr="00116443">
        <w:rPr>
          <w:rFonts w:eastAsia="Calibri" w:cstheme="minorHAnsi"/>
          <w:b/>
          <w:iCs/>
          <w:color w:val="000000" w:themeColor="text1"/>
        </w:rPr>
        <w:t xml:space="preserve"> </w:t>
      </w:r>
      <w:r w:rsidR="00F1444D">
        <w:rPr>
          <w:rFonts w:eastAsia="Calibri" w:cstheme="minorHAnsi"/>
          <w:b/>
          <w:iCs/>
          <w:color w:val="000000" w:themeColor="text1"/>
        </w:rPr>
        <w:t>pratęsimas (</w:t>
      </w:r>
      <w:r w:rsidR="00B025CB" w:rsidRPr="00116443">
        <w:rPr>
          <w:rFonts w:eastAsia="Calibri" w:cstheme="minorHAnsi"/>
          <w:b/>
          <w:iCs/>
          <w:color w:val="000000" w:themeColor="text1"/>
        </w:rPr>
        <w:t>nuoma</w:t>
      </w:r>
      <w:r w:rsidR="00F1444D">
        <w:rPr>
          <w:rFonts w:eastAsia="Calibri" w:cstheme="minorHAnsi"/>
          <w:b/>
          <w:iCs/>
          <w:color w:val="000000" w:themeColor="text1"/>
        </w:rPr>
        <w:t>)</w:t>
      </w:r>
      <w:r w:rsidR="00B025CB" w:rsidRPr="00116443">
        <w:rPr>
          <w:rFonts w:eastAsia="Calibri" w:cstheme="minorHAnsi"/>
          <w:b/>
          <w:iCs/>
          <w:color w:val="000000" w:themeColor="text1"/>
        </w:rPr>
        <w:t xml:space="preserve">, </w:t>
      </w:r>
      <w:r w:rsidR="00AA21E2">
        <w:rPr>
          <w:rFonts w:eastAsia="Calibri" w:cstheme="minorHAnsi"/>
          <w:b/>
          <w:iCs/>
          <w:color w:val="000000" w:themeColor="text1"/>
        </w:rPr>
        <w:t xml:space="preserve">šios </w:t>
      </w:r>
      <w:r w:rsidR="00B025CB" w:rsidRPr="00116443">
        <w:rPr>
          <w:rFonts w:eastAsia="Calibri" w:cstheme="minorHAnsi"/>
          <w:b/>
          <w:iCs/>
          <w:color w:val="000000" w:themeColor="text1"/>
        </w:rPr>
        <w:t xml:space="preserve">programinės įrangos palaikymas, atnaujinimas ir pagalba </w:t>
      </w:r>
      <w:r w:rsidR="00AA21E2">
        <w:rPr>
          <w:rFonts w:eastAsia="Calibri" w:cstheme="minorHAnsi"/>
          <w:b/>
          <w:iCs/>
          <w:color w:val="000000" w:themeColor="text1"/>
        </w:rPr>
        <w:t>naudotojams</w:t>
      </w:r>
      <w:r w:rsidR="00B025CB" w:rsidRPr="00116443">
        <w:rPr>
          <w:rFonts w:eastAsia="Calibri" w:cstheme="minorHAnsi"/>
          <w:b/>
          <w:iCs/>
          <w:color w:val="000000" w:themeColor="text1"/>
        </w:rPr>
        <w:t xml:space="preserve"> (toliau – prekė)</w:t>
      </w:r>
      <w:r w:rsidR="009F1294" w:rsidRPr="00116443">
        <w:rPr>
          <w:rFonts w:eastAsia="Calibri" w:cstheme="minorHAnsi"/>
          <w:iCs/>
          <w:color w:val="000000" w:themeColor="text1"/>
        </w:rPr>
        <w:t>:</w:t>
      </w:r>
    </w:p>
    <w:p w14:paraId="01BB3931" w14:textId="5830261A" w:rsidR="00D0533D" w:rsidRPr="00116443" w:rsidRDefault="006B2B86" w:rsidP="00D0533D">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iCs/>
          <w:color w:val="000000" w:themeColor="text1"/>
        </w:rPr>
        <w:t>BVPŽ kodas</w:t>
      </w:r>
      <w:r w:rsidR="00D0533D" w:rsidRPr="00116443">
        <w:rPr>
          <w:rFonts w:eastAsia="Calibri" w:cstheme="minorHAnsi"/>
          <w:iCs/>
          <w:color w:val="000000" w:themeColor="text1"/>
        </w:rPr>
        <w:t xml:space="preserve"> </w:t>
      </w:r>
      <w:r w:rsidRPr="00116443">
        <w:rPr>
          <w:rFonts w:eastAsia="Calibri" w:cstheme="minorHAnsi"/>
          <w:iCs/>
          <w:color w:val="000000" w:themeColor="text1"/>
        </w:rPr>
        <w:t>48214000-1-Tinklo operacinių sistemų programinės įrangos paketai</w:t>
      </w:r>
      <w:r w:rsidR="009F1294" w:rsidRPr="00116443">
        <w:rPr>
          <w:rFonts w:eastAsia="Calibri" w:cstheme="minorHAnsi"/>
          <w:iCs/>
          <w:color w:val="000000" w:themeColor="text1"/>
        </w:rPr>
        <w:t>.</w:t>
      </w:r>
    </w:p>
    <w:p w14:paraId="05FE2AD8" w14:textId="4D4909C6" w:rsidR="009D0CB4" w:rsidRPr="00116443" w:rsidRDefault="00D0533D" w:rsidP="00D0533D">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iCs/>
          <w:color w:val="000000" w:themeColor="text1"/>
        </w:rPr>
        <w:t>Kiekis:</w:t>
      </w:r>
      <w:r w:rsidR="009F1294" w:rsidRPr="00116443">
        <w:rPr>
          <w:rFonts w:eastAsia="Calibri" w:cstheme="minorHAnsi"/>
          <w:iCs/>
          <w:color w:val="000000" w:themeColor="text1"/>
        </w:rPr>
        <w:t xml:space="preserve"> </w:t>
      </w:r>
      <w:r w:rsidR="006B2B86" w:rsidRPr="00116443">
        <w:rPr>
          <w:rFonts w:eastAsia="Calibri" w:cstheme="minorHAnsi"/>
          <w:iCs/>
          <w:color w:val="000000" w:themeColor="text1"/>
        </w:rPr>
        <w:t>1</w:t>
      </w:r>
      <w:r w:rsidR="009F1294" w:rsidRPr="00116443">
        <w:rPr>
          <w:rFonts w:eastAsia="Calibri" w:cstheme="minorHAnsi"/>
          <w:iCs/>
          <w:color w:val="000000" w:themeColor="text1"/>
        </w:rPr>
        <w:t xml:space="preserve"> (</w:t>
      </w:r>
      <w:r w:rsidR="006B2B86" w:rsidRPr="00116443">
        <w:rPr>
          <w:rFonts w:eastAsia="Calibri" w:cstheme="minorHAnsi"/>
          <w:iCs/>
          <w:color w:val="000000" w:themeColor="text1"/>
        </w:rPr>
        <w:t>vienas) vienetas</w:t>
      </w:r>
      <w:r w:rsidR="00B025CB" w:rsidRPr="00116443">
        <w:rPr>
          <w:rFonts w:eastAsia="Calibri" w:cstheme="minorHAnsi"/>
          <w:iCs/>
          <w:color w:val="000000" w:themeColor="text1"/>
        </w:rPr>
        <w:t xml:space="preserve"> licencijos</w:t>
      </w:r>
      <w:r w:rsidR="004A2324">
        <w:rPr>
          <w:rFonts w:eastAsia="Calibri" w:cstheme="minorHAnsi"/>
          <w:iCs/>
          <w:color w:val="000000" w:themeColor="text1"/>
        </w:rPr>
        <w:t xml:space="preserve">, leidžiančios prisijungti </w:t>
      </w:r>
      <w:r w:rsidR="004A2324" w:rsidRPr="004A2324">
        <w:rPr>
          <w:rFonts w:eastAsia="Calibri" w:cstheme="minorHAnsi"/>
          <w:iCs/>
          <w:color w:val="000000" w:themeColor="text1"/>
        </w:rPr>
        <w:t>ne mažiau kaip 12 (dvylika) vartotojų vienu metu</w:t>
      </w:r>
      <w:r w:rsidR="004A2324">
        <w:rPr>
          <w:rFonts w:eastAsia="Calibri" w:cstheme="minorHAnsi"/>
          <w:iCs/>
          <w:color w:val="000000" w:themeColor="text1"/>
        </w:rPr>
        <w:t>.</w:t>
      </w:r>
      <w:bookmarkStart w:id="5" w:name="_GoBack"/>
      <w:bookmarkEnd w:id="5"/>
    </w:p>
    <w:p w14:paraId="02BE5572" w14:textId="081921D7" w:rsidR="009D0CB4" w:rsidRPr="00116443" w:rsidRDefault="00B025CB" w:rsidP="009D0CB4">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iCs/>
          <w:color w:val="000000" w:themeColor="text1"/>
        </w:rPr>
        <w:t>Licencijos kodo</w:t>
      </w:r>
      <w:r w:rsidR="00D0533D" w:rsidRPr="00116443">
        <w:rPr>
          <w:rFonts w:eastAsia="Calibri" w:cstheme="minorHAnsi"/>
          <w:iCs/>
          <w:color w:val="000000" w:themeColor="text1"/>
        </w:rPr>
        <w:t xml:space="preserve"> </w:t>
      </w:r>
      <w:r w:rsidRPr="00116443">
        <w:rPr>
          <w:rFonts w:eastAsia="Calibri" w:cstheme="minorHAnsi"/>
          <w:iCs/>
          <w:color w:val="000000" w:themeColor="text1"/>
        </w:rPr>
        <w:t>pateikimo</w:t>
      </w:r>
      <w:r w:rsidR="009F1294" w:rsidRPr="00116443">
        <w:rPr>
          <w:rFonts w:eastAsia="Calibri" w:cstheme="minorHAnsi"/>
          <w:iCs/>
          <w:color w:val="000000" w:themeColor="text1"/>
        </w:rPr>
        <w:t xml:space="preserve"> terminas: 1</w:t>
      </w:r>
      <w:r w:rsidR="006B2B86" w:rsidRPr="00116443">
        <w:rPr>
          <w:rFonts w:eastAsia="Calibri" w:cstheme="minorHAnsi"/>
          <w:iCs/>
          <w:color w:val="000000" w:themeColor="text1"/>
        </w:rPr>
        <w:t>4</w:t>
      </w:r>
      <w:r w:rsidR="009F1294" w:rsidRPr="00116443">
        <w:rPr>
          <w:rFonts w:eastAsia="Calibri" w:cstheme="minorHAnsi"/>
          <w:iCs/>
          <w:color w:val="000000" w:themeColor="text1"/>
        </w:rPr>
        <w:t xml:space="preserve"> (</w:t>
      </w:r>
      <w:r w:rsidR="006B2B86" w:rsidRPr="00116443">
        <w:rPr>
          <w:rFonts w:eastAsia="Calibri" w:cstheme="minorHAnsi"/>
          <w:iCs/>
          <w:color w:val="000000" w:themeColor="text1"/>
        </w:rPr>
        <w:t xml:space="preserve">keturiolika) </w:t>
      </w:r>
      <w:r w:rsidR="00AA21E2">
        <w:rPr>
          <w:rFonts w:eastAsia="Calibri" w:cstheme="minorHAnsi"/>
          <w:iCs/>
          <w:color w:val="000000" w:themeColor="text1"/>
        </w:rPr>
        <w:t xml:space="preserve">kalendorinių </w:t>
      </w:r>
      <w:r w:rsidR="006B2B86" w:rsidRPr="00116443">
        <w:rPr>
          <w:rFonts w:eastAsia="Calibri" w:cstheme="minorHAnsi"/>
          <w:iCs/>
          <w:color w:val="000000" w:themeColor="text1"/>
        </w:rPr>
        <w:t>dienų</w:t>
      </w:r>
      <w:r w:rsidRPr="00116443">
        <w:rPr>
          <w:rFonts w:eastAsia="Calibri" w:cstheme="minorHAnsi"/>
          <w:iCs/>
          <w:color w:val="000000" w:themeColor="text1"/>
        </w:rPr>
        <w:t xml:space="preserve">, nuo pirkimo sutarties įsigaliojimo </w:t>
      </w:r>
      <w:r w:rsidR="009F1294" w:rsidRPr="00116443">
        <w:rPr>
          <w:rFonts w:eastAsia="Calibri" w:cstheme="minorHAnsi"/>
          <w:iCs/>
          <w:color w:val="000000" w:themeColor="text1"/>
        </w:rPr>
        <w:t>.</w:t>
      </w:r>
    </w:p>
    <w:p w14:paraId="731480FF" w14:textId="0CA54520" w:rsidR="00D0533D" w:rsidRPr="00116443" w:rsidRDefault="006B2B86" w:rsidP="00D0533D">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iCs/>
          <w:color w:val="000000" w:themeColor="text1"/>
        </w:rPr>
        <w:t>Prekės</w:t>
      </w:r>
      <w:r w:rsidR="00D0533D" w:rsidRPr="00116443">
        <w:rPr>
          <w:rFonts w:eastAsia="Calibri" w:cstheme="minorHAnsi"/>
          <w:iCs/>
          <w:color w:val="000000" w:themeColor="text1"/>
        </w:rPr>
        <w:t xml:space="preserve"> pristatymo vieta</w:t>
      </w:r>
      <w:r w:rsidRPr="00116443">
        <w:rPr>
          <w:rFonts w:eastAsia="Calibri" w:cstheme="minorHAnsi"/>
          <w:iCs/>
          <w:color w:val="000000" w:themeColor="text1"/>
        </w:rPr>
        <w:t xml:space="preserve"> būdas: licencij</w:t>
      </w:r>
      <w:r w:rsidR="003B4C01">
        <w:rPr>
          <w:rFonts w:eastAsia="Calibri" w:cstheme="minorHAnsi"/>
          <w:iCs/>
          <w:color w:val="000000" w:themeColor="text1"/>
        </w:rPr>
        <w:t>os kodas</w:t>
      </w:r>
      <w:r w:rsidRPr="00116443">
        <w:rPr>
          <w:rFonts w:eastAsia="Calibri" w:cstheme="minorHAnsi"/>
          <w:iCs/>
          <w:color w:val="000000" w:themeColor="text1"/>
        </w:rPr>
        <w:t xml:space="preserve"> pristatomi elektroniniu paštu</w:t>
      </w:r>
      <w:r w:rsidR="00B025CB" w:rsidRPr="00116443">
        <w:rPr>
          <w:rFonts w:eastAsia="Calibri" w:cstheme="minorHAnsi"/>
          <w:iCs/>
          <w:color w:val="000000" w:themeColor="text1"/>
        </w:rPr>
        <w:t>:___________________</w:t>
      </w:r>
      <w:r w:rsidR="009F1294" w:rsidRPr="00116443">
        <w:rPr>
          <w:rFonts w:eastAsia="Calibri" w:cstheme="minorHAnsi"/>
          <w:iCs/>
          <w:color w:val="000000" w:themeColor="text1"/>
        </w:rPr>
        <w:t>.</w:t>
      </w:r>
    </w:p>
    <w:p w14:paraId="054D2A09" w14:textId="02DEBDCE" w:rsidR="00D0533D" w:rsidRPr="00116443" w:rsidRDefault="00B025CB" w:rsidP="00D0533D">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iCs/>
          <w:color w:val="000000" w:themeColor="text1"/>
        </w:rPr>
        <w:t>Programinės įrangos</w:t>
      </w:r>
      <w:r w:rsidR="006B2B86" w:rsidRPr="00116443">
        <w:rPr>
          <w:rFonts w:eastAsia="Calibri" w:cstheme="minorHAnsi"/>
          <w:iCs/>
          <w:color w:val="000000" w:themeColor="text1"/>
        </w:rPr>
        <w:t xml:space="preserve"> garantinis </w:t>
      </w:r>
      <w:r w:rsidRPr="00116443">
        <w:rPr>
          <w:rFonts w:eastAsia="Calibri" w:cstheme="minorHAnsi"/>
          <w:iCs/>
          <w:color w:val="000000" w:themeColor="text1"/>
        </w:rPr>
        <w:t>ir jos licencijos terminas, kartu su priežiūra, bei palaikymu</w:t>
      </w:r>
      <w:r w:rsidR="006B2B86" w:rsidRPr="00116443">
        <w:rPr>
          <w:rFonts w:eastAsia="Calibri" w:cstheme="minorHAnsi"/>
          <w:iCs/>
          <w:color w:val="000000" w:themeColor="text1"/>
        </w:rPr>
        <w:t xml:space="preserve">: </w:t>
      </w:r>
      <w:r w:rsidR="00A779D1" w:rsidRPr="00116443">
        <w:rPr>
          <w:rFonts w:eastAsia="Calibri" w:cstheme="minorHAnsi"/>
          <w:iCs/>
          <w:color w:val="000000" w:themeColor="text1"/>
        </w:rPr>
        <w:t xml:space="preserve">ne mažiau </w:t>
      </w:r>
      <w:r w:rsidRPr="00116443">
        <w:rPr>
          <w:rFonts w:eastAsia="Calibri" w:cstheme="minorHAnsi"/>
          <w:iCs/>
          <w:color w:val="000000" w:themeColor="text1"/>
        </w:rPr>
        <w:t xml:space="preserve">kaip </w:t>
      </w:r>
      <w:r w:rsidR="00225C28" w:rsidRPr="00116443">
        <w:rPr>
          <w:rFonts w:eastAsia="Calibri" w:cstheme="minorHAnsi"/>
          <w:iCs/>
          <w:color w:val="000000" w:themeColor="text1"/>
        </w:rPr>
        <w:t xml:space="preserve">12 </w:t>
      </w:r>
      <w:r w:rsidR="00A779D1" w:rsidRPr="00116443">
        <w:rPr>
          <w:rFonts w:eastAsia="Calibri" w:cstheme="minorHAnsi"/>
          <w:iCs/>
          <w:color w:val="000000" w:themeColor="text1"/>
        </w:rPr>
        <w:t>(</w:t>
      </w:r>
      <w:r w:rsidR="00225C28" w:rsidRPr="00116443">
        <w:rPr>
          <w:rFonts w:eastAsia="Calibri" w:cstheme="minorHAnsi"/>
          <w:iCs/>
          <w:color w:val="000000" w:themeColor="text1"/>
        </w:rPr>
        <w:t>dvylika</w:t>
      </w:r>
      <w:r w:rsidR="006B2B86" w:rsidRPr="00116443">
        <w:rPr>
          <w:rFonts w:eastAsia="Calibri" w:cstheme="minorHAnsi"/>
          <w:iCs/>
          <w:color w:val="000000" w:themeColor="text1"/>
        </w:rPr>
        <w:t>) mėnesių</w:t>
      </w:r>
      <w:r w:rsidR="00D0533D" w:rsidRPr="00116443">
        <w:rPr>
          <w:rFonts w:eastAsia="Calibri" w:cstheme="minorHAnsi"/>
          <w:iCs/>
          <w:color w:val="000000" w:themeColor="text1"/>
        </w:rPr>
        <w:t>.</w:t>
      </w:r>
    </w:p>
    <w:p w14:paraId="5AE0BA00" w14:textId="77777777" w:rsidR="009D0CB4" w:rsidRPr="00116443" w:rsidRDefault="009D0CB4" w:rsidP="009D0CB4">
      <w:pPr>
        <w:tabs>
          <w:tab w:val="left" w:pos="810"/>
          <w:tab w:val="left" w:pos="990"/>
        </w:tabs>
        <w:spacing w:after="0" w:line="240" w:lineRule="auto"/>
        <w:jc w:val="both"/>
        <w:rPr>
          <w:rFonts w:eastAsia="Calibri" w:cstheme="minorHAnsi"/>
          <w:iCs/>
          <w:color w:val="000000" w:themeColor="text1"/>
        </w:rPr>
      </w:pPr>
    </w:p>
    <w:tbl>
      <w:tblPr>
        <w:tblW w:w="13745" w:type="dxa"/>
        <w:tblInd w:w="-142" w:type="dxa"/>
        <w:tblLayout w:type="fixed"/>
        <w:tblLook w:val="04A0" w:firstRow="1" w:lastRow="0" w:firstColumn="1" w:lastColumn="0" w:noHBand="0" w:noVBand="1"/>
      </w:tblPr>
      <w:tblGrid>
        <w:gridCol w:w="846"/>
        <w:gridCol w:w="7796"/>
        <w:gridCol w:w="5103"/>
      </w:tblGrid>
      <w:tr w:rsidR="00DF58E5" w:rsidRPr="00116443" w14:paraId="763D5A5D" w14:textId="3C3FAC8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07E78E8" w14:textId="77777777" w:rsidR="00DF58E5" w:rsidRPr="00116443" w:rsidRDefault="00DF58E5" w:rsidP="005E52FF">
            <w:pPr>
              <w:spacing w:after="0" w:line="240" w:lineRule="auto"/>
              <w:rPr>
                <w:rFonts w:ascii="Calibri" w:hAnsi="Calibri" w:cs="Calibri"/>
                <w:b/>
                <w:bCs/>
                <w:color w:val="000000" w:themeColor="text1"/>
              </w:rPr>
            </w:pPr>
            <w:r w:rsidRPr="00116443">
              <w:rPr>
                <w:rFonts w:ascii="Calibri" w:hAnsi="Calibri" w:cs="Calibri"/>
                <w:b/>
                <w:bCs/>
                <w:color w:val="000000" w:themeColor="text1"/>
              </w:rPr>
              <w:t>1.</w:t>
            </w:r>
          </w:p>
        </w:tc>
        <w:tc>
          <w:tcPr>
            <w:tcW w:w="7796" w:type="dxa"/>
            <w:tcBorders>
              <w:top w:val="single" w:sz="4" w:space="0" w:color="auto"/>
              <w:left w:val="single" w:sz="4" w:space="0" w:color="auto"/>
              <w:bottom w:val="single" w:sz="4" w:space="0" w:color="auto"/>
              <w:right w:val="single" w:sz="4" w:space="0" w:color="auto"/>
            </w:tcBorders>
          </w:tcPr>
          <w:p w14:paraId="2EF132FA" w14:textId="77777777" w:rsidR="00DF58E5" w:rsidRPr="00116443" w:rsidRDefault="00DF58E5" w:rsidP="0030606B">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Bendrieji reikalavimai:</w:t>
            </w:r>
          </w:p>
        </w:tc>
        <w:tc>
          <w:tcPr>
            <w:tcW w:w="5103" w:type="dxa"/>
            <w:tcBorders>
              <w:top w:val="single" w:sz="4" w:space="0" w:color="auto"/>
              <w:left w:val="single" w:sz="4" w:space="0" w:color="auto"/>
              <w:bottom w:val="single" w:sz="4" w:space="0" w:color="auto"/>
              <w:right w:val="single" w:sz="4" w:space="0" w:color="auto"/>
            </w:tcBorders>
          </w:tcPr>
          <w:p w14:paraId="71CA5084" w14:textId="43148F8B" w:rsidR="00DF58E5" w:rsidRPr="00116443" w:rsidRDefault="00DF58E5" w:rsidP="00DF58E5">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Siūloma:</w:t>
            </w:r>
          </w:p>
        </w:tc>
      </w:tr>
      <w:tr w:rsidR="00DF58E5" w:rsidRPr="00116443" w14:paraId="25078162" w14:textId="797FCED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AC08ECF"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1.1.</w:t>
            </w:r>
          </w:p>
        </w:tc>
        <w:tc>
          <w:tcPr>
            <w:tcW w:w="7796" w:type="dxa"/>
            <w:tcBorders>
              <w:top w:val="single" w:sz="4" w:space="0" w:color="auto"/>
              <w:left w:val="single" w:sz="4" w:space="0" w:color="auto"/>
              <w:bottom w:val="single" w:sz="4" w:space="0" w:color="auto"/>
              <w:right w:val="single" w:sz="4" w:space="0" w:color="auto"/>
            </w:tcBorders>
          </w:tcPr>
          <w:p w14:paraId="383359C4" w14:textId="103B1FB0" w:rsidR="00DF58E5" w:rsidRPr="00116443" w:rsidRDefault="006B2B86"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programinės įrangos gamintojas neturi būti įvykdęs programinės įrangos gamybos arba tobulinimo nutraukimą (angl. </w:t>
            </w:r>
            <w:proofErr w:type="spellStart"/>
            <w:r w:rsidRPr="00116443">
              <w:rPr>
                <w:rFonts w:ascii="Calibri" w:hAnsi="Calibri" w:cs="Calibri"/>
                <w:color w:val="000000" w:themeColor="text1"/>
              </w:rPr>
              <w:t>end</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of</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life</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time</w:t>
            </w:r>
            <w:proofErr w:type="spellEnd"/>
            <w:r w:rsidRPr="00116443">
              <w:rPr>
                <w:rFonts w:ascii="Calibri" w:hAnsi="Calibri" w:cs="Calibri"/>
                <w:color w:val="000000" w:themeColor="text1"/>
              </w:rPr>
              <w:t xml:space="preserve"> arba </w:t>
            </w:r>
            <w:proofErr w:type="spellStart"/>
            <w:r w:rsidRPr="00116443">
              <w:rPr>
                <w:rFonts w:ascii="Calibri" w:hAnsi="Calibri" w:cs="Calibri"/>
                <w:color w:val="000000" w:themeColor="text1"/>
              </w:rPr>
              <w:t>Discontinued</w:t>
            </w:r>
            <w:proofErr w:type="spellEnd"/>
            <w:r w:rsidRPr="00116443">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372FD851"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5FFBA78C" w14:textId="418A61C9"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BFB4387"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1.2.</w:t>
            </w:r>
          </w:p>
        </w:tc>
        <w:tc>
          <w:tcPr>
            <w:tcW w:w="7796" w:type="dxa"/>
            <w:tcBorders>
              <w:top w:val="single" w:sz="4" w:space="0" w:color="auto"/>
              <w:left w:val="single" w:sz="4" w:space="0" w:color="auto"/>
              <w:bottom w:val="single" w:sz="4" w:space="0" w:color="auto"/>
              <w:right w:val="single" w:sz="4" w:space="0" w:color="auto"/>
            </w:tcBorders>
          </w:tcPr>
          <w:p w14:paraId="615A4AFD" w14:textId="473B4D46" w:rsidR="00DF58E5" w:rsidRPr="00116443" w:rsidRDefault="006B2B86" w:rsidP="00D05AF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programinėje įrangoje nebūtų įdiegta jokios papildomos programinės įrangos, kuri nėra būtina tokios įrangos funkcionalumui užtikrinti. Paaiškėjus, kad yra įdiegta įtartina, šnipinėjimo ar kokia kita kenkimo programinė įranga, tai būtų traktuojama kaip reikalavimų neatitikimas ir sutarties sąlygų nesilaikymas.</w:t>
            </w:r>
          </w:p>
        </w:tc>
        <w:tc>
          <w:tcPr>
            <w:tcW w:w="5103" w:type="dxa"/>
            <w:tcBorders>
              <w:top w:val="single" w:sz="4" w:space="0" w:color="auto"/>
              <w:left w:val="single" w:sz="4" w:space="0" w:color="auto"/>
              <w:bottom w:val="single" w:sz="4" w:space="0" w:color="auto"/>
              <w:right w:val="single" w:sz="4" w:space="0" w:color="auto"/>
            </w:tcBorders>
          </w:tcPr>
          <w:p w14:paraId="74D624FF"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3BFCFD38" w14:textId="565647B1"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4578551"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1.3.</w:t>
            </w:r>
          </w:p>
        </w:tc>
        <w:tc>
          <w:tcPr>
            <w:tcW w:w="7796" w:type="dxa"/>
            <w:tcBorders>
              <w:top w:val="single" w:sz="4" w:space="0" w:color="auto"/>
              <w:left w:val="single" w:sz="4" w:space="0" w:color="auto"/>
              <w:bottom w:val="single" w:sz="4" w:space="0" w:color="auto"/>
              <w:right w:val="single" w:sz="4" w:space="0" w:color="auto"/>
            </w:tcBorders>
          </w:tcPr>
          <w:p w14:paraId="3CA25E00" w14:textId="334E9056" w:rsidR="00DF58E5" w:rsidRPr="00116443" w:rsidRDefault="0030606B"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neturi reikalauti įsidiegti papildomos programinės ar aparatinės įrangos, perkančiosios organizacijos infrastruktūroje, funkcionalumui užtikrinti.</w:t>
            </w:r>
          </w:p>
        </w:tc>
        <w:tc>
          <w:tcPr>
            <w:tcW w:w="5103" w:type="dxa"/>
            <w:tcBorders>
              <w:top w:val="single" w:sz="4" w:space="0" w:color="auto"/>
              <w:left w:val="single" w:sz="4" w:space="0" w:color="auto"/>
              <w:bottom w:val="single" w:sz="4" w:space="0" w:color="auto"/>
              <w:right w:val="single" w:sz="4" w:space="0" w:color="auto"/>
            </w:tcBorders>
          </w:tcPr>
          <w:p w14:paraId="47093149" w14:textId="77777777" w:rsidR="00DF58E5" w:rsidRPr="00116443" w:rsidRDefault="00DF58E5" w:rsidP="0030606B">
            <w:pPr>
              <w:tabs>
                <w:tab w:val="left" w:pos="390"/>
                <w:tab w:val="left" w:pos="1035"/>
                <w:tab w:val="left" w:pos="1500"/>
              </w:tabs>
              <w:spacing w:after="0" w:line="240" w:lineRule="auto"/>
              <w:rPr>
                <w:rFonts w:ascii="Calibri" w:eastAsia="Times New Roman" w:hAnsi="Calibri" w:cs="Calibri"/>
                <w:color w:val="000000" w:themeColor="text1"/>
              </w:rPr>
            </w:pPr>
          </w:p>
        </w:tc>
      </w:tr>
      <w:tr w:rsidR="00DF58E5" w:rsidRPr="00116443" w14:paraId="28C43BDB" w14:textId="46B48B2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38B114D"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1.4.</w:t>
            </w:r>
          </w:p>
        </w:tc>
        <w:tc>
          <w:tcPr>
            <w:tcW w:w="7796" w:type="dxa"/>
            <w:tcBorders>
              <w:top w:val="single" w:sz="4" w:space="0" w:color="auto"/>
              <w:left w:val="single" w:sz="4" w:space="0" w:color="auto"/>
              <w:bottom w:val="single" w:sz="4" w:space="0" w:color="auto"/>
              <w:right w:val="single" w:sz="4" w:space="0" w:color="auto"/>
            </w:tcBorders>
          </w:tcPr>
          <w:p w14:paraId="3923AD83" w14:textId="487B5898" w:rsidR="00DF58E5" w:rsidRPr="00116443" w:rsidRDefault="0030606B"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neturi kelti grėsmės nacionaliniam saugumui ir kibernetinei saugai.</w:t>
            </w:r>
          </w:p>
        </w:tc>
        <w:tc>
          <w:tcPr>
            <w:tcW w:w="5103" w:type="dxa"/>
            <w:tcBorders>
              <w:top w:val="single" w:sz="4" w:space="0" w:color="auto"/>
              <w:left w:val="single" w:sz="4" w:space="0" w:color="auto"/>
              <w:bottom w:val="single" w:sz="4" w:space="0" w:color="auto"/>
              <w:right w:val="single" w:sz="4" w:space="0" w:color="auto"/>
            </w:tcBorders>
          </w:tcPr>
          <w:p w14:paraId="174AEB2D"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08DC0F3F" w14:textId="302CE3E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B38FC0E"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1.5.</w:t>
            </w:r>
          </w:p>
        </w:tc>
        <w:tc>
          <w:tcPr>
            <w:tcW w:w="7796" w:type="dxa"/>
            <w:tcBorders>
              <w:top w:val="single" w:sz="4" w:space="0" w:color="auto"/>
              <w:left w:val="single" w:sz="4" w:space="0" w:color="auto"/>
              <w:bottom w:val="single" w:sz="4" w:space="0" w:color="auto"/>
              <w:right w:val="single" w:sz="4" w:space="0" w:color="auto"/>
            </w:tcBorders>
          </w:tcPr>
          <w:p w14:paraId="242A611B" w14:textId="5D15B3F2" w:rsidR="00DF58E5" w:rsidRPr="00116443" w:rsidRDefault="0030606B"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Programinė įranga turi turėti valdymo skydelį teikiantį analitinę informaciją. Grėsmių analizės programinė įrangą turi būti valdoma per WEB sąsają ir API (angl. </w:t>
            </w:r>
            <w:proofErr w:type="spellStart"/>
            <w:r w:rsidRPr="00116443">
              <w:rPr>
                <w:rFonts w:ascii="Calibri" w:hAnsi="Calibri" w:cs="Calibri"/>
                <w:color w:val="000000" w:themeColor="text1"/>
              </w:rPr>
              <w:t>Application</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Programming</w:t>
            </w:r>
            <w:proofErr w:type="spellEnd"/>
            <w:r w:rsidRPr="00116443">
              <w:rPr>
                <w:rFonts w:ascii="Calibri" w:hAnsi="Calibri" w:cs="Calibri"/>
                <w:color w:val="000000" w:themeColor="text1"/>
              </w:rPr>
              <w:t xml:space="preserve"> Interface).</w:t>
            </w:r>
          </w:p>
        </w:tc>
        <w:tc>
          <w:tcPr>
            <w:tcW w:w="5103" w:type="dxa"/>
            <w:tcBorders>
              <w:top w:val="single" w:sz="4" w:space="0" w:color="auto"/>
              <w:left w:val="single" w:sz="4" w:space="0" w:color="auto"/>
              <w:bottom w:val="single" w:sz="4" w:space="0" w:color="auto"/>
              <w:right w:val="single" w:sz="4" w:space="0" w:color="auto"/>
            </w:tcBorders>
          </w:tcPr>
          <w:p w14:paraId="4530FF59"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7E287479" w14:textId="03C0C3AA"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D418D78"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1.6.</w:t>
            </w:r>
          </w:p>
        </w:tc>
        <w:tc>
          <w:tcPr>
            <w:tcW w:w="7796" w:type="dxa"/>
            <w:tcBorders>
              <w:top w:val="single" w:sz="4" w:space="0" w:color="auto"/>
              <w:left w:val="single" w:sz="4" w:space="0" w:color="auto"/>
              <w:bottom w:val="single" w:sz="4" w:space="0" w:color="auto"/>
              <w:right w:val="single" w:sz="4" w:space="0" w:color="auto"/>
            </w:tcBorders>
          </w:tcPr>
          <w:p w14:paraId="56DD2D87" w14:textId="6DEC24CD" w:rsidR="00DF58E5" w:rsidRPr="00116443" w:rsidRDefault="0030606B"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Visi Grėsmių analizės programinė įrangos aprašyme pateikti reikalavimai turi būti veikiantys ir įgalinti, jeigu jiems reikalingos papildomos licencijos, jos turi būti pateiktos.</w:t>
            </w:r>
          </w:p>
        </w:tc>
        <w:tc>
          <w:tcPr>
            <w:tcW w:w="5103" w:type="dxa"/>
            <w:tcBorders>
              <w:top w:val="single" w:sz="4" w:space="0" w:color="auto"/>
              <w:left w:val="single" w:sz="4" w:space="0" w:color="auto"/>
              <w:bottom w:val="single" w:sz="4" w:space="0" w:color="auto"/>
              <w:right w:val="single" w:sz="4" w:space="0" w:color="auto"/>
            </w:tcBorders>
          </w:tcPr>
          <w:p w14:paraId="151F0B6E"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2E5742AD" w14:textId="6306370D"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1093D64"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lastRenderedPageBreak/>
              <w:t>1.7.</w:t>
            </w:r>
          </w:p>
        </w:tc>
        <w:tc>
          <w:tcPr>
            <w:tcW w:w="7796" w:type="dxa"/>
            <w:tcBorders>
              <w:top w:val="single" w:sz="4" w:space="0" w:color="auto"/>
              <w:left w:val="single" w:sz="4" w:space="0" w:color="auto"/>
              <w:bottom w:val="single" w:sz="4" w:space="0" w:color="auto"/>
              <w:right w:val="single" w:sz="4" w:space="0" w:color="auto"/>
            </w:tcBorders>
          </w:tcPr>
          <w:p w14:paraId="0A8513DA" w14:textId="6D27777B" w:rsidR="00DF58E5" w:rsidRPr="00116443" w:rsidRDefault="0030606B"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Jei yra siūloma integruota (ne vieno gamintojo) Grėsmių analizės programinė įranga (programinis sprendimas), visiems gamintojams turi būti taikomi tokie patys bendrieji, diegimo, specialieji, garantijų ir palaikymo reikalavimai.</w:t>
            </w:r>
          </w:p>
        </w:tc>
        <w:tc>
          <w:tcPr>
            <w:tcW w:w="5103" w:type="dxa"/>
            <w:tcBorders>
              <w:top w:val="single" w:sz="4" w:space="0" w:color="auto"/>
              <w:left w:val="single" w:sz="4" w:space="0" w:color="auto"/>
              <w:bottom w:val="single" w:sz="4" w:space="0" w:color="auto"/>
              <w:right w:val="single" w:sz="4" w:space="0" w:color="auto"/>
            </w:tcBorders>
          </w:tcPr>
          <w:p w14:paraId="007AE17E"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65276FD9" w14:textId="0529443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4A5AE54"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1.8.</w:t>
            </w:r>
          </w:p>
        </w:tc>
        <w:tc>
          <w:tcPr>
            <w:tcW w:w="7796" w:type="dxa"/>
            <w:tcBorders>
              <w:top w:val="single" w:sz="4" w:space="0" w:color="auto"/>
              <w:left w:val="single" w:sz="4" w:space="0" w:color="auto"/>
              <w:bottom w:val="single" w:sz="4" w:space="0" w:color="auto"/>
              <w:right w:val="single" w:sz="4" w:space="0" w:color="auto"/>
            </w:tcBorders>
          </w:tcPr>
          <w:p w14:paraId="431DB14B" w14:textId="600AA9A8" w:rsidR="00DF58E5" w:rsidRPr="00116443" w:rsidRDefault="0030606B" w:rsidP="00225C28">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 įranga turi būti licencijuojama suteikiant prieigą ne mažiau kaip </w:t>
            </w:r>
            <w:r w:rsidR="00225C28" w:rsidRPr="00116443">
              <w:rPr>
                <w:rFonts w:ascii="Calibri" w:hAnsi="Calibri" w:cs="Calibri"/>
                <w:color w:val="000000" w:themeColor="text1"/>
              </w:rPr>
              <w:t>12</w:t>
            </w:r>
            <w:r w:rsidRPr="00116443">
              <w:rPr>
                <w:rFonts w:ascii="Calibri" w:hAnsi="Calibri" w:cs="Calibri"/>
                <w:color w:val="000000" w:themeColor="text1"/>
              </w:rPr>
              <w:t xml:space="preserve"> (</w:t>
            </w:r>
            <w:r w:rsidR="00225C28" w:rsidRPr="00116443">
              <w:rPr>
                <w:rFonts w:ascii="Calibri" w:hAnsi="Calibri" w:cs="Calibri"/>
                <w:color w:val="000000" w:themeColor="text1"/>
              </w:rPr>
              <w:t>dvylika</w:t>
            </w:r>
            <w:r w:rsidRPr="00116443">
              <w:rPr>
                <w:rFonts w:ascii="Calibri" w:hAnsi="Calibri" w:cs="Calibri"/>
                <w:color w:val="000000" w:themeColor="text1"/>
              </w:rPr>
              <w:t>) mėnesių, pradedant nuo 2026-08-06.</w:t>
            </w:r>
          </w:p>
        </w:tc>
        <w:tc>
          <w:tcPr>
            <w:tcW w:w="5103" w:type="dxa"/>
            <w:tcBorders>
              <w:top w:val="single" w:sz="4" w:space="0" w:color="auto"/>
              <w:left w:val="single" w:sz="4" w:space="0" w:color="auto"/>
              <w:bottom w:val="single" w:sz="4" w:space="0" w:color="auto"/>
              <w:right w:val="single" w:sz="4" w:space="0" w:color="auto"/>
            </w:tcBorders>
          </w:tcPr>
          <w:p w14:paraId="1B2BAB1C"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bl>
    <w:p w14:paraId="6974ABE7" w14:textId="77777777" w:rsidR="0030606B" w:rsidRPr="00116443" w:rsidRDefault="0030606B" w:rsidP="0030606B">
      <w:pPr>
        <w:spacing w:after="0" w:line="240" w:lineRule="auto"/>
        <w:rPr>
          <w:rFonts w:eastAsia="Calibri" w:cstheme="minorHAnsi"/>
          <w:color w:val="000000" w:themeColor="text1"/>
        </w:rPr>
      </w:pPr>
    </w:p>
    <w:tbl>
      <w:tblPr>
        <w:tblW w:w="13745" w:type="dxa"/>
        <w:tblInd w:w="-142" w:type="dxa"/>
        <w:tblLayout w:type="fixed"/>
        <w:tblLook w:val="04A0" w:firstRow="1" w:lastRow="0" w:firstColumn="1" w:lastColumn="0" w:noHBand="0" w:noVBand="1"/>
      </w:tblPr>
      <w:tblGrid>
        <w:gridCol w:w="846"/>
        <w:gridCol w:w="7796"/>
        <w:gridCol w:w="5103"/>
      </w:tblGrid>
      <w:tr w:rsidR="0030606B" w:rsidRPr="00116443" w14:paraId="4AECCA35"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2A9CD18F" w14:textId="07D49A34" w:rsidR="0030606B" w:rsidRPr="00116443" w:rsidRDefault="0030606B" w:rsidP="00C444E1">
            <w:pPr>
              <w:spacing w:after="0" w:line="240" w:lineRule="auto"/>
              <w:rPr>
                <w:rFonts w:ascii="Calibri" w:hAnsi="Calibri" w:cs="Calibri"/>
                <w:b/>
                <w:bCs/>
                <w:color w:val="000000" w:themeColor="text1"/>
              </w:rPr>
            </w:pPr>
            <w:r w:rsidRPr="00116443">
              <w:rPr>
                <w:rFonts w:ascii="Calibri" w:hAnsi="Calibri" w:cs="Calibri"/>
                <w:b/>
                <w:bCs/>
                <w:color w:val="000000" w:themeColor="text1"/>
              </w:rPr>
              <w:t>2.</w:t>
            </w:r>
          </w:p>
        </w:tc>
        <w:tc>
          <w:tcPr>
            <w:tcW w:w="7796" w:type="dxa"/>
            <w:tcBorders>
              <w:top w:val="single" w:sz="4" w:space="0" w:color="auto"/>
              <w:left w:val="single" w:sz="4" w:space="0" w:color="auto"/>
              <w:bottom w:val="single" w:sz="4" w:space="0" w:color="auto"/>
              <w:right w:val="single" w:sz="4" w:space="0" w:color="auto"/>
            </w:tcBorders>
          </w:tcPr>
          <w:p w14:paraId="5D2032EA" w14:textId="701B26AE" w:rsidR="0030606B" w:rsidRPr="00116443" w:rsidRDefault="0030606B" w:rsidP="0030606B">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Diegimo reikalavimai:</w:t>
            </w:r>
          </w:p>
        </w:tc>
        <w:tc>
          <w:tcPr>
            <w:tcW w:w="5103" w:type="dxa"/>
            <w:tcBorders>
              <w:top w:val="single" w:sz="4" w:space="0" w:color="auto"/>
              <w:left w:val="single" w:sz="4" w:space="0" w:color="auto"/>
              <w:bottom w:val="single" w:sz="4" w:space="0" w:color="auto"/>
              <w:right w:val="single" w:sz="4" w:space="0" w:color="auto"/>
            </w:tcBorders>
          </w:tcPr>
          <w:p w14:paraId="374E1E4A" w14:textId="77777777" w:rsidR="0030606B" w:rsidRPr="00116443" w:rsidRDefault="0030606B" w:rsidP="00C444E1">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Siūloma:</w:t>
            </w:r>
          </w:p>
        </w:tc>
      </w:tr>
      <w:tr w:rsidR="0030606B" w:rsidRPr="00116443" w14:paraId="4ECD4BDA"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79163E79" w14:textId="7EA02F27" w:rsidR="0030606B" w:rsidRPr="00116443" w:rsidRDefault="0030606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2.1.</w:t>
            </w:r>
          </w:p>
        </w:tc>
        <w:tc>
          <w:tcPr>
            <w:tcW w:w="7796" w:type="dxa"/>
            <w:tcBorders>
              <w:top w:val="single" w:sz="4" w:space="0" w:color="auto"/>
              <w:left w:val="single" w:sz="4" w:space="0" w:color="auto"/>
              <w:bottom w:val="single" w:sz="4" w:space="0" w:color="auto"/>
              <w:right w:val="single" w:sz="4" w:space="0" w:color="auto"/>
            </w:tcBorders>
          </w:tcPr>
          <w:p w14:paraId="6567A563" w14:textId="2C8661DD"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 įranga privalo būti suderinama su perkančiosios organizacijos naudojamais (Intel471, </w:t>
            </w:r>
            <w:proofErr w:type="spellStart"/>
            <w:r w:rsidRPr="00116443">
              <w:rPr>
                <w:rFonts w:ascii="Calibri" w:hAnsi="Calibri" w:cs="Calibri"/>
                <w:color w:val="000000" w:themeColor="text1"/>
              </w:rPr>
              <w:t>Domaintools</w:t>
            </w:r>
            <w:proofErr w:type="spellEnd"/>
            <w:r w:rsidRPr="00116443">
              <w:rPr>
                <w:rFonts w:ascii="Calibri" w:hAnsi="Calibri" w:cs="Calibri"/>
                <w:color w:val="000000" w:themeColor="text1"/>
              </w:rPr>
              <w:t xml:space="preserve">, MISP ir </w:t>
            </w:r>
            <w:proofErr w:type="spellStart"/>
            <w:r w:rsidRPr="00116443">
              <w:rPr>
                <w:rFonts w:ascii="Calibri" w:hAnsi="Calibri" w:cs="Calibri"/>
                <w:color w:val="000000" w:themeColor="text1"/>
              </w:rPr>
              <w:t>Shodan</w:t>
            </w:r>
            <w:proofErr w:type="spellEnd"/>
            <w:r w:rsidRPr="00116443">
              <w:rPr>
                <w:rFonts w:ascii="Calibri" w:hAnsi="Calibri" w:cs="Calibri"/>
                <w:color w:val="000000" w:themeColor="text1"/>
              </w:rPr>
              <w:t>) įrankiais, užtikrinant jų tarpusavio integravimą ir duomenų naudojimą.</w:t>
            </w:r>
          </w:p>
        </w:tc>
        <w:tc>
          <w:tcPr>
            <w:tcW w:w="5103" w:type="dxa"/>
            <w:tcBorders>
              <w:top w:val="single" w:sz="4" w:space="0" w:color="auto"/>
              <w:left w:val="single" w:sz="4" w:space="0" w:color="auto"/>
              <w:bottom w:val="single" w:sz="4" w:space="0" w:color="auto"/>
              <w:right w:val="single" w:sz="4" w:space="0" w:color="auto"/>
            </w:tcBorders>
          </w:tcPr>
          <w:p w14:paraId="5440A380" w14:textId="77777777"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p>
        </w:tc>
      </w:tr>
      <w:tr w:rsidR="0030606B" w:rsidRPr="00116443" w14:paraId="1BAD845A"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34E3C8AE" w14:textId="7B47F219" w:rsidR="0030606B" w:rsidRPr="00116443" w:rsidRDefault="0030606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2.2.</w:t>
            </w:r>
          </w:p>
        </w:tc>
        <w:tc>
          <w:tcPr>
            <w:tcW w:w="7796" w:type="dxa"/>
            <w:tcBorders>
              <w:top w:val="single" w:sz="4" w:space="0" w:color="auto"/>
              <w:left w:val="single" w:sz="4" w:space="0" w:color="auto"/>
              <w:bottom w:val="single" w:sz="4" w:space="0" w:color="auto"/>
              <w:right w:val="single" w:sz="4" w:space="0" w:color="auto"/>
            </w:tcBorders>
          </w:tcPr>
          <w:p w14:paraId="2874995E" w14:textId="50BDD718"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 įranga turi turėti sukonfigūruotus teminius informacinius skydelius (angl. </w:t>
            </w:r>
            <w:proofErr w:type="spellStart"/>
            <w:r w:rsidRPr="00116443">
              <w:rPr>
                <w:rFonts w:ascii="Calibri" w:hAnsi="Calibri" w:cs="Calibri"/>
                <w:color w:val="000000" w:themeColor="text1"/>
              </w:rPr>
              <w:t>Dashboards</w:t>
            </w:r>
            <w:proofErr w:type="spellEnd"/>
            <w:r w:rsidRPr="00116443">
              <w:rPr>
                <w:rFonts w:ascii="Calibri" w:hAnsi="Calibri" w:cs="Calibri"/>
                <w:color w:val="000000" w:themeColor="text1"/>
              </w:rPr>
              <w:t>):</w:t>
            </w:r>
          </w:p>
          <w:p w14:paraId="1C2C6E83"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a)</w:t>
            </w:r>
            <w:r w:rsidRPr="00116443">
              <w:rPr>
                <w:rFonts w:ascii="Calibri" w:hAnsi="Calibri" w:cs="Calibri"/>
                <w:color w:val="000000" w:themeColor="text1"/>
              </w:rPr>
              <w:tab/>
              <w:t>atskirai kiekvienam sektoriui (pagal NIS2 / TIS2 direktyvą ir Lietuvos Respublikos kibernetinio saugumo įstatymą), užtikrinant sektoriams specifinę informacijos vizualizaciją ir stebėseną;</w:t>
            </w:r>
          </w:p>
          <w:p w14:paraId="6F985661"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b)</w:t>
            </w:r>
            <w:r w:rsidRPr="00116443">
              <w:rPr>
                <w:rFonts w:ascii="Calibri" w:hAnsi="Calibri" w:cs="Calibri"/>
                <w:color w:val="000000" w:themeColor="text1"/>
              </w:rPr>
              <w:tab/>
              <w:t xml:space="preserve">specifinį pažeidžiamumams skirtą informacinį skydelį, kuriame būtų atvaizduojama informacija iš </w:t>
            </w:r>
            <w:proofErr w:type="spellStart"/>
            <w:r w:rsidRPr="00116443">
              <w:rPr>
                <w:rFonts w:ascii="Calibri" w:hAnsi="Calibri" w:cs="Calibri"/>
                <w:color w:val="000000" w:themeColor="text1"/>
              </w:rPr>
              <w:t>Vulnerability</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Database</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Vuln</w:t>
            </w:r>
            <w:proofErr w:type="spellEnd"/>
            <w:r w:rsidRPr="00116443">
              <w:rPr>
                <w:rFonts w:ascii="Calibri" w:hAnsi="Calibri" w:cs="Calibri"/>
                <w:color w:val="000000" w:themeColor="text1"/>
              </w:rPr>
              <w:t xml:space="preserve"> DB), </w:t>
            </w:r>
            <w:proofErr w:type="spellStart"/>
            <w:r w:rsidRPr="00116443">
              <w:rPr>
                <w:rFonts w:ascii="Calibri" w:hAnsi="Calibri" w:cs="Calibri"/>
                <w:color w:val="000000" w:themeColor="text1"/>
              </w:rPr>
              <w:t>Exploit</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Database</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Exploit</w:t>
            </w:r>
            <w:proofErr w:type="spellEnd"/>
            <w:r w:rsidRPr="00116443">
              <w:rPr>
                <w:rFonts w:ascii="Calibri" w:hAnsi="Calibri" w:cs="Calibri"/>
                <w:color w:val="000000" w:themeColor="text1"/>
              </w:rPr>
              <w:t xml:space="preserve"> DB), taip pat internete aktyviai minimi pažeidžiamumai ir juos naudojantys grėsmių aktoriai (angl. </w:t>
            </w:r>
            <w:proofErr w:type="spellStart"/>
            <w:r w:rsidRPr="00116443">
              <w:rPr>
                <w:rFonts w:ascii="Calibri" w:hAnsi="Calibri" w:cs="Calibri"/>
                <w:color w:val="000000" w:themeColor="text1"/>
              </w:rPr>
              <w:t>Advanced</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persistent</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threat</w:t>
            </w:r>
            <w:proofErr w:type="spellEnd"/>
            <w:r w:rsidRPr="00116443">
              <w:rPr>
                <w:rFonts w:ascii="Calibri" w:hAnsi="Calibri" w:cs="Calibri"/>
                <w:color w:val="000000" w:themeColor="text1"/>
              </w:rPr>
              <w:t>);</w:t>
            </w:r>
          </w:p>
          <w:p w14:paraId="4236A952"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c)</w:t>
            </w:r>
            <w:r w:rsidRPr="00116443">
              <w:rPr>
                <w:rFonts w:ascii="Calibri" w:hAnsi="Calibri" w:cs="Calibri"/>
                <w:color w:val="000000" w:themeColor="text1"/>
              </w:rPr>
              <w:tab/>
              <w:t>trečiųjų šalių grėsmių stebėjimui;</w:t>
            </w:r>
          </w:p>
          <w:p w14:paraId="460A7FC9"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d)</w:t>
            </w:r>
            <w:r w:rsidRPr="00116443">
              <w:rPr>
                <w:rFonts w:ascii="Calibri" w:hAnsi="Calibri" w:cs="Calibri"/>
                <w:color w:val="000000" w:themeColor="text1"/>
              </w:rPr>
              <w:tab/>
              <w:t>grėsmių aktorių stebėjimui;</w:t>
            </w:r>
          </w:p>
          <w:p w14:paraId="1BD5296C"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e)</w:t>
            </w:r>
            <w:r w:rsidRPr="00116443">
              <w:rPr>
                <w:rFonts w:ascii="Calibri" w:hAnsi="Calibri" w:cs="Calibri"/>
                <w:color w:val="000000" w:themeColor="text1"/>
              </w:rPr>
              <w:tab/>
              <w:t xml:space="preserve">regiono (JAV, Lietuva, Lenkija, Ukraina ir </w:t>
            </w:r>
            <w:proofErr w:type="spellStart"/>
            <w:r w:rsidRPr="00116443">
              <w:rPr>
                <w:rFonts w:ascii="Calibri" w:hAnsi="Calibri" w:cs="Calibri"/>
                <w:color w:val="000000" w:themeColor="text1"/>
              </w:rPr>
              <w:t>Sakartvelas</w:t>
            </w:r>
            <w:proofErr w:type="spellEnd"/>
            <w:r w:rsidRPr="00116443">
              <w:rPr>
                <w:rFonts w:ascii="Calibri" w:hAnsi="Calibri" w:cs="Calibri"/>
                <w:color w:val="000000" w:themeColor="text1"/>
              </w:rPr>
              <w:t>) grėsmių ir grėsmių aktorių stebėjimui;</w:t>
            </w:r>
          </w:p>
          <w:p w14:paraId="5BA2E12F"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f)</w:t>
            </w:r>
            <w:r w:rsidRPr="00116443">
              <w:rPr>
                <w:rFonts w:ascii="Calibri" w:hAnsi="Calibri" w:cs="Calibri"/>
                <w:color w:val="000000" w:themeColor="text1"/>
              </w:rPr>
              <w:tab/>
              <w:t>Europos Sąjungos / NATO regiono kibernetinės būklės ir naujienų sekimui;</w:t>
            </w:r>
          </w:p>
          <w:p w14:paraId="12A5B6D2"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w:t>
            </w:r>
            <w:r w:rsidRPr="00116443">
              <w:rPr>
                <w:rFonts w:ascii="Calibri" w:hAnsi="Calibri" w:cs="Calibri"/>
                <w:color w:val="000000" w:themeColor="text1"/>
              </w:rPr>
              <w:tab/>
              <w:t xml:space="preserve">išpirkos reikalaujančios kenkėjiškos programinės įrangos (angl. </w:t>
            </w:r>
            <w:proofErr w:type="spellStart"/>
            <w:r w:rsidRPr="00116443">
              <w:rPr>
                <w:rFonts w:ascii="Calibri" w:hAnsi="Calibri" w:cs="Calibri"/>
                <w:color w:val="000000" w:themeColor="text1"/>
              </w:rPr>
              <w:t>ransomware</w:t>
            </w:r>
            <w:proofErr w:type="spellEnd"/>
            <w:r w:rsidRPr="00116443">
              <w:rPr>
                <w:rFonts w:ascii="Calibri" w:hAnsi="Calibri" w:cs="Calibri"/>
                <w:color w:val="000000" w:themeColor="text1"/>
              </w:rPr>
              <w:t>) ir ją naudojančių grupuočių stebėjimui;</w:t>
            </w:r>
          </w:p>
          <w:p w14:paraId="219696ED" w14:textId="7A635B98"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h)</w:t>
            </w:r>
            <w:r w:rsidRPr="00116443">
              <w:rPr>
                <w:rFonts w:ascii="Calibri" w:hAnsi="Calibri" w:cs="Calibri"/>
                <w:color w:val="000000" w:themeColor="text1"/>
              </w:rPr>
              <w:tab/>
              <w:t xml:space="preserve">tamsiojo interneto (angl. dark </w:t>
            </w:r>
            <w:proofErr w:type="spellStart"/>
            <w:r w:rsidRPr="00116443">
              <w:rPr>
                <w:rFonts w:ascii="Calibri" w:hAnsi="Calibri" w:cs="Calibri"/>
                <w:color w:val="000000" w:themeColor="text1"/>
              </w:rPr>
              <w:t>web</w:t>
            </w:r>
            <w:proofErr w:type="spellEnd"/>
            <w:r w:rsidRPr="00116443">
              <w:rPr>
                <w:rFonts w:ascii="Calibri" w:hAnsi="Calibri" w:cs="Calibri"/>
                <w:color w:val="000000" w:themeColor="text1"/>
              </w:rPr>
              <w:t>) forumų, grėsmių, grupuočių stebėjimui.</w:t>
            </w:r>
          </w:p>
        </w:tc>
        <w:tc>
          <w:tcPr>
            <w:tcW w:w="5103" w:type="dxa"/>
            <w:tcBorders>
              <w:top w:val="single" w:sz="4" w:space="0" w:color="auto"/>
              <w:left w:val="single" w:sz="4" w:space="0" w:color="auto"/>
              <w:bottom w:val="single" w:sz="4" w:space="0" w:color="auto"/>
              <w:right w:val="single" w:sz="4" w:space="0" w:color="auto"/>
            </w:tcBorders>
          </w:tcPr>
          <w:p w14:paraId="2928C22A" w14:textId="77777777"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p>
        </w:tc>
      </w:tr>
      <w:tr w:rsidR="0030606B" w:rsidRPr="00116443" w14:paraId="1D69EA61"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ABB21EC" w14:textId="6063ED3B" w:rsidR="0030606B" w:rsidRPr="00116443" w:rsidRDefault="0030606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2.3.</w:t>
            </w:r>
          </w:p>
        </w:tc>
        <w:tc>
          <w:tcPr>
            <w:tcW w:w="7796" w:type="dxa"/>
            <w:tcBorders>
              <w:top w:val="single" w:sz="4" w:space="0" w:color="auto"/>
              <w:left w:val="single" w:sz="4" w:space="0" w:color="auto"/>
              <w:bottom w:val="single" w:sz="4" w:space="0" w:color="auto"/>
              <w:right w:val="single" w:sz="4" w:space="0" w:color="auto"/>
            </w:tcBorders>
          </w:tcPr>
          <w:p w14:paraId="2811418A" w14:textId="11F6E231"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Sukonfigūruotas automatinis ataskaitų generavimas pagal perkančiosios organizacijos nurodytus teminius informacinius skydelius, naudojant perkančiosios organizacijos ataskaitos šabloną.</w:t>
            </w:r>
          </w:p>
        </w:tc>
        <w:tc>
          <w:tcPr>
            <w:tcW w:w="5103" w:type="dxa"/>
            <w:tcBorders>
              <w:top w:val="single" w:sz="4" w:space="0" w:color="auto"/>
              <w:left w:val="single" w:sz="4" w:space="0" w:color="auto"/>
              <w:bottom w:val="single" w:sz="4" w:space="0" w:color="auto"/>
              <w:right w:val="single" w:sz="4" w:space="0" w:color="auto"/>
            </w:tcBorders>
          </w:tcPr>
          <w:p w14:paraId="390C06B4" w14:textId="77777777" w:rsidR="0030606B" w:rsidRPr="00116443" w:rsidRDefault="0030606B" w:rsidP="00C444E1">
            <w:pPr>
              <w:tabs>
                <w:tab w:val="left" w:pos="390"/>
                <w:tab w:val="left" w:pos="1035"/>
                <w:tab w:val="left" w:pos="1500"/>
              </w:tabs>
              <w:spacing w:after="0" w:line="240" w:lineRule="auto"/>
              <w:jc w:val="both"/>
              <w:rPr>
                <w:rFonts w:ascii="Calibri" w:eastAsia="Times New Roman" w:hAnsi="Calibri" w:cs="Calibri"/>
                <w:color w:val="000000" w:themeColor="text1"/>
              </w:rPr>
            </w:pPr>
          </w:p>
        </w:tc>
      </w:tr>
      <w:tr w:rsidR="0030606B" w:rsidRPr="00116443" w14:paraId="319D8C54"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3514D8E" w14:textId="766C9A65" w:rsidR="0030606B" w:rsidRPr="00116443" w:rsidRDefault="0030606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2.4.</w:t>
            </w:r>
          </w:p>
        </w:tc>
        <w:tc>
          <w:tcPr>
            <w:tcW w:w="7796" w:type="dxa"/>
            <w:tcBorders>
              <w:top w:val="single" w:sz="4" w:space="0" w:color="auto"/>
              <w:left w:val="single" w:sz="4" w:space="0" w:color="auto"/>
              <w:bottom w:val="single" w:sz="4" w:space="0" w:color="auto"/>
              <w:right w:val="single" w:sz="4" w:space="0" w:color="auto"/>
            </w:tcBorders>
          </w:tcPr>
          <w:p w14:paraId="6118EA8B" w14:textId="27F084E8"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Sukonfigūruotas automatinis ataskaitų išsiuntimas el. paštu. Siunčiamų laiškų ir gavėjų kiekis neturi būti ribojamas.</w:t>
            </w:r>
          </w:p>
        </w:tc>
        <w:tc>
          <w:tcPr>
            <w:tcW w:w="5103" w:type="dxa"/>
            <w:tcBorders>
              <w:top w:val="single" w:sz="4" w:space="0" w:color="auto"/>
              <w:left w:val="single" w:sz="4" w:space="0" w:color="auto"/>
              <w:bottom w:val="single" w:sz="4" w:space="0" w:color="auto"/>
              <w:right w:val="single" w:sz="4" w:space="0" w:color="auto"/>
            </w:tcBorders>
          </w:tcPr>
          <w:p w14:paraId="13EACBEA" w14:textId="77777777"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p>
        </w:tc>
      </w:tr>
    </w:tbl>
    <w:p w14:paraId="3BF3BE3F" w14:textId="77777777" w:rsidR="0030606B" w:rsidRPr="00116443" w:rsidRDefault="0030606B" w:rsidP="0030606B">
      <w:pPr>
        <w:spacing w:after="0" w:line="240" w:lineRule="auto"/>
        <w:rPr>
          <w:rFonts w:eastAsia="Calibri" w:cstheme="minorHAnsi"/>
          <w:color w:val="000000" w:themeColor="text1"/>
        </w:rPr>
      </w:pPr>
    </w:p>
    <w:tbl>
      <w:tblPr>
        <w:tblW w:w="13745" w:type="dxa"/>
        <w:tblInd w:w="-142" w:type="dxa"/>
        <w:tblLayout w:type="fixed"/>
        <w:tblLook w:val="04A0" w:firstRow="1" w:lastRow="0" w:firstColumn="1" w:lastColumn="0" w:noHBand="0" w:noVBand="1"/>
      </w:tblPr>
      <w:tblGrid>
        <w:gridCol w:w="846"/>
        <w:gridCol w:w="7796"/>
        <w:gridCol w:w="5103"/>
      </w:tblGrid>
      <w:tr w:rsidR="00975C8B" w:rsidRPr="00116443" w14:paraId="1BB3B6E2"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5411E59D" w14:textId="1EA54784" w:rsidR="00975C8B" w:rsidRPr="00116443" w:rsidRDefault="00975C8B" w:rsidP="00C444E1">
            <w:pPr>
              <w:spacing w:after="0" w:line="240" w:lineRule="auto"/>
              <w:rPr>
                <w:rFonts w:ascii="Calibri" w:hAnsi="Calibri" w:cs="Calibri"/>
                <w:b/>
                <w:bCs/>
                <w:color w:val="000000" w:themeColor="text1"/>
              </w:rPr>
            </w:pPr>
            <w:r w:rsidRPr="00116443">
              <w:rPr>
                <w:rFonts w:ascii="Calibri" w:hAnsi="Calibri" w:cs="Calibri"/>
                <w:b/>
                <w:bCs/>
                <w:color w:val="000000" w:themeColor="text1"/>
              </w:rPr>
              <w:t>3.</w:t>
            </w:r>
          </w:p>
        </w:tc>
        <w:tc>
          <w:tcPr>
            <w:tcW w:w="7796" w:type="dxa"/>
            <w:tcBorders>
              <w:top w:val="single" w:sz="4" w:space="0" w:color="auto"/>
              <w:left w:val="single" w:sz="4" w:space="0" w:color="auto"/>
              <w:bottom w:val="single" w:sz="4" w:space="0" w:color="auto"/>
              <w:right w:val="single" w:sz="4" w:space="0" w:color="auto"/>
            </w:tcBorders>
          </w:tcPr>
          <w:p w14:paraId="4DA29C10" w14:textId="7A519DD7" w:rsidR="00975C8B" w:rsidRPr="00116443" w:rsidRDefault="00975C8B" w:rsidP="00C444E1">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Specialieji reikalavimai:</w:t>
            </w:r>
          </w:p>
        </w:tc>
        <w:tc>
          <w:tcPr>
            <w:tcW w:w="5103" w:type="dxa"/>
            <w:tcBorders>
              <w:top w:val="single" w:sz="4" w:space="0" w:color="auto"/>
              <w:left w:val="single" w:sz="4" w:space="0" w:color="auto"/>
              <w:bottom w:val="single" w:sz="4" w:space="0" w:color="auto"/>
              <w:right w:val="single" w:sz="4" w:space="0" w:color="auto"/>
            </w:tcBorders>
          </w:tcPr>
          <w:p w14:paraId="7249FE75" w14:textId="77777777" w:rsidR="00975C8B" w:rsidRPr="00116443" w:rsidRDefault="00975C8B" w:rsidP="00C444E1">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Siūloma:</w:t>
            </w:r>
          </w:p>
        </w:tc>
      </w:tr>
      <w:tr w:rsidR="00975C8B" w:rsidRPr="00116443" w14:paraId="06EBAC55"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587BB0A0" w14:textId="5B77A0CA"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w:t>
            </w:r>
          </w:p>
        </w:tc>
        <w:tc>
          <w:tcPr>
            <w:tcW w:w="7796" w:type="dxa"/>
            <w:tcBorders>
              <w:top w:val="single" w:sz="4" w:space="0" w:color="auto"/>
              <w:left w:val="single" w:sz="4" w:space="0" w:color="auto"/>
              <w:bottom w:val="single" w:sz="4" w:space="0" w:color="auto"/>
              <w:right w:val="single" w:sz="4" w:space="0" w:color="auto"/>
            </w:tcBorders>
          </w:tcPr>
          <w:p w14:paraId="1C33D0A1" w14:textId="7581120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leisti dirbti  ne mažiau kaip 12 (dvylika) vartotojų vienu metu.</w:t>
            </w:r>
          </w:p>
        </w:tc>
        <w:tc>
          <w:tcPr>
            <w:tcW w:w="5103" w:type="dxa"/>
            <w:tcBorders>
              <w:top w:val="single" w:sz="4" w:space="0" w:color="auto"/>
              <w:left w:val="single" w:sz="4" w:space="0" w:color="auto"/>
              <w:bottom w:val="single" w:sz="4" w:space="0" w:color="auto"/>
              <w:right w:val="single" w:sz="4" w:space="0" w:color="auto"/>
            </w:tcBorders>
          </w:tcPr>
          <w:p w14:paraId="0AD7768D"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4B0CDDB8"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A3EF9B2" w14:textId="630A1801"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w:t>
            </w:r>
          </w:p>
        </w:tc>
        <w:tc>
          <w:tcPr>
            <w:tcW w:w="7796" w:type="dxa"/>
            <w:tcBorders>
              <w:top w:val="single" w:sz="4" w:space="0" w:color="auto"/>
              <w:left w:val="single" w:sz="4" w:space="0" w:color="auto"/>
              <w:bottom w:val="single" w:sz="4" w:space="0" w:color="auto"/>
              <w:right w:val="single" w:sz="4" w:space="0" w:color="auto"/>
            </w:tcBorders>
          </w:tcPr>
          <w:p w14:paraId="6F3B8B83" w14:textId="1DFBE84E"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Kartu su programine įranga turi būti integruotas kibernetinių grėsmių analizės duomenų srautas, kurio funkcionalumas turi apimti:</w:t>
            </w:r>
          </w:p>
          <w:p w14:paraId="5A642343" w14:textId="3FCACD85"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lastRenderedPageBreak/>
              <w:t>a)</w:t>
            </w:r>
            <w:r w:rsidRPr="00116443">
              <w:rPr>
                <w:rFonts w:ascii="Calibri" w:hAnsi="Calibri" w:cs="Calibri"/>
                <w:color w:val="000000" w:themeColor="text1"/>
              </w:rPr>
              <w:tab/>
              <w:t>teikiamas ataskaitas, kuriose pateikiama techninė kenkėjiškų programų ir funkcijų analizė;</w:t>
            </w:r>
          </w:p>
          <w:p w14:paraId="4EA9B926" w14:textId="17C93B7D"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b)</w:t>
            </w:r>
            <w:r w:rsidRPr="00116443">
              <w:rPr>
                <w:rFonts w:ascii="Calibri" w:hAnsi="Calibri" w:cs="Calibri"/>
                <w:color w:val="000000" w:themeColor="text1"/>
              </w:rPr>
              <w:tab/>
              <w:t>kenkėjiškos infrastruktūros stebėjimą ir su juo susijusias ataskaitas;</w:t>
            </w:r>
          </w:p>
          <w:p w14:paraId="6030D1A7" w14:textId="2EFED9E8"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c)</w:t>
            </w:r>
            <w:r w:rsidRPr="00116443">
              <w:rPr>
                <w:rFonts w:ascii="Calibri" w:hAnsi="Calibri" w:cs="Calibri"/>
                <w:color w:val="000000" w:themeColor="text1"/>
              </w:rPr>
              <w:tab/>
              <w:t xml:space="preserve">pasitelkus to srauto funkcionalumą, galimybė sekti </w:t>
            </w:r>
            <w:proofErr w:type="spellStart"/>
            <w:r w:rsidRPr="00116443">
              <w:rPr>
                <w:rFonts w:ascii="Calibri" w:hAnsi="Calibri" w:cs="Calibri"/>
                <w:color w:val="000000" w:themeColor="text1"/>
              </w:rPr>
              <w:t>DDoS</w:t>
            </w:r>
            <w:proofErr w:type="spellEnd"/>
            <w:r w:rsidRPr="00116443">
              <w:rPr>
                <w:rFonts w:ascii="Calibri" w:hAnsi="Calibri" w:cs="Calibri"/>
                <w:color w:val="000000" w:themeColor="text1"/>
              </w:rPr>
              <w:t xml:space="preserve"> kampanijas, kurias vykdo </w:t>
            </w:r>
            <w:proofErr w:type="spellStart"/>
            <w:r w:rsidRPr="00116443">
              <w:rPr>
                <w:rFonts w:ascii="Calibri" w:hAnsi="Calibri" w:cs="Calibri"/>
                <w:color w:val="000000" w:themeColor="text1"/>
              </w:rPr>
              <w:t>haktyvistų</w:t>
            </w:r>
            <w:proofErr w:type="spellEnd"/>
            <w:r w:rsidRPr="00116443">
              <w:rPr>
                <w:rFonts w:ascii="Calibri" w:hAnsi="Calibri" w:cs="Calibri"/>
                <w:color w:val="000000" w:themeColor="text1"/>
              </w:rPr>
              <w:t xml:space="preserve"> (angl. </w:t>
            </w:r>
            <w:proofErr w:type="spellStart"/>
            <w:r w:rsidRPr="00116443">
              <w:rPr>
                <w:rFonts w:ascii="Calibri" w:hAnsi="Calibri" w:cs="Calibri"/>
                <w:color w:val="000000" w:themeColor="text1"/>
              </w:rPr>
              <w:t>Hackivist</w:t>
            </w:r>
            <w:proofErr w:type="spellEnd"/>
            <w:r w:rsidRPr="00116443">
              <w:rPr>
                <w:rFonts w:ascii="Calibri" w:hAnsi="Calibri" w:cs="Calibri"/>
                <w:color w:val="000000" w:themeColor="text1"/>
              </w:rPr>
              <w:t>) grupės;</w:t>
            </w:r>
          </w:p>
          <w:p w14:paraId="4BE7CE42" w14:textId="006FBA51"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d)</w:t>
            </w:r>
            <w:r w:rsidRPr="00116443">
              <w:rPr>
                <w:rFonts w:ascii="Calibri" w:hAnsi="Calibri" w:cs="Calibri"/>
                <w:color w:val="000000" w:themeColor="text1"/>
              </w:rPr>
              <w:tab/>
              <w:t xml:space="preserve">rinkmenų (angl. </w:t>
            </w:r>
            <w:proofErr w:type="spellStart"/>
            <w:r w:rsidRPr="00116443">
              <w:rPr>
                <w:rFonts w:ascii="Calibri" w:hAnsi="Calibri" w:cs="Calibri"/>
                <w:color w:val="000000" w:themeColor="text1"/>
              </w:rPr>
              <w:t>file</w:t>
            </w:r>
            <w:proofErr w:type="spellEnd"/>
            <w:r w:rsidRPr="00116443">
              <w:rPr>
                <w:rFonts w:ascii="Calibri" w:hAnsi="Calibri" w:cs="Calibri"/>
                <w:color w:val="000000" w:themeColor="text1"/>
              </w:rPr>
              <w:t>) ir tinklo rodiklius;</w:t>
            </w:r>
          </w:p>
          <w:p w14:paraId="16E0849C" w14:textId="3CE78FE1"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e)</w:t>
            </w:r>
            <w:r w:rsidRPr="00116443">
              <w:rPr>
                <w:rFonts w:ascii="Calibri" w:hAnsi="Calibri" w:cs="Calibri"/>
                <w:color w:val="000000" w:themeColor="text1"/>
              </w:rPr>
              <w:tab/>
              <w:t xml:space="preserve">informacija apie kibernetines grėsmes, kuri renkama iš internetinių forumų, socialinės medijos, tekstinės informacijos įklijavimo, internetinių pokalbių, informavimo apie kibernetines grėsmes interneto svetainių, taip pat „gilaus“ (angl. </w:t>
            </w:r>
            <w:proofErr w:type="spellStart"/>
            <w:r w:rsidRPr="00116443">
              <w:rPr>
                <w:rFonts w:ascii="Calibri" w:hAnsi="Calibri" w:cs="Calibri"/>
                <w:color w:val="000000" w:themeColor="text1"/>
              </w:rPr>
              <w:t>deep</w:t>
            </w:r>
            <w:proofErr w:type="spellEnd"/>
            <w:r w:rsidRPr="00116443">
              <w:rPr>
                <w:rFonts w:ascii="Calibri" w:hAnsi="Calibri" w:cs="Calibri"/>
                <w:color w:val="000000" w:themeColor="text1"/>
              </w:rPr>
              <w:t>) ir „tamsaus“ (angl. dark) internetų;</w:t>
            </w:r>
          </w:p>
          <w:p w14:paraId="743FB1E2" w14:textId="655C6D84"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f)</w:t>
            </w:r>
            <w:r w:rsidRPr="00116443">
              <w:rPr>
                <w:rFonts w:ascii="Calibri" w:hAnsi="Calibri" w:cs="Calibri"/>
                <w:color w:val="000000" w:themeColor="text1"/>
              </w:rPr>
              <w:tab/>
              <w:t xml:space="preserve">duomenų srautas turi atlikti pažeidžiamumų vertinimą (angl. </w:t>
            </w:r>
            <w:proofErr w:type="spellStart"/>
            <w:r w:rsidRPr="00116443">
              <w:rPr>
                <w:rFonts w:ascii="Calibri" w:hAnsi="Calibri" w:cs="Calibri"/>
                <w:color w:val="000000" w:themeColor="text1"/>
              </w:rPr>
              <w:t>scoring</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of</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vulnerabilities</w:t>
            </w:r>
            <w:proofErr w:type="spellEnd"/>
            <w:r w:rsidRPr="00116443">
              <w:rPr>
                <w:rFonts w:ascii="Calibri" w:hAnsi="Calibri" w:cs="Calibri"/>
                <w:color w:val="000000" w:themeColor="text1"/>
              </w:rPr>
              <w:t xml:space="preserve">) ir jų išnaudojimą (angl. </w:t>
            </w:r>
            <w:proofErr w:type="spellStart"/>
            <w:r w:rsidRPr="00116443">
              <w:rPr>
                <w:rFonts w:ascii="Calibri" w:hAnsi="Calibri" w:cs="Calibri"/>
                <w:color w:val="000000" w:themeColor="text1"/>
              </w:rPr>
              <w:t>exploit</w:t>
            </w:r>
            <w:proofErr w:type="spellEnd"/>
            <w:r w:rsidRPr="00116443">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4A982D40"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4A10F727"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47A2C425" w14:textId="006BDB46"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3.3.</w:t>
            </w:r>
          </w:p>
        </w:tc>
        <w:tc>
          <w:tcPr>
            <w:tcW w:w="7796" w:type="dxa"/>
            <w:tcBorders>
              <w:top w:val="single" w:sz="4" w:space="0" w:color="auto"/>
              <w:left w:val="single" w:sz="4" w:space="0" w:color="auto"/>
              <w:bottom w:val="single" w:sz="4" w:space="0" w:color="auto"/>
              <w:right w:val="single" w:sz="4" w:space="0" w:color="auto"/>
            </w:tcBorders>
          </w:tcPr>
          <w:p w14:paraId="3E7DD232" w14:textId="77777777" w:rsidR="00975C8B" w:rsidRPr="00116443" w:rsidRDefault="00975C8B" w:rsidP="00975C8B">
            <w:pPr>
              <w:tabs>
                <w:tab w:val="left" w:pos="1276"/>
              </w:tabs>
              <w:spacing w:after="0" w:line="240" w:lineRule="auto"/>
              <w:ind w:left="31" w:right="-36"/>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Grėsmių analizės programinė įranga privalo rinkti atvirajame internete skelbiamus straipsnius, naujienas ir ataskaitas susijusiais su:</w:t>
            </w:r>
          </w:p>
          <w:p w14:paraId="7BF5ADFD" w14:textId="77777777" w:rsidR="00975C8B" w:rsidRPr="00116443" w:rsidRDefault="00975C8B" w:rsidP="00116443">
            <w:pPr>
              <w:numPr>
                <w:ilvl w:val="0"/>
                <w:numId w:val="18"/>
              </w:numPr>
              <w:tabs>
                <w:tab w:val="num" w:pos="456"/>
                <w:tab w:val="left" w:pos="1276"/>
              </w:tabs>
              <w:spacing w:after="0" w:line="240" w:lineRule="auto"/>
              <w:ind w:left="0" w:right="-36" w:firstLine="31"/>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pažeidžiamumais;</w:t>
            </w:r>
          </w:p>
          <w:p w14:paraId="1B20BD58" w14:textId="77777777" w:rsidR="00975C8B" w:rsidRPr="00116443" w:rsidRDefault="00975C8B" w:rsidP="00116443">
            <w:pPr>
              <w:numPr>
                <w:ilvl w:val="0"/>
                <w:numId w:val="18"/>
              </w:numPr>
              <w:tabs>
                <w:tab w:val="num" w:pos="456"/>
                <w:tab w:val="left" w:pos="1276"/>
              </w:tabs>
              <w:spacing w:after="0" w:line="240" w:lineRule="auto"/>
              <w:ind w:left="0" w:right="-36" w:firstLine="31"/>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kenkėjiškų veikėjų bei programų veikla;</w:t>
            </w:r>
          </w:p>
          <w:p w14:paraId="520CAB50" w14:textId="77777777" w:rsidR="00975C8B" w:rsidRPr="00116443" w:rsidRDefault="00975C8B" w:rsidP="00116443">
            <w:pPr>
              <w:numPr>
                <w:ilvl w:val="0"/>
                <w:numId w:val="18"/>
              </w:numPr>
              <w:tabs>
                <w:tab w:val="num" w:pos="456"/>
                <w:tab w:val="left" w:pos="1276"/>
              </w:tabs>
              <w:spacing w:after="0" w:line="240" w:lineRule="auto"/>
              <w:ind w:left="0" w:right="-36" w:firstLine="31"/>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informacijos nutekėjimu;</w:t>
            </w:r>
          </w:p>
          <w:p w14:paraId="4B150DCE" w14:textId="77777777" w:rsidR="00975C8B" w:rsidRPr="00116443" w:rsidRDefault="00975C8B" w:rsidP="00116443">
            <w:pPr>
              <w:numPr>
                <w:ilvl w:val="0"/>
                <w:numId w:val="18"/>
              </w:numPr>
              <w:tabs>
                <w:tab w:val="num" w:pos="456"/>
                <w:tab w:val="left" w:pos="1276"/>
              </w:tabs>
              <w:spacing w:after="0" w:line="240" w:lineRule="auto"/>
              <w:ind w:left="0" w:right="-36" w:firstLine="31"/>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vykstančias kibernetines atakas;</w:t>
            </w:r>
          </w:p>
          <w:p w14:paraId="4A4B9349" w14:textId="42801368" w:rsidR="00975C8B" w:rsidRPr="00116443" w:rsidRDefault="00975C8B" w:rsidP="00116443">
            <w:pPr>
              <w:numPr>
                <w:ilvl w:val="0"/>
                <w:numId w:val="18"/>
              </w:numPr>
              <w:tabs>
                <w:tab w:val="num" w:pos="456"/>
                <w:tab w:val="left" w:pos="1276"/>
              </w:tabs>
              <w:spacing w:after="0" w:line="240" w:lineRule="auto"/>
              <w:ind w:left="0" w:right="-36" w:firstLine="31"/>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išpirkos reikalaujančia kenkėjiška programine įranga, bei kitomis kibernetinėmis grėsmėmis.</w:t>
            </w:r>
          </w:p>
        </w:tc>
        <w:tc>
          <w:tcPr>
            <w:tcW w:w="5103" w:type="dxa"/>
            <w:tcBorders>
              <w:top w:val="single" w:sz="4" w:space="0" w:color="auto"/>
              <w:left w:val="single" w:sz="4" w:space="0" w:color="auto"/>
              <w:bottom w:val="single" w:sz="4" w:space="0" w:color="auto"/>
              <w:right w:val="single" w:sz="4" w:space="0" w:color="auto"/>
            </w:tcBorders>
          </w:tcPr>
          <w:p w14:paraId="505E3B2C" w14:textId="77777777" w:rsidR="00975C8B" w:rsidRPr="00116443" w:rsidRDefault="00975C8B" w:rsidP="00C444E1">
            <w:pPr>
              <w:tabs>
                <w:tab w:val="left" w:pos="390"/>
                <w:tab w:val="left" w:pos="1035"/>
                <w:tab w:val="left" w:pos="1500"/>
              </w:tabs>
              <w:spacing w:after="0" w:line="240" w:lineRule="auto"/>
              <w:jc w:val="both"/>
              <w:rPr>
                <w:rFonts w:ascii="Calibri" w:eastAsia="Times New Roman" w:hAnsi="Calibri" w:cs="Calibri"/>
                <w:color w:val="000000" w:themeColor="text1"/>
              </w:rPr>
            </w:pPr>
          </w:p>
        </w:tc>
      </w:tr>
      <w:tr w:rsidR="00975C8B" w:rsidRPr="00116443" w14:paraId="65AB73EB"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7E669CA" w14:textId="40673E71"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3.4.</w:t>
            </w:r>
          </w:p>
        </w:tc>
        <w:tc>
          <w:tcPr>
            <w:tcW w:w="7796" w:type="dxa"/>
            <w:tcBorders>
              <w:top w:val="single" w:sz="4" w:space="0" w:color="auto"/>
              <w:left w:val="single" w:sz="4" w:space="0" w:color="auto"/>
              <w:bottom w:val="single" w:sz="4" w:space="0" w:color="auto"/>
              <w:right w:val="single" w:sz="4" w:space="0" w:color="auto"/>
            </w:tcBorders>
          </w:tcPr>
          <w:p w14:paraId="3EEF6EFC" w14:textId="26001DB5"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Turi būti informacija renkama iš:</w:t>
            </w:r>
          </w:p>
          <w:p w14:paraId="028192B7"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a)</w:t>
            </w:r>
            <w:r w:rsidRPr="00116443">
              <w:rPr>
                <w:rFonts w:ascii="Calibri" w:hAnsi="Calibri" w:cs="Calibri"/>
                <w:color w:val="000000" w:themeColor="text1"/>
              </w:rPr>
              <w:tab/>
              <w:t>nacionalinių ir kitų kompiuterių saugumo centrų (angl. CERT);</w:t>
            </w:r>
          </w:p>
          <w:p w14:paraId="3FE62FCD"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b)</w:t>
            </w:r>
            <w:r w:rsidRPr="00116443">
              <w:rPr>
                <w:rFonts w:ascii="Calibri" w:hAnsi="Calibri" w:cs="Calibri"/>
                <w:color w:val="000000" w:themeColor="text1"/>
              </w:rPr>
              <w:tab/>
              <w:t>blogų;</w:t>
            </w:r>
          </w:p>
          <w:p w14:paraId="7CC4A396"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c)</w:t>
            </w:r>
            <w:r w:rsidRPr="00116443">
              <w:rPr>
                <w:rFonts w:ascii="Calibri" w:hAnsi="Calibri" w:cs="Calibri"/>
                <w:color w:val="000000" w:themeColor="text1"/>
              </w:rPr>
              <w:tab/>
              <w:t xml:space="preserve">pasaulinių (įskaitant, bet neapsiribojant Microsoft, Apple, Google, </w:t>
            </w:r>
            <w:proofErr w:type="spellStart"/>
            <w:r w:rsidRPr="00116443">
              <w:rPr>
                <w:rFonts w:ascii="Calibri" w:hAnsi="Calibri" w:cs="Calibri"/>
                <w:color w:val="000000" w:themeColor="text1"/>
              </w:rPr>
              <w:t>Oracle</w:t>
            </w:r>
            <w:proofErr w:type="spellEnd"/>
            <w:r w:rsidRPr="00116443">
              <w:rPr>
                <w:rFonts w:ascii="Calibri" w:hAnsi="Calibri" w:cs="Calibri"/>
                <w:color w:val="000000" w:themeColor="text1"/>
              </w:rPr>
              <w:t>) programinės ir saugumo įrangos gamintojų, bei kibernetinio saugumo ekspertų naujienų;</w:t>
            </w:r>
          </w:p>
          <w:p w14:paraId="1EC4B9B7"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d)</w:t>
            </w:r>
            <w:r w:rsidRPr="00116443">
              <w:rPr>
                <w:rFonts w:ascii="Calibri" w:hAnsi="Calibri" w:cs="Calibri"/>
                <w:color w:val="000000" w:themeColor="text1"/>
              </w:rPr>
              <w:tab/>
              <w:t>socialinių tinklų;</w:t>
            </w:r>
          </w:p>
          <w:p w14:paraId="7C155DA5"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e)</w:t>
            </w:r>
            <w:r w:rsidRPr="00116443">
              <w:rPr>
                <w:rFonts w:ascii="Calibri" w:hAnsi="Calibri" w:cs="Calibri"/>
                <w:color w:val="000000" w:themeColor="text1"/>
              </w:rPr>
              <w:tab/>
              <w:t xml:space="preserve">giliojo interneto (angl. </w:t>
            </w:r>
            <w:proofErr w:type="spellStart"/>
            <w:r w:rsidRPr="00116443">
              <w:rPr>
                <w:rFonts w:ascii="Calibri" w:hAnsi="Calibri" w:cs="Calibri"/>
                <w:color w:val="000000" w:themeColor="text1"/>
              </w:rPr>
              <w:t>Deep</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web</w:t>
            </w:r>
            <w:proofErr w:type="spellEnd"/>
            <w:r w:rsidRPr="00116443">
              <w:rPr>
                <w:rFonts w:ascii="Calibri" w:hAnsi="Calibri" w:cs="Calibri"/>
                <w:color w:val="000000" w:themeColor="text1"/>
              </w:rPr>
              <w:t>);</w:t>
            </w:r>
          </w:p>
          <w:p w14:paraId="2D751CF6" w14:textId="5AB67DAC" w:rsidR="00975C8B"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f)</w:t>
            </w:r>
            <w:r w:rsidRPr="00116443">
              <w:rPr>
                <w:rFonts w:ascii="Calibri" w:hAnsi="Calibri" w:cs="Calibri"/>
                <w:color w:val="000000" w:themeColor="text1"/>
              </w:rPr>
              <w:tab/>
              <w:t xml:space="preserve">tamsiojo interneto (angl. Dark </w:t>
            </w:r>
            <w:proofErr w:type="spellStart"/>
            <w:r w:rsidRPr="00116443">
              <w:rPr>
                <w:rFonts w:ascii="Calibri" w:hAnsi="Calibri" w:cs="Calibri"/>
                <w:color w:val="000000" w:themeColor="text1"/>
              </w:rPr>
              <w:t>web</w:t>
            </w:r>
            <w:proofErr w:type="spellEnd"/>
            <w:r w:rsidRPr="00116443">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00E4D426"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1E5561B9"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56681B5" w14:textId="1BA6535C"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3.5.</w:t>
            </w:r>
          </w:p>
        </w:tc>
        <w:tc>
          <w:tcPr>
            <w:tcW w:w="7796" w:type="dxa"/>
            <w:tcBorders>
              <w:top w:val="single" w:sz="4" w:space="0" w:color="auto"/>
              <w:left w:val="single" w:sz="4" w:space="0" w:color="auto"/>
              <w:bottom w:val="single" w:sz="4" w:space="0" w:color="auto"/>
              <w:right w:val="single" w:sz="4" w:space="0" w:color="auto"/>
            </w:tcBorders>
          </w:tcPr>
          <w:p w14:paraId="488ABCE4" w14:textId="467BE5A1"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galimybę pridėti naujų informacijos šaltinių (naudojant API ar STIX/TAXII formatus).</w:t>
            </w:r>
          </w:p>
        </w:tc>
        <w:tc>
          <w:tcPr>
            <w:tcW w:w="5103" w:type="dxa"/>
            <w:tcBorders>
              <w:top w:val="single" w:sz="4" w:space="0" w:color="auto"/>
              <w:left w:val="single" w:sz="4" w:space="0" w:color="auto"/>
              <w:bottom w:val="single" w:sz="4" w:space="0" w:color="auto"/>
              <w:right w:val="single" w:sz="4" w:space="0" w:color="auto"/>
            </w:tcBorders>
          </w:tcPr>
          <w:p w14:paraId="0D7D6341"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5CE9399C"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43E8081C" w14:textId="56D8C0F8"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3.6.</w:t>
            </w:r>
          </w:p>
        </w:tc>
        <w:tc>
          <w:tcPr>
            <w:tcW w:w="7796" w:type="dxa"/>
            <w:tcBorders>
              <w:top w:val="single" w:sz="4" w:space="0" w:color="auto"/>
              <w:left w:val="single" w:sz="4" w:space="0" w:color="auto"/>
              <w:bottom w:val="single" w:sz="4" w:space="0" w:color="auto"/>
              <w:right w:val="single" w:sz="4" w:space="0" w:color="auto"/>
            </w:tcBorders>
          </w:tcPr>
          <w:p w14:paraId="378BFF67" w14:textId="5DF0FE3F"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Teikdama pažeidžiamumų informaciją, Grėsmių analizės programinė įranga privalo turėti sąsajas su didžiosiomis pažeidžiamumų duomenų bazėmis (VULDB, NVD) ir pagrindinėmis CVE paskyrimo institucijomis (angl. CNA – CVE </w:t>
            </w:r>
            <w:proofErr w:type="spellStart"/>
            <w:r w:rsidRPr="00116443">
              <w:rPr>
                <w:rFonts w:ascii="Calibri" w:hAnsi="Calibri" w:cs="Calibri"/>
                <w:color w:val="000000" w:themeColor="text1"/>
              </w:rPr>
              <w:t>Numbering</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Authorities</w:t>
            </w:r>
            <w:proofErr w:type="spellEnd"/>
            <w:r w:rsidRPr="00116443">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10D1D51B"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1F4A7E35"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CA443E4" w14:textId="546FCE0C"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3.7.</w:t>
            </w:r>
          </w:p>
        </w:tc>
        <w:tc>
          <w:tcPr>
            <w:tcW w:w="7796" w:type="dxa"/>
            <w:tcBorders>
              <w:top w:val="single" w:sz="4" w:space="0" w:color="auto"/>
              <w:left w:val="single" w:sz="4" w:space="0" w:color="auto"/>
              <w:bottom w:val="single" w:sz="4" w:space="0" w:color="auto"/>
              <w:right w:val="single" w:sz="4" w:space="0" w:color="auto"/>
            </w:tcBorders>
          </w:tcPr>
          <w:p w14:paraId="14CD4BDC" w14:textId="53DCF502"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teikti pažeidžiamumų ir jų išnaudojimo vertinimą CVSS formatu.</w:t>
            </w:r>
          </w:p>
        </w:tc>
        <w:tc>
          <w:tcPr>
            <w:tcW w:w="5103" w:type="dxa"/>
            <w:tcBorders>
              <w:top w:val="single" w:sz="4" w:space="0" w:color="auto"/>
              <w:left w:val="single" w:sz="4" w:space="0" w:color="auto"/>
              <w:bottom w:val="single" w:sz="4" w:space="0" w:color="auto"/>
              <w:right w:val="single" w:sz="4" w:space="0" w:color="auto"/>
            </w:tcBorders>
          </w:tcPr>
          <w:p w14:paraId="22E3FC15"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56CDF847"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0188B5C" w14:textId="60408809"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3.8.</w:t>
            </w:r>
          </w:p>
        </w:tc>
        <w:tc>
          <w:tcPr>
            <w:tcW w:w="7796" w:type="dxa"/>
            <w:tcBorders>
              <w:top w:val="single" w:sz="4" w:space="0" w:color="auto"/>
              <w:left w:val="single" w:sz="4" w:space="0" w:color="auto"/>
              <w:bottom w:val="single" w:sz="4" w:space="0" w:color="auto"/>
              <w:right w:val="single" w:sz="4" w:space="0" w:color="auto"/>
            </w:tcBorders>
          </w:tcPr>
          <w:p w14:paraId="48A6F0CF" w14:textId="2199A9F5"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 įranga turi turėti galimybę pagal programinės įrangos pavadinimą atrasti informaciją apie pažeidžiamumus, neužfiksuotus CVE infrastruktūroje (angl. </w:t>
            </w:r>
            <w:proofErr w:type="spellStart"/>
            <w:r w:rsidRPr="00116443">
              <w:rPr>
                <w:rFonts w:ascii="Calibri" w:hAnsi="Calibri" w:cs="Calibri"/>
                <w:color w:val="000000" w:themeColor="text1"/>
              </w:rPr>
              <w:t>Zero-day</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vulnerability</w:t>
            </w:r>
            <w:proofErr w:type="spellEnd"/>
            <w:r w:rsidRPr="00116443">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47710B5E"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64AC9D9F"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25A48802" w14:textId="26AFADC4"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lastRenderedPageBreak/>
              <w:t>3.9</w:t>
            </w:r>
          </w:p>
        </w:tc>
        <w:tc>
          <w:tcPr>
            <w:tcW w:w="7796" w:type="dxa"/>
            <w:tcBorders>
              <w:top w:val="single" w:sz="4" w:space="0" w:color="auto"/>
              <w:left w:val="single" w:sz="4" w:space="0" w:color="auto"/>
              <w:bottom w:val="single" w:sz="4" w:space="0" w:color="auto"/>
              <w:right w:val="single" w:sz="4" w:space="0" w:color="auto"/>
            </w:tcBorders>
          </w:tcPr>
          <w:p w14:paraId="340269A1" w14:textId="3311E9F2"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programinės įrangos naudotojai turi turėti galimybę valdyti, keisti, bei plėsti jų stebimus sąrašus be apribojimų.</w:t>
            </w:r>
          </w:p>
        </w:tc>
        <w:tc>
          <w:tcPr>
            <w:tcW w:w="5103" w:type="dxa"/>
            <w:tcBorders>
              <w:top w:val="single" w:sz="4" w:space="0" w:color="auto"/>
              <w:left w:val="single" w:sz="4" w:space="0" w:color="auto"/>
              <w:bottom w:val="single" w:sz="4" w:space="0" w:color="auto"/>
              <w:right w:val="single" w:sz="4" w:space="0" w:color="auto"/>
            </w:tcBorders>
          </w:tcPr>
          <w:p w14:paraId="5B9B021B"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5FB64319"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A47B842" w14:textId="3CAA12A4"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3.10.</w:t>
            </w:r>
          </w:p>
        </w:tc>
        <w:tc>
          <w:tcPr>
            <w:tcW w:w="7796" w:type="dxa"/>
            <w:tcBorders>
              <w:top w:val="single" w:sz="4" w:space="0" w:color="auto"/>
              <w:left w:val="single" w:sz="4" w:space="0" w:color="auto"/>
              <w:bottom w:val="single" w:sz="4" w:space="0" w:color="auto"/>
              <w:right w:val="single" w:sz="4" w:space="0" w:color="auto"/>
            </w:tcBorders>
          </w:tcPr>
          <w:p w14:paraId="5C749B36" w14:textId="6BCA5B5A"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leisti vartotojams sudaryti bei palaikyti žvalgyboje stebimų įmonių, organizacijų, miestų, asmenų, ar kitų subjektų sąrašus.</w:t>
            </w:r>
          </w:p>
        </w:tc>
        <w:tc>
          <w:tcPr>
            <w:tcW w:w="5103" w:type="dxa"/>
            <w:tcBorders>
              <w:top w:val="single" w:sz="4" w:space="0" w:color="auto"/>
              <w:left w:val="single" w:sz="4" w:space="0" w:color="auto"/>
              <w:bottom w:val="single" w:sz="4" w:space="0" w:color="auto"/>
              <w:right w:val="single" w:sz="4" w:space="0" w:color="auto"/>
            </w:tcBorders>
          </w:tcPr>
          <w:p w14:paraId="00733B4A"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60470BA3"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1236A75" w14:textId="4F425D55"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3.11.</w:t>
            </w:r>
          </w:p>
        </w:tc>
        <w:tc>
          <w:tcPr>
            <w:tcW w:w="7796" w:type="dxa"/>
            <w:tcBorders>
              <w:top w:val="single" w:sz="4" w:space="0" w:color="auto"/>
              <w:left w:val="single" w:sz="4" w:space="0" w:color="auto"/>
              <w:bottom w:val="single" w:sz="4" w:space="0" w:color="auto"/>
              <w:right w:val="single" w:sz="4" w:space="0" w:color="auto"/>
            </w:tcBorders>
          </w:tcPr>
          <w:p w14:paraId="26B7E492" w14:textId="6FCD48D3"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palaikyti šaltinius rusų, ukrainiečių, kinų ir korėjiečių kalbomis.</w:t>
            </w:r>
          </w:p>
        </w:tc>
        <w:tc>
          <w:tcPr>
            <w:tcW w:w="5103" w:type="dxa"/>
            <w:tcBorders>
              <w:top w:val="single" w:sz="4" w:space="0" w:color="auto"/>
              <w:left w:val="single" w:sz="4" w:space="0" w:color="auto"/>
              <w:bottom w:val="single" w:sz="4" w:space="0" w:color="auto"/>
              <w:right w:val="single" w:sz="4" w:space="0" w:color="auto"/>
            </w:tcBorders>
          </w:tcPr>
          <w:p w14:paraId="77C87540"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5AD87938"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046154E" w14:textId="400362A4"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3.12.</w:t>
            </w:r>
          </w:p>
        </w:tc>
        <w:tc>
          <w:tcPr>
            <w:tcW w:w="7796" w:type="dxa"/>
            <w:tcBorders>
              <w:top w:val="single" w:sz="4" w:space="0" w:color="auto"/>
              <w:left w:val="single" w:sz="4" w:space="0" w:color="auto"/>
              <w:bottom w:val="single" w:sz="4" w:space="0" w:color="auto"/>
              <w:right w:val="single" w:sz="4" w:space="0" w:color="auto"/>
            </w:tcBorders>
          </w:tcPr>
          <w:p w14:paraId="6BAC1764" w14:textId="67EDD80F"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galimybę automatiškai versti šaltinius į anglų kalbą.</w:t>
            </w:r>
          </w:p>
        </w:tc>
        <w:tc>
          <w:tcPr>
            <w:tcW w:w="5103" w:type="dxa"/>
            <w:tcBorders>
              <w:top w:val="single" w:sz="4" w:space="0" w:color="auto"/>
              <w:left w:val="single" w:sz="4" w:space="0" w:color="auto"/>
              <w:bottom w:val="single" w:sz="4" w:space="0" w:color="auto"/>
              <w:right w:val="single" w:sz="4" w:space="0" w:color="auto"/>
            </w:tcBorders>
          </w:tcPr>
          <w:p w14:paraId="440A5129"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57FB5DBA"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7CF45599" w14:textId="5CEC0278"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3.13.</w:t>
            </w:r>
          </w:p>
        </w:tc>
        <w:tc>
          <w:tcPr>
            <w:tcW w:w="7796" w:type="dxa"/>
            <w:tcBorders>
              <w:top w:val="single" w:sz="4" w:space="0" w:color="auto"/>
              <w:left w:val="single" w:sz="4" w:space="0" w:color="auto"/>
              <w:bottom w:val="single" w:sz="4" w:space="0" w:color="auto"/>
              <w:right w:val="single" w:sz="4" w:space="0" w:color="auto"/>
            </w:tcBorders>
          </w:tcPr>
          <w:p w14:paraId="4484CD36" w14:textId="65E486F0"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nuolatos atnaujinti informacinių skydelių turinį pagal stebimų subjektų sąrašus.</w:t>
            </w:r>
          </w:p>
        </w:tc>
        <w:tc>
          <w:tcPr>
            <w:tcW w:w="5103" w:type="dxa"/>
            <w:tcBorders>
              <w:top w:val="single" w:sz="4" w:space="0" w:color="auto"/>
              <w:left w:val="single" w:sz="4" w:space="0" w:color="auto"/>
              <w:bottom w:val="single" w:sz="4" w:space="0" w:color="auto"/>
              <w:right w:val="single" w:sz="4" w:space="0" w:color="auto"/>
            </w:tcBorders>
          </w:tcPr>
          <w:p w14:paraId="35C1698F"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77D3AA6E"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57544C71" w14:textId="6527AE14"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3.14.</w:t>
            </w:r>
          </w:p>
        </w:tc>
        <w:tc>
          <w:tcPr>
            <w:tcW w:w="7796" w:type="dxa"/>
            <w:tcBorders>
              <w:top w:val="single" w:sz="4" w:space="0" w:color="auto"/>
              <w:left w:val="single" w:sz="4" w:space="0" w:color="auto"/>
              <w:bottom w:val="single" w:sz="4" w:space="0" w:color="auto"/>
              <w:right w:val="single" w:sz="4" w:space="0" w:color="auto"/>
            </w:tcBorders>
          </w:tcPr>
          <w:p w14:paraId="58057BD1" w14:textId="165177E3"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programinės įrangos vartotojai turi turėti galimybę kurti savo informacinius skydelius pagal individualius reikalavimus be apribojimų dėl skydelių kiekio ar paskirties.</w:t>
            </w:r>
          </w:p>
        </w:tc>
        <w:tc>
          <w:tcPr>
            <w:tcW w:w="5103" w:type="dxa"/>
            <w:tcBorders>
              <w:top w:val="single" w:sz="4" w:space="0" w:color="auto"/>
              <w:left w:val="single" w:sz="4" w:space="0" w:color="auto"/>
              <w:bottom w:val="single" w:sz="4" w:space="0" w:color="auto"/>
              <w:right w:val="single" w:sz="4" w:space="0" w:color="auto"/>
            </w:tcBorders>
          </w:tcPr>
          <w:p w14:paraId="656BE8ED"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4D6BE3E0"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3C21A58F" w14:textId="3E4E121A"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3.15.</w:t>
            </w:r>
          </w:p>
        </w:tc>
        <w:tc>
          <w:tcPr>
            <w:tcW w:w="7796" w:type="dxa"/>
            <w:tcBorders>
              <w:top w:val="single" w:sz="4" w:space="0" w:color="auto"/>
              <w:left w:val="single" w:sz="4" w:space="0" w:color="auto"/>
              <w:bottom w:val="single" w:sz="4" w:space="0" w:color="auto"/>
              <w:right w:val="single" w:sz="4" w:space="0" w:color="auto"/>
            </w:tcBorders>
          </w:tcPr>
          <w:p w14:paraId="71D939FC" w14:textId="5CAC8F11"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Naudotojo sąsaja turi būti anglų kalba.</w:t>
            </w:r>
          </w:p>
        </w:tc>
        <w:tc>
          <w:tcPr>
            <w:tcW w:w="5103" w:type="dxa"/>
            <w:tcBorders>
              <w:top w:val="single" w:sz="4" w:space="0" w:color="auto"/>
              <w:left w:val="single" w:sz="4" w:space="0" w:color="auto"/>
              <w:bottom w:val="single" w:sz="4" w:space="0" w:color="auto"/>
              <w:right w:val="single" w:sz="4" w:space="0" w:color="auto"/>
            </w:tcBorders>
          </w:tcPr>
          <w:p w14:paraId="35926CFD"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14F6E081"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7FAD652E" w14:textId="54194B4E"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3.16.</w:t>
            </w:r>
          </w:p>
        </w:tc>
        <w:tc>
          <w:tcPr>
            <w:tcW w:w="7796" w:type="dxa"/>
            <w:tcBorders>
              <w:top w:val="single" w:sz="4" w:space="0" w:color="auto"/>
              <w:left w:val="single" w:sz="4" w:space="0" w:color="auto"/>
              <w:bottom w:val="single" w:sz="4" w:space="0" w:color="auto"/>
              <w:right w:val="single" w:sz="4" w:space="0" w:color="auto"/>
            </w:tcBorders>
          </w:tcPr>
          <w:p w14:paraId="4F6CCB8B" w14:textId="2153EB74"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 įranga, naudodama informacinius skydelius (angl. </w:t>
            </w:r>
            <w:proofErr w:type="spellStart"/>
            <w:r w:rsidRPr="00116443">
              <w:rPr>
                <w:rFonts w:ascii="Calibri" w:hAnsi="Calibri" w:cs="Calibri"/>
                <w:color w:val="000000" w:themeColor="text1"/>
              </w:rPr>
              <w:t>dashboards</w:t>
            </w:r>
            <w:proofErr w:type="spellEnd"/>
            <w:r w:rsidRPr="00116443">
              <w:rPr>
                <w:rFonts w:ascii="Calibri" w:hAnsi="Calibri" w:cs="Calibri"/>
                <w:color w:val="000000" w:themeColor="text1"/>
              </w:rPr>
              <w:t>) privalo teikti informaciją apie:</w:t>
            </w:r>
          </w:p>
          <w:p w14:paraId="1BC96FF6"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a)</w:t>
            </w:r>
            <w:r w:rsidRPr="00116443">
              <w:rPr>
                <w:rFonts w:ascii="Calibri" w:hAnsi="Calibri" w:cs="Calibri"/>
                <w:color w:val="000000" w:themeColor="text1"/>
              </w:rPr>
              <w:tab/>
              <w:t>techninės, programinės įrangos ir trečiųjų šalių pažeidžiamumus;</w:t>
            </w:r>
          </w:p>
          <w:p w14:paraId="19D8E964"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b)</w:t>
            </w:r>
            <w:r w:rsidRPr="00116443">
              <w:rPr>
                <w:rFonts w:ascii="Calibri" w:hAnsi="Calibri" w:cs="Calibri"/>
                <w:color w:val="000000" w:themeColor="text1"/>
              </w:rPr>
              <w:tab/>
              <w:t xml:space="preserve">operacinių technologijų (angl. OT – </w:t>
            </w:r>
            <w:proofErr w:type="spellStart"/>
            <w:r w:rsidRPr="00116443">
              <w:rPr>
                <w:rFonts w:ascii="Calibri" w:hAnsi="Calibri" w:cs="Calibri"/>
                <w:color w:val="000000" w:themeColor="text1"/>
              </w:rPr>
              <w:t>Operational</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Technology</w:t>
            </w:r>
            <w:proofErr w:type="spellEnd"/>
            <w:r w:rsidRPr="00116443">
              <w:rPr>
                <w:rFonts w:ascii="Calibri" w:hAnsi="Calibri" w:cs="Calibri"/>
                <w:color w:val="000000" w:themeColor="text1"/>
              </w:rPr>
              <w:t>) pažeidžiamumus;</w:t>
            </w:r>
          </w:p>
          <w:p w14:paraId="317E5D92"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c)</w:t>
            </w:r>
            <w:r w:rsidRPr="00116443">
              <w:rPr>
                <w:rFonts w:ascii="Calibri" w:hAnsi="Calibri" w:cs="Calibri"/>
                <w:color w:val="000000" w:themeColor="text1"/>
              </w:rPr>
              <w:tab/>
              <w:t xml:space="preserve">grėsmių aktorių ir programinės įrangos (angl. </w:t>
            </w:r>
            <w:proofErr w:type="spellStart"/>
            <w:r w:rsidRPr="00116443">
              <w:rPr>
                <w:rFonts w:ascii="Calibri" w:hAnsi="Calibri" w:cs="Calibri"/>
                <w:color w:val="000000" w:themeColor="text1"/>
              </w:rPr>
              <w:t>threat</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actors</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and</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malware</w:t>
            </w:r>
            <w:proofErr w:type="spellEnd"/>
            <w:r w:rsidRPr="00116443">
              <w:rPr>
                <w:rFonts w:ascii="Calibri" w:hAnsi="Calibri" w:cs="Calibri"/>
                <w:color w:val="000000" w:themeColor="text1"/>
              </w:rPr>
              <w:t xml:space="preserve">) elgesio ypatumus (angl. </w:t>
            </w:r>
            <w:proofErr w:type="spellStart"/>
            <w:r w:rsidRPr="00116443">
              <w:rPr>
                <w:rFonts w:ascii="Calibri" w:hAnsi="Calibri" w:cs="Calibri"/>
                <w:color w:val="000000" w:themeColor="text1"/>
              </w:rPr>
              <w:t>TTPs</w:t>
            </w:r>
            <w:proofErr w:type="spellEnd"/>
            <w:r w:rsidRPr="00116443">
              <w:rPr>
                <w:rFonts w:ascii="Calibri" w:hAnsi="Calibri" w:cs="Calibri"/>
                <w:color w:val="000000" w:themeColor="text1"/>
              </w:rPr>
              <w:t xml:space="preserve">, – </w:t>
            </w:r>
            <w:proofErr w:type="spellStart"/>
            <w:r w:rsidRPr="00116443">
              <w:rPr>
                <w:rFonts w:ascii="Calibri" w:hAnsi="Calibri" w:cs="Calibri"/>
                <w:color w:val="000000" w:themeColor="text1"/>
              </w:rPr>
              <w:t>tactics</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techniques</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and</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procedures</w:t>
            </w:r>
            <w:proofErr w:type="spellEnd"/>
            <w:r w:rsidRPr="00116443">
              <w:rPr>
                <w:rFonts w:ascii="Calibri" w:hAnsi="Calibri" w:cs="Calibri"/>
                <w:color w:val="000000" w:themeColor="text1"/>
              </w:rPr>
              <w:t>) analitiniuose straipsniuose ir struktūrizuotai, pagal MITRE ATT&amp;CK matricą;</w:t>
            </w:r>
          </w:p>
          <w:p w14:paraId="57D88560"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d)</w:t>
            </w:r>
            <w:r w:rsidRPr="00116443">
              <w:rPr>
                <w:rFonts w:ascii="Calibri" w:hAnsi="Calibri" w:cs="Calibri"/>
                <w:color w:val="000000" w:themeColor="text1"/>
              </w:rPr>
              <w:tab/>
              <w:t xml:space="preserve">atakas, susijusias su išpirkos reikalaujančia programine įranga (angl. </w:t>
            </w:r>
            <w:proofErr w:type="spellStart"/>
            <w:r w:rsidRPr="00116443">
              <w:rPr>
                <w:rFonts w:ascii="Calibri" w:hAnsi="Calibri" w:cs="Calibri"/>
                <w:color w:val="000000" w:themeColor="text1"/>
              </w:rPr>
              <w:t>ransomware</w:t>
            </w:r>
            <w:proofErr w:type="spellEnd"/>
            <w:r w:rsidRPr="00116443">
              <w:rPr>
                <w:rFonts w:ascii="Calibri" w:hAnsi="Calibri" w:cs="Calibri"/>
                <w:color w:val="000000" w:themeColor="text1"/>
              </w:rPr>
              <w:t xml:space="preserve">) ir informacijos nutekėjimu (angl. data </w:t>
            </w:r>
            <w:proofErr w:type="spellStart"/>
            <w:r w:rsidRPr="00116443">
              <w:rPr>
                <w:rFonts w:ascii="Calibri" w:hAnsi="Calibri" w:cs="Calibri"/>
                <w:color w:val="000000" w:themeColor="text1"/>
              </w:rPr>
              <w:t>breaches</w:t>
            </w:r>
            <w:proofErr w:type="spellEnd"/>
            <w:r w:rsidRPr="00116443">
              <w:rPr>
                <w:rFonts w:ascii="Calibri" w:hAnsi="Calibri" w:cs="Calibri"/>
                <w:color w:val="000000" w:themeColor="text1"/>
              </w:rPr>
              <w:t xml:space="preserve">) tiesiogiai iš kenkėjiškų aktorių naudojamų šaltinių (angl. </w:t>
            </w:r>
            <w:proofErr w:type="spellStart"/>
            <w:r w:rsidRPr="00116443">
              <w:rPr>
                <w:rFonts w:ascii="Calibri" w:hAnsi="Calibri" w:cs="Calibri"/>
                <w:color w:val="000000" w:themeColor="text1"/>
              </w:rPr>
              <w:t>ransomware</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dls</w:t>
            </w:r>
            <w:proofErr w:type="spellEnd"/>
            <w:r w:rsidRPr="00116443">
              <w:rPr>
                <w:rFonts w:ascii="Calibri" w:hAnsi="Calibri" w:cs="Calibri"/>
                <w:color w:val="000000" w:themeColor="text1"/>
              </w:rPr>
              <w:t xml:space="preserve"> data </w:t>
            </w:r>
            <w:proofErr w:type="spellStart"/>
            <w:r w:rsidRPr="00116443">
              <w:rPr>
                <w:rFonts w:ascii="Calibri" w:hAnsi="Calibri" w:cs="Calibri"/>
                <w:color w:val="000000" w:themeColor="text1"/>
              </w:rPr>
              <w:t>leak</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sites</w:t>
            </w:r>
            <w:proofErr w:type="spellEnd"/>
            <w:r w:rsidRPr="00116443">
              <w:rPr>
                <w:rFonts w:ascii="Calibri" w:hAnsi="Calibri" w:cs="Calibri"/>
                <w:color w:val="000000" w:themeColor="text1"/>
              </w:rPr>
              <w:t>) ir iš atvirojo interneto;</w:t>
            </w:r>
          </w:p>
          <w:p w14:paraId="28819DD3"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e)</w:t>
            </w:r>
            <w:r w:rsidRPr="00116443">
              <w:rPr>
                <w:rFonts w:ascii="Calibri" w:hAnsi="Calibri" w:cs="Calibri"/>
                <w:color w:val="000000" w:themeColor="text1"/>
              </w:rPr>
              <w:tab/>
              <w:t>atakas ir rizikas, susijusias su valstybėmis, geografiniais vienetais, įmonėmis, organizacijomis, asmenimis, ir kitais subjektais;</w:t>
            </w:r>
          </w:p>
          <w:p w14:paraId="0F907B5A"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f)</w:t>
            </w:r>
            <w:r w:rsidRPr="00116443">
              <w:rPr>
                <w:rFonts w:ascii="Calibri" w:hAnsi="Calibri" w:cs="Calibri"/>
                <w:color w:val="000000" w:themeColor="text1"/>
              </w:rPr>
              <w:tab/>
              <w:t>grėsmių indikatorius;</w:t>
            </w:r>
          </w:p>
          <w:p w14:paraId="34D8DB0D"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w:t>
            </w:r>
            <w:r w:rsidRPr="00116443">
              <w:rPr>
                <w:rFonts w:ascii="Calibri" w:hAnsi="Calibri" w:cs="Calibri"/>
                <w:color w:val="000000" w:themeColor="text1"/>
              </w:rPr>
              <w:tab/>
              <w:t>platformos turinys turi būti pasiekiamas naudojant paiešką pagal:</w:t>
            </w:r>
          </w:p>
          <w:p w14:paraId="7E5853C4"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geografinius regionus;</w:t>
            </w:r>
          </w:p>
          <w:p w14:paraId="1D928270"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veiklos sektorių;</w:t>
            </w:r>
          </w:p>
          <w:p w14:paraId="18A2BC76"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įstaigos ar kito subjekto pavadinimą;</w:t>
            </w:r>
          </w:p>
          <w:p w14:paraId="3624B011"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kenksmingo subjekto pavadinimą;</w:t>
            </w:r>
          </w:p>
          <w:p w14:paraId="3A0F808F" w14:textId="388354AB"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sąsajas tarp geografijos, sektorių ir kenksmingų subjektų.</w:t>
            </w:r>
          </w:p>
        </w:tc>
        <w:tc>
          <w:tcPr>
            <w:tcW w:w="5103" w:type="dxa"/>
            <w:tcBorders>
              <w:top w:val="single" w:sz="4" w:space="0" w:color="auto"/>
              <w:left w:val="single" w:sz="4" w:space="0" w:color="auto"/>
              <w:bottom w:val="single" w:sz="4" w:space="0" w:color="auto"/>
              <w:right w:val="single" w:sz="4" w:space="0" w:color="auto"/>
            </w:tcBorders>
          </w:tcPr>
          <w:p w14:paraId="7FC3C8AF"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7E7F0037"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D04064B" w14:textId="696AE3B3"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3.17.</w:t>
            </w:r>
          </w:p>
        </w:tc>
        <w:tc>
          <w:tcPr>
            <w:tcW w:w="7796" w:type="dxa"/>
            <w:tcBorders>
              <w:top w:val="single" w:sz="4" w:space="0" w:color="auto"/>
              <w:left w:val="single" w:sz="4" w:space="0" w:color="auto"/>
              <w:bottom w:val="single" w:sz="4" w:space="0" w:color="auto"/>
              <w:right w:val="single" w:sz="4" w:space="0" w:color="auto"/>
            </w:tcBorders>
          </w:tcPr>
          <w:p w14:paraId="4E725B90" w14:textId="7EAC5A4E" w:rsidR="003A3336"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 įranga turi turėti galimybę automatiniais bei automatiniu-sustiprintu (angl. </w:t>
            </w:r>
            <w:proofErr w:type="spellStart"/>
            <w:r w:rsidRPr="00116443">
              <w:rPr>
                <w:rFonts w:ascii="Calibri" w:hAnsi="Calibri" w:cs="Calibri"/>
                <w:color w:val="000000" w:themeColor="text1"/>
              </w:rPr>
              <w:t>automation-enhanced</w:t>
            </w:r>
            <w:proofErr w:type="spellEnd"/>
            <w:r w:rsidRPr="00116443">
              <w:rPr>
                <w:rFonts w:ascii="Calibri" w:hAnsi="Calibri" w:cs="Calibri"/>
                <w:color w:val="000000" w:themeColor="text1"/>
              </w:rPr>
              <w:t>) metodais, pasitelkdama dirbtinį intelektą, kurti ataskaitas bei įspėjamuosius pranešimus, kurie, esant poreikiui, gali būti siunčiami el. paštu nustatytiems gavėjų sąrašams.</w:t>
            </w:r>
          </w:p>
        </w:tc>
        <w:tc>
          <w:tcPr>
            <w:tcW w:w="5103" w:type="dxa"/>
            <w:tcBorders>
              <w:top w:val="single" w:sz="4" w:space="0" w:color="auto"/>
              <w:left w:val="single" w:sz="4" w:space="0" w:color="auto"/>
              <w:bottom w:val="single" w:sz="4" w:space="0" w:color="auto"/>
              <w:right w:val="single" w:sz="4" w:space="0" w:color="auto"/>
            </w:tcBorders>
          </w:tcPr>
          <w:p w14:paraId="142F87F2"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69B7E7BE"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C898288" w14:textId="7776D472" w:rsidR="003A3336"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lastRenderedPageBreak/>
              <w:t>3.18</w:t>
            </w:r>
            <w:r w:rsidR="003A3336" w:rsidRPr="00116443">
              <w:rPr>
                <w:rFonts w:ascii="Calibri" w:hAnsi="Calibri" w:cs="Calibri"/>
                <w:bCs/>
                <w:color w:val="000000" w:themeColor="text1"/>
              </w:rPr>
              <w:t>.</w:t>
            </w:r>
          </w:p>
        </w:tc>
        <w:tc>
          <w:tcPr>
            <w:tcW w:w="7796" w:type="dxa"/>
            <w:tcBorders>
              <w:top w:val="single" w:sz="4" w:space="0" w:color="auto"/>
              <w:left w:val="single" w:sz="4" w:space="0" w:color="auto"/>
              <w:bottom w:val="single" w:sz="4" w:space="0" w:color="auto"/>
              <w:right w:val="single" w:sz="4" w:space="0" w:color="auto"/>
            </w:tcBorders>
          </w:tcPr>
          <w:p w14:paraId="12615780" w14:textId="026B0952" w:rsidR="003A3336"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galimybę pašalinti visas nuorodas į platformą iš ataskaitų bei pranešimų, ir nukreipti pranešimų gavėjus į pirminius informacijos šaltinius.</w:t>
            </w:r>
          </w:p>
        </w:tc>
        <w:tc>
          <w:tcPr>
            <w:tcW w:w="5103" w:type="dxa"/>
            <w:tcBorders>
              <w:top w:val="single" w:sz="4" w:space="0" w:color="auto"/>
              <w:left w:val="single" w:sz="4" w:space="0" w:color="auto"/>
              <w:bottom w:val="single" w:sz="4" w:space="0" w:color="auto"/>
              <w:right w:val="single" w:sz="4" w:space="0" w:color="auto"/>
            </w:tcBorders>
          </w:tcPr>
          <w:p w14:paraId="3B6696E7"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3B658DA5"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2E055834" w14:textId="633C1EDF"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3.19.</w:t>
            </w:r>
          </w:p>
        </w:tc>
        <w:tc>
          <w:tcPr>
            <w:tcW w:w="7796" w:type="dxa"/>
            <w:tcBorders>
              <w:top w:val="single" w:sz="4" w:space="0" w:color="auto"/>
              <w:left w:val="single" w:sz="4" w:space="0" w:color="auto"/>
              <w:bottom w:val="single" w:sz="4" w:space="0" w:color="auto"/>
              <w:right w:val="single" w:sz="4" w:space="0" w:color="auto"/>
            </w:tcBorders>
          </w:tcPr>
          <w:p w14:paraId="1E15911E" w14:textId="15D00F43"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programinės įrangos gamintojas privalo turėti galimybę suteikti prieigą prie automatizuoto struktūrizuoto kompromitavimo indikatorių (angl. IOC – </w:t>
            </w:r>
            <w:proofErr w:type="spellStart"/>
            <w:r w:rsidRPr="00116443">
              <w:rPr>
                <w:rFonts w:ascii="Calibri" w:hAnsi="Calibri" w:cs="Calibri"/>
                <w:color w:val="000000" w:themeColor="text1"/>
              </w:rPr>
              <w:t>indicators</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of</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compromise</w:t>
            </w:r>
            <w:proofErr w:type="spellEnd"/>
            <w:r w:rsidRPr="00116443">
              <w:rPr>
                <w:rFonts w:ascii="Calibri" w:hAnsi="Calibri" w:cs="Calibri"/>
                <w:color w:val="000000" w:themeColor="text1"/>
              </w:rPr>
              <w:t>) srauto STIX formatu, suderinamu su perkančiosios organizacijos naudojamomis grėsmių indikatorių analizės platforma (MISP).</w:t>
            </w:r>
          </w:p>
        </w:tc>
        <w:tc>
          <w:tcPr>
            <w:tcW w:w="5103" w:type="dxa"/>
            <w:tcBorders>
              <w:top w:val="single" w:sz="4" w:space="0" w:color="auto"/>
              <w:left w:val="single" w:sz="4" w:space="0" w:color="auto"/>
              <w:bottom w:val="single" w:sz="4" w:space="0" w:color="auto"/>
              <w:right w:val="single" w:sz="4" w:space="0" w:color="auto"/>
            </w:tcBorders>
          </w:tcPr>
          <w:p w14:paraId="3C6CF7A7"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68EF164B"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6DDEE92" w14:textId="14794920"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3.20.</w:t>
            </w:r>
          </w:p>
        </w:tc>
        <w:tc>
          <w:tcPr>
            <w:tcW w:w="7796" w:type="dxa"/>
            <w:tcBorders>
              <w:top w:val="single" w:sz="4" w:space="0" w:color="auto"/>
              <w:left w:val="single" w:sz="4" w:space="0" w:color="auto"/>
              <w:bottom w:val="single" w:sz="4" w:space="0" w:color="auto"/>
              <w:right w:val="single" w:sz="4" w:space="0" w:color="auto"/>
            </w:tcBorders>
          </w:tcPr>
          <w:p w14:paraId="5B160AAA" w14:textId="760D13D9"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programinės įrangos gamintojas privalo turėti galimybę suteikti prieigą prie įrangos aplikacijų programavimo sąsajos (angl. API – </w:t>
            </w:r>
            <w:proofErr w:type="spellStart"/>
            <w:r w:rsidRPr="00116443">
              <w:rPr>
                <w:rFonts w:ascii="Calibri" w:hAnsi="Calibri" w:cs="Calibri"/>
                <w:color w:val="000000" w:themeColor="text1"/>
              </w:rPr>
              <w:t>Aplication</w:t>
            </w:r>
            <w:proofErr w:type="spellEnd"/>
            <w:r w:rsidRPr="00116443">
              <w:rPr>
                <w:rFonts w:ascii="Calibri" w:hAnsi="Calibri" w:cs="Calibri"/>
                <w:color w:val="000000" w:themeColor="text1"/>
              </w:rPr>
              <w:t xml:space="preserve"> </w:t>
            </w:r>
            <w:proofErr w:type="spellStart"/>
            <w:r w:rsidRPr="00116443">
              <w:rPr>
                <w:rFonts w:ascii="Calibri" w:hAnsi="Calibri" w:cs="Calibri"/>
                <w:color w:val="000000" w:themeColor="text1"/>
              </w:rPr>
              <w:t>Programmin</w:t>
            </w:r>
            <w:proofErr w:type="spellEnd"/>
            <w:r w:rsidRPr="00116443">
              <w:rPr>
                <w:rFonts w:ascii="Calibri" w:hAnsi="Calibri" w:cs="Calibri"/>
                <w:color w:val="000000" w:themeColor="text1"/>
              </w:rPr>
              <w:t xml:space="preserve"> Interface), kuri leistų bet kokią informaciją, esančią analitinėje platformoje, pasiekti JSON formatu.</w:t>
            </w:r>
          </w:p>
        </w:tc>
        <w:tc>
          <w:tcPr>
            <w:tcW w:w="5103" w:type="dxa"/>
            <w:tcBorders>
              <w:top w:val="single" w:sz="4" w:space="0" w:color="auto"/>
              <w:left w:val="single" w:sz="4" w:space="0" w:color="auto"/>
              <w:bottom w:val="single" w:sz="4" w:space="0" w:color="auto"/>
              <w:right w:val="single" w:sz="4" w:space="0" w:color="auto"/>
            </w:tcBorders>
          </w:tcPr>
          <w:p w14:paraId="77A3FB5D"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3B98303C"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98F1FA7" w14:textId="0BF70A9F"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3.21.</w:t>
            </w:r>
          </w:p>
        </w:tc>
        <w:tc>
          <w:tcPr>
            <w:tcW w:w="7796" w:type="dxa"/>
            <w:tcBorders>
              <w:top w:val="single" w:sz="4" w:space="0" w:color="auto"/>
              <w:left w:val="single" w:sz="4" w:space="0" w:color="auto"/>
              <w:bottom w:val="single" w:sz="4" w:space="0" w:color="auto"/>
              <w:right w:val="single" w:sz="4" w:space="0" w:color="auto"/>
            </w:tcBorders>
          </w:tcPr>
          <w:p w14:paraId="22BDF774" w14:textId="081BF556"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funkcijas leidžiančias naudotojams automatizuotu būdu į platformą įkelti PDF ir CSV formato ataskaitas, ir pateikti platesnę informaciją apie ataskaitose minimus pažeidžiamumus, taip pat kenkėjiškus aktorius bei programas.</w:t>
            </w:r>
          </w:p>
        </w:tc>
        <w:tc>
          <w:tcPr>
            <w:tcW w:w="5103" w:type="dxa"/>
            <w:tcBorders>
              <w:top w:val="single" w:sz="4" w:space="0" w:color="auto"/>
              <w:left w:val="single" w:sz="4" w:space="0" w:color="auto"/>
              <w:bottom w:val="single" w:sz="4" w:space="0" w:color="auto"/>
              <w:right w:val="single" w:sz="4" w:space="0" w:color="auto"/>
            </w:tcBorders>
          </w:tcPr>
          <w:p w14:paraId="6CCACFF1"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1EE8C78D"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76B1552" w14:textId="1F5F3FDE"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3.22.</w:t>
            </w:r>
          </w:p>
        </w:tc>
        <w:tc>
          <w:tcPr>
            <w:tcW w:w="7796" w:type="dxa"/>
            <w:tcBorders>
              <w:top w:val="single" w:sz="4" w:space="0" w:color="auto"/>
              <w:left w:val="single" w:sz="4" w:space="0" w:color="auto"/>
              <w:bottom w:val="single" w:sz="4" w:space="0" w:color="auto"/>
              <w:right w:val="single" w:sz="4" w:space="0" w:color="auto"/>
            </w:tcBorders>
          </w:tcPr>
          <w:p w14:paraId="121DDDCF" w14:textId="788CE01C"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privalo gebėti automatizuotai kurti ataskaitas apie grėsmes, ir taikyti perkančiosios organizacijos šablonus ataskaitų kūrimui.</w:t>
            </w:r>
          </w:p>
        </w:tc>
        <w:tc>
          <w:tcPr>
            <w:tcW w:w="5103" w:type="dxa"/>
            <w:tcBorders>
              <w:top w:val="single" w:sz="4" w:space="0" w:color="auto"/>
              <w:left w:val="single" w:sz="4" w:space="0" w:color="auto"/>
              <w:bottom w:val="single" w:sz="4" w:space="0" w:color="auto"/>
              <w:right w:val="single" w:sz="4" w:space="0" w:color="auto"/>
            </w:tcBorders>
          </w:tcPr>
          <w:p w14:paraId="1ED2FAB5"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2E2C19ED"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21F665D4" w14:textId="44A4584A"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3.23.</w:t>
            </w:r>
          </w:p>
        </w:tc>
        <w:tc>
          <w:tcPr>
            <w:tcW w:w="7796" w:type="dxa"/>
            <w:tcBorders>
              <w:top w:val="single" w:sz="4" w:space="0" w:color="auto"/>
              <w:left w:val="single" w:sz="4" w:space="0" w:color="auto"/>
              <w:bottom w:val="single" w:sz="4" w:space="0" w:color="auto"/>
              <w:right w:val="single" w:sz="4" w:space="0" w:color="auto"/>
            </w:tcBorders>
          </w:tcPr>
          <w:p w14:paraId="04AD4166" w14:textId="688EBB23" w:rsidR="00252FE9"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Vartotojai turi turėti galimybę kurti ataskaitas tiesiogiai analitinėje platformoje, naudodami perkančiosios organizacijos ataskaitų šablonus, su galimybe ataskaitas iškelti DOCX formatu.</w:t>
            </w:r>
          </w:p>
        </w:tc>
        <w:tc>
          <w:tcPr>
            <w:tcW w:w="5103" w:type="dxa"/>
            <w:tcBorders>
              <w:top w:val="single" w:sz="4" w:space="0" w:color="auto"/>
              <w:left w:val="single" w:sz="4" w:space="0" w:color="auto"/>
              <w:bottom w:val="single" w:sz="4" w:space="0" w:color="auto"/>
              <w:right w:val="single" w:sz="4" w:space="0" w:color="auto"/>
            </w:tcBorders>
          </w:tcPr>
          <w:p w14:paraId="05B28F32"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785DE197"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27C9A691" w14:textId="6FDBE13A"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3.24.</w:t>
            </w:r>
          </w:p>
        </w:tc>
        <w:tc>
          <w:tcPr>
            <w:tcW w:w="7796" w:type="dxa"/>
            <w:tcBorders>
              <w:top w:val="single" w:sz="4" w:space="0" w:color="auto"/>
              <w:left w:val="single" w:sz="4" w:space="0" w:color="auto"/>
              <w:bottom w:val="single" w:sz="4" w:space="0" w:color="auto"/>
              <w:right w:val="single" w:sz="4" w:space="0" w:color="auto"/>
            </w:tcBorders>
          </w:tcPr>
          <w:p w14:paraId="7E07C4FD" w14:textId="402B6E0D" w:rsidR="00252FE9"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Palaikymas turi būti užtikrinamas visu paslaugos teikimo laikotarpiu skaičiuojant nuo programinės įrangos įdiegimo šia apimtimi.</w:t>
            </w:r>
          </w:p>
        </w:tc>
        <w:tc>
          <w:tcPr>
            <w:tcW w:w="5103" w:type="dxa"/>
            <w:tcBorders>
              <w:top w:val="single" w:sz="4" w:space="0" w:color="auto"/>
              <w:left w:val="single" w:sz="4" w:space="0" w:color="auto"/>
              <w:bottom w:val="single" w:sz="4" w:space="0" w:color="auto"/>
              <w:right w:val="single" w:sz="4" w:space="0" w:color="auto"/>
            </w:tcBorders>
          </w:tcPr>
          <w:p w14:paraId="0B1D2695"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333526DE"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8FE8C6A" w14:textId="18C6BD5F"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3.25.</w:t>
            </w:r>
          </w:p>
        </w:tc>
        <w:tc>
          <w:tcPr>
            <w:tcW w:w="7796" w:type="dxa"/>
            <w:tcBorders>
              <w:top w:val="single" w:sz="4" w:space="0" w:color="auto"/>
              <w:left w:val="single" w:sz="4" w:space="0" w:color="auto"/>
              <w:bottom w:val="single" w:sz="4" w:space="0" w:color="auto"/>
              <w:right w:val="single" w:sz="4" w:space="0" w:color="auto"/>
            </w:tcBorders>
          </w:tcPr>
          <w:p w14:paraId="785D872F" w14:textId="266F519C"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Perkančiajai organizacijai turi būti priskirtas dedikuotas programinės įrangos specialistas, kuris rūpinasi perkančiosios organizacijos poreikiais ir užtikrina sklandų bendradarbiavimą.</w:t>
            </w:r>
          </w:p>
        </w:tc>
        <w:tc>
          <w:tcPr>
            <w:tcW w:w="5103" w:type="dxa"/>
            <w:tcBorders>
              <w:top w:val="single" w:sz="4" w:space="0" w:color="auto"/>
              <w:left w:val="single" w:sz="4" w:space="0" w:color="auto"/>
              <w:bottom w:val="single" w:sz="4" w:space="0" w:color="auto"/>
              <w:right w:val="single" w:sz="4" w:space="0" w:color="auto"/>
            </w:tcBorders>
          </w:tcPr>
          <w:p w14:paraId="37181D9F"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4B949DF3"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780D2CEF" w14:textId="1B5B98D7"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3.26.</w:t>
            </w:r>
          </w:p>
        </w:tc>
        <w:tc>
          <w:tcPr>
            <w:tcW w:w="7796" w:type="dxa"/>
            <w:tcBorders>
              <w:top w:val="single" w:sz="4" w:space="0" w:color="auto"/>
              <w:left w:val="single" w:sz="4" w:space="0" w:color="auto"/>
              <w:bottom w:val="single" w:sz="4" w:space="0" w:color="auto"/>
              <w:right w:val="single" w:sz="4" w:space="0" w:color="auto"/>
            </w:tcBorders>
          </w:tcPr>
          <w:p w14:paraId="2C81B74D" w14:textId="2E7F455D"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Specialistas turi teikti konsultacijas dėl programinės įrangos atnaujinimų, klaidų taisymų bei geriausių praktikų taikymo.</w:t>
            </w:r>
          </w:p>
        </w:tc>
        <w:tc>
          <w:tcPr>
            <w:tcW w:w="5103" w:type="dxa"/>
            <w:tcBorders>
              <w:top w:val="single" w:sz="4" w:space="0" w:color="auto"/>
              <w:left w:val="single" w:sz="4" w:space="0" w:color="auto"/>
              <w:bottom w:val="single" w:sz="4" w:space="0" w:color="auto"/>
              <w:right w:val="single" w:sz="4" w:space="0" w:color="auto"/>
            </w:tcBorders>
          </w:tcPr>
          <w:p w14:paraId="0761BCCC"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1B742D3A"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E9D541E" w14:textId="29E8A0BD"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3.27.</w:t>
            </w:r>
          </w:p>
        </w:tc>
        <w:tc>
          <w:tcPr>
            <w:tcW w:w="7796" w:type="dxa"/>
            <w:tcBorders>
              <w:top w:val="single" w:sz="4" w:space="0" w:color="auto"/>
              <w:left w:val="single" w:sz="4" w:space="0" w:color="auto"/>
              <w:bottom w:val="single" w:sz="4" w:space="0" w:color="auto"/>
              <w:right w:val="single" w:sz="4" w:space="0" w:color="auto"/>
            </w:tcBorders>
          </w:tcPr>
          <w:p w14:paraId="24B0E44F" w14:textId="0B0B93C3"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Konsultacijos turi vykti ne rečiau kaip kas mėnesį, organizuojant gyvo skambučio sesijas.</w:t>
            </w:r>
          </w:p>
        </w:tc>
        <w:tc>
          <w:tcPr>
            <w:tcW w:w="5103" w:type="dxa"/>
            <w:tcBorders>
              <w:top w:val="single" w:sz="4" w:space="0" w:color="auto"/>
              <w:left w:val="single" w:sz="4" w:space="0" w:color="auto"/>
              <w:bottom w:val="single" w:sz="4" w:space="0" w:color="auto"/>
              <w:right w:val="single" w:sz="4" w:space="0" w:color="auto"/>
            </w:tcBorders>
          </w:tcPr>
          <w:p w14:paraId="31336345"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602100FA"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4DD2F64D" w14:textId="5C6B4022"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3.28.</w:t>
            </w:r>
          </w:p>
        </w:tc>
        <w:tc>
          <w:tcPr>
            <w:tcW w:w="7796" w:type="dxa"/>
            <w:tcBorders>
              <w:top w:val="single" w:sz="4" w:space="0" w:color="auto"/>
              <w:left w:val="single" w:sz="4" w:space="0" w:color="auto"/>
              <w:bottom w:val="single" w:sz="4" w:space="0" w:color="auto"/>
              <w:right w:val="single" w:sz="4" w:space="0" w:color="auto"/>
            </w:tcBorders>
          </w:tcPr>
          <w:p w14:paraId="313FD525" w14:textId="1B218E20"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Visiems sistemos naudotojams turi būti suteikti apmokymai, kaip naudotis programine įranga, taip pat mokymai esant poreikiui, turi būti organizuojami naujai prisijungusiems darbuotojams.</w:t>
            </w:r>
          </w:p>
        </w:tc>
        <w:tc>
          <w:tcPr>
            <w:tcW w:w="5103" w:type="dxa"/>
            <w:tcBorders>
              <w:top w:val="single" w:sz="4" w:space="0" w:color="auto"/>
              <w:left w:val="single" w:sz="4" w:space="0" w:color="auto"/>
              <w:bottom w:val="single" w:sz="4" w:space="0" w:color="auto"/>
              <w:right w:val="single" w:sz="4" w:space="0" w:color="auto"/>
            </w:tcBorders>
          </w:tcPr>
          <w:p w14:paraId="78E0B8DD"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411DF8C9"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47D1AD5A" w14:textId="19885183"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3.29.</w:t>
            </w:r>
          </w:p>
        </w:tc>
        <w:tc>
          <w:tcPr>
            <w:tcW w:w="7796" w:type="dxa"/>
            <w:tcBorders>
              <w:top w:val="single" w:sz="4" w:space="0" w:color="auto"/>
              <w:left w:val="single" w:sz="4" w:space="0" w:color="auto"/>
              <w:bottom w:val="single" w:sz="4" w:space="0" w:color="auto"/>
              <w:right w:val="single" w:sz="4" w:space="0" w:color="auto"/>
            </w:tcBorders>
          </w:tcPr>
          <w:p w14:paraId="51F434C7" w14:textId="00C5C946"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Kiekvieną ketvirtį specialistas su programos naudotojais aptaria pasiektus tikslus ir iškelia naujus ateinančiam ketvirčiui.</w:t>
            </w:r>
          </w:p>
        </w:tc>
        <w:tc>
          <w:tcPr>
            <w:tcW w:w="5103" w:type="dxa"/>
            <w:tcBorders>
              <w:top w:val="single" w:sz="4" w:space="0" w:color="auto"/>
              <w:left w:val="single" w:sz="4" w:space="0" w:color="auto"/>
              <w:bottom w:val="single" w:sz="4" w:space="0" w:color="auto"/>
              <w:right w:val="single" w:sz="4" w:space="0" w:color="auto"/>
            </w:tcBorders>
          </w:tcPr>
          <w:p w14:paraId="2099A364"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1D9635BE"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9248770" w14:textId="1DABDD6B"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3.30.</w:t>
            </w:r>
          </w:p>
        </w:tc>
        <w:tc>
          <w:tcPr>
            <w:tcW w:w="7796" w:type="dxa"/>
            <w:tcBorders>
              <w:top w:val="single" w:sz="4" w:space="0" w:color="auto"/>
              <w:left w:val="single" w:sz="4" w:space="0" w:color="auto"/>
              <w:bottom w:val="single" w:sz="4" w:space="0" w:color="auto"/>
              <w:right w:val="single" w:sz="4" w:space="0" w:color="auto"/>
            </w:tcBorders>
          </w:tcPr>
          <w:p w14:paraId="296CA357" w14:textId="13638DA8"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Perkančioji organizacija turi gauti integracijų inžinieriaus kontaktus (el. paštą, prieigą prie nuotolinio bendravimo priemonių ar kitas priemones, leidžiančias susisiekti), kuris konsultuos su API komunikacija susijusiais klausimais.</w:t>
            </w:r>
          </w:p>
        </w:tc>
        <w:tc>
          <w:tcPr>
            <w:tcW w:w="5103" w:type="dxa"/>
            <w:tcBorders>
              <w:top w:val="single" w:sz="4" w:space="0" w:color="auto"/>
              <w:left w:val="single" w:sz="4" w:space="0" w:color="auto"/>
              <w:bottom w:val="single" w:sz="4" w:space="0" w:color="auto"/>
              <w:right w:val="single" w:sz="4" w:space="0" w:color="auto"/>
            </w:tcBorders>
          </w:tcPr>
          <w:p w14:paraId="47C2F74E"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0B7F96F1"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5C8A956C" w14:textId="655A08A4"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3.31.</w:t>
            </w:r>
          </w:p>
        </w:tc>
        <w:tc>
          <w:tcPr>
            <w:tcW w:w="7796" w:type="dxa"/>
            <w:tcBorders>
              <w:top w:val="single" w:sz="4" w:space="0" w:color="auto"/>
              <w:left w:val="single" w:sz="4" w:space="0" w:color="auto"/>
              <w:bottom w:val="single" w:sz="4" w:space="0" w:color="auto"/>
              <w:right w:val="single" w:sz="4" w:space="0" w:color="auto"/>
            </w:tcBorders>
          </w:tcPr>
          <w:p w14:paraId="4B9334F0" w14:textId="5A69ABE4"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Perkančioji organizacija turi teisę siūlyti programinės įrangos tobulinimus, stebėti jų įgyvendinimą ir dalyvauti naujų funkcijų bandymuose.</w:t>
            </w:r>
          </w:p>
        </w:tc>
        <w:tc>
          <w:tcPr>
            <w:tcW w:w="5103" w:type="dxa"/>
            <w:tcBorders>
              <w:top w:val="single" w:sz="4" w:space="0" w:color="auto"/>
              <w:left w:val="single" w:sz="4" w:space="0" w:color="auto"/>
              <w:bottom w:val="single" w:sz="4" w:space="0" w:color="auto"/>
              <w:right w:val="single" w:sz="4" w:space="0" w:color="auto"/>
            </w:tcBorders>
          </w:tcPr>
          <w:p w14:paraId="6962B9D2"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5D84F8E3"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56016A7F" w14:textId="4A0A7350"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3.32.</w:t>
            </w:r>
          </w:p>
        </w:tc>
        <w:tc>
          <w:tcPr>
            <w:tcW w:w="7796" w:type="dxa"/>
            <w:tcBorders>
              <w:top w:val="single" w:sz="4" w:space="0" w:color="auto"/>
              <w:left w:val="single" w:sz="4" w:space="0" w:color="auto"/>
              <w:bottom w:val="single" w:sz="4" w:space="0" w:color="auto"/>
              <w:right w:val="single" w:sz="4" w:space="0" w:color="auto"/>
            </w:tcBorders>
          </w:tcPr>
          <w:p w14:paraId="64EC43C9" w14:textId="47D78EC2"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Techninių klaidų / kliūčių sprendimo terminai:</w:t>
            </w:r>
          </w:p>
          <w:p w14:paraId="56F17399"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lastRenderedPageBreak/>
              <w:t>a)</w:t>
            </w:r>
            <w:r w:rsidRPr="00116443">
              <w:rPr>
                <w:rFonts w:ascii="Calibri" w:hAnsi="Calibri" w:cs="Calibri"/>
                <w:color w:val="000000" w:themeColor="text1"/>
              </w:rPr>
              <w:tab/>
              <w:t>Svarbi klaida, kuri neleidžia naudotis sistema:</w:t>
            </w:r>
          </w:p>
          <w:p w14:paraId="07EC9EE9"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atsakymas – ne vėliau nei per 4 (keturias) darbo valandas;</w:t>
            </w:r>
          </w:p>
          <w:p w14:paraId="1B98FA75"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sprendimas – ne vėliau nei per 12 (dvylika) darbo valandų;</w:t>
            </w:r>
          </w:p>
          <w:p w14:paraId="56CD1B9E"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nuolatinis sprendimas – ne vėliau nei per 2 (dvi) savaites;</w:t>
            </w:r>
          </w:p>
          <w:p w14:paraId="15A95052"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b)</w:t>
            </w:r>
            <w:r w:rsidRPr="00116443">
              <w:rPr>
                <w:rFonts w:ascii="Calibri" w:hAnsi="Calibri" w:cs="Calibri"/>
                <w:color w:val="000000" w:themeColor="text1"/>
              </w:rPr>
              <w:tab/>
              <w:t>vidutinio svarbumo klaida, kuri paveikia perkančiosios organizacijos būtinas sistemos ypatybes, ir neigiamai veikia įprastą perkančiosios organizacijos darbą:</w:t>
            </w:r>
          </w:p>
          <w:p w14:paraId="1B7B1E0D"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atsakymas – ne vėliau nei per 8 (aštuonias) darbo valandas;</w:t>
            </w:r>
          </w:p>
          <w:p w14:paraId="5D3C9E68"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sprendimas – ne vėliau nei per 2 (dvi) darbo dienas;</w:t>
            </w:r>
          </w:p>
          <w:p w14:paraId="7995D2C5"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nuolatinis sprendimas – ne vėliau nei per 4 (keturias) savaites;</w:t>
            </w:r>
          </w:p>
          <w:p w14:paraId="03C3CB5A"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c)</w:t>
            </w:r>
            <w:r w:rsidRPr="00116443">
              <w:rPr>
                <w:rFonts w:ascii="Calibri" w:hAnsi="Calibri" w:cs="Calibri"/>
                <w:color w:val="000000" w:themeColor="text1"/>
              </w:rPr>
              <w:tab/>
              <w:t>smulki klaida, kuri iš esmės nepaveikia klientui svarbių sistemos ypatybių:</w:t>
            </w:r>
          </w:p>
          <w:p w14:paraId="095CF1DF"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atsakymas – ne vėliau nei per 5 (penkias) darbo dienas;</w:t>
            </w:r>
          </w:p>
          <w:p w14:paraId="4DB7B800"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sprendimas – ne vėliau nei kito programinės įrangos atnaujinimo metu;</w:t>
            </w:r>
          </w:p>
          <w:p w14:paraId="0F5F6FD1" w14:textId="1C1AB67D" w:rsidR="001D50E5"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nuolatinis sprendimas – ne vėliau nei kito programinės įrangos atnaujinimo metu.</w:t>
            </w:r>
          </w:p>
        </w:tc>
        <w:tc>
          <w:tcPr>
            <w:tcW w:w="5103" w:type="dxa"/>
            <w:tcBorders>
              <w:top w:val="single" w:sz="4" w:space="0" w:color="auto"/>
              <w:left w:val="single" w:sz="4" w:space="0" w:color="auto"/>
              <w:bottom w:val="single" w:sz="4" w:space="0" w:color="auto"/>
              <w:right w:val="single" w:sz="4" w:space="0" w:color="auto"/>
            </w:tcBorders>
          </w:tcPr>
          <w:p w14:paraId="5B516B0F"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bl>
    <w:p w14:paraId="415A0765" w14:textId="77777777" w:rsidR="00975C8B" w:rsidRPr="00116443" w:rsidRDefault="00975C8B" w:rsidP="0030606B">
      <w:pPr>
        <w:spacing w:after="0" w:line="240" w:lineRule="auto"/>
        <w:rPr>
          <w:rFonts w:eastAsia="Calibri" w:cstheme="minorHAnsi"/>
          <w:color w:val="000000" w:themeColor="text1"/>
        </w:rPr>
      </w:pPr>
    </w:p>
    <w:p w14:paraId="5451F055" w14:textId="389F3C6E" w:rsidR="00F269F1" w:rsidRPr="00116443" w:rsidRDefault="00F269F1" w:rsidP="007A6C97">
      <w:pPr>
        <w:spacing w:after="0" w:line="240" w:lineRule="auto"/>
        <w:jc w:val="center"/>
        <w:rPr>
          <w:rFonts w:eastAsia="Calibri" w:cstheme="minorHAnsi"/>
          <w:color w:val="000000" w:themeColor="text1"/>
        </w:rPr>
      </w:pPr>
      <w:r w:rsidRPr="00116443">
        <w:rPr>
          <w:rFonts w:eastAsia="Calibri" w:cstheme="minorHAnsi"/>
          <w:color w:val="000000" w:themeColor="text1"/>
        </w:rPr>
        <w:t>______________________</w:t>
      </w:r>
    </w:p>
    <w:sectPr w:rsidR="00F269F1" w:rsidRPr="00116443" w:rsidSect="009D0CB4">
      <w:pgSz w:w="15840" w:h="12240" w:orient="landscape"/>
      <w:pgMar w:top="1418" w:right="1134" w:bottom="567" w:left="1134"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B8379" w14:textId="77777777" w:rsidR="00D5788B" w:rsidRDefault="00D5788B" w:rsidP="00D05666">
      <w:r>
        <w:separator/>
      </w:r>
    </w:p>
  </w:endnote>
  <w:endnote w:type="continuationSeparator" w:id="0">
    <w:p w14:paraId="73D2AAD2" w14:textId="77777777" w:rsidR="00D5788B" w:rsidRDefault="00D5788B" w:rsidP="00D05666">
      <w:r>
        <w:continuationSeparator/>
      </w:r>
    </w:p>
  </w:endnote>
  <w:endnote w:type="continuationNotice" w:id="1">
    <w:p w14:paraId="603A99F4" w14:textId="77777777" w:rsidR="00D5788B" w:rsidRDefault="00D57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A1997" w14:textId="77777777" w:rsidR="00D5788B" w:rsidRDefault="00D5788B" w:rsidP="00D05666">
      <w:r>
        <w:separator/>
      </w:r>
    </w:p>
  </w:footnote>
  <w:footnote w:type="continuationSeparator" w:id="0">
    <w:p w14:paraId="2A3463E3" w14:textId="77777777" w:rsidR="00D5788B" w:rsidRDefault="00D5788B" w:rsidP="00D05666">
      <w:r>
        <w:continuationSeparator/>
      </w:r>
    </w:p>
  </w:footnote>
  <w:footnote w:type="continuationNotice" w:id="1">
    <w:p w14:paraId="1C436EE9" w14:textId="77777777" w:rsidR="00D5788B" w:rsidRDefault="00D5788B">
      <w:pPr>
        <w:spacing w:after="0" w:line="240" w:lineRule="auto"/>
      </w:pPr>
    </w:p>
  </w:footnote>
  <w:footnote w:id="2">
    <w:p w14:paraId="4EAFD7C5" w14:textId="2B0B5B11" w:rsidR="00F1444D" w:rsidRDefault="00F1444D">
      <w:pPr>
        <w:pStyle w:val="FootnoteText"/>
      </w:pPr>
      <w:r>
        <w:rPr>
          <w:rStyle w:val="FootnoteReference"/>
        </w:rPr>
        <w:footnoteRef/>
      </w:r>
      <w:r>
        <w:t xml:space="preserve"> </w:t>
      </w:r>
      <w:hyperlink r:id="rId1" w:history="1">
        <w:r w:rsidRPr="005C10D7">
          <w:rPr>
            <w:rStyle w:val="Hyperlink"/>
          </w:rPr>
          <w:t>https://www.silobreaker.com/product/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9D8"/>
    <w:multiLevelType w:val="hybridMultilevel"/>
    <w:tmpl w:val="B9D83842"/>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F92B9A"/>
    <w:multiLevelType w:val="multilevel"/>
    <w:tmpl w:val="F9C0CE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1"/>
  </w:num>
  <w:num w:numId="4">
    <w:abstractNumId w:val="13"/>
  </w:num>
  <w:num w:numId="5">
    <w:abstractNumId w:val="10"/>
  </w:num>
  <w:num w:numId="6">
    <w:abstractNumId w:val="18"/>
  </w:num>
  <w:num w:numId="7">
    <w:abstractNumId w:val="16"/>
  </w:num>
  <w:num w:numId="8">
    <w:abstractNumId w:val="1"/>
  </w:num>
  <w:num w:numId="9">
    <w:abstractNumId w:val="17"/>
  </w:num>
  <w:num w:numId="10">
    <w:abstractNumId w:val="15"/>
  </w:num>
  <w:num w:numId="11">
    <w:abstractNumId w:val="12"/>
  </w:num>
  <w:num w:numId="12">
    <w:abstractNumId w:val="7"/>
  </w:num>
  <w:num w:numId="13">
    <w:abstractNumId w:val="9"/>
  </w:num>
  <w:num w:numId="14">
    <w:abstractNumId w:val="14"/>
  </w:num>
  <w:num w:numId="15">
    <w:abstractNumId w:val="4"/>
  </w:num>
  <w:num w:numId="16">
    <w:abstractNumId w:val="5"/>
  </w:num>
  <w:num w:numId="17">
    <w:abstractNumId w:val="8"/>
  </w:num>
  <w:num w:numId="18">
    <w:abstractNumId w:val="0"/>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7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443"/>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0E5"/>
    <w:rsid w:val="001D5752"/>
    <w:rsid w:val="001D612E"/>
    <w:rsid w:val="001D65F8"/>
    <w:rsid w:val="001D7492"/>
    <w:rsid w:val="001D7890"/>
    <w:rsid w:val="001E0107"/>
    <w:rsid w:val="001E064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CB"/>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47F"/>
    <w:rsid w:val="00221CC0"/>
    <w:rsid w:val="0022234B"/>
    <w:rsid w:val="00223614"/>
    <w:rsid w:val="00223D79"/>
    <w:rsid w:val="00224F0F"/>
    <w:rsid w:val="002256CF"/>
    <w:rsid w:val="002257D8"/>
    <w:rsid w:val="00225BEF"/>
    <w:rsid w:val="00225C28"/>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FE9"/>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7F9"/>
    <w:rsid w:val="0027399D"/>
    <w:rsid w:val="00273F59"/>
    <w:rsid w:val="00274A30"/>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8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675"/>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35"/>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9C"/>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06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5C"/>
    <w:rsid w:val="00333BFA"/>
    <w:rsid w:val="00334D33"/>
    <w:rsid w:val="00334EB8"/>
    <w:rsid w:val="003354F0"/>
    <w:rsid w:val="00335A01"/>
    <w:rsid w:val="00335DA5"/>
    <w:rsid w:val="0033642E"/>
    <w:rsid w:val="003406FD"/>
    <w:rsid w:val="00340F7A"/>
    <w:rsid w:val="00341929"/>
    <w:rsid w:val="00341D9A"/>
    <w:rsid w:val="0034295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4EA"/>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336"/>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C01"/>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5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FF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7E"/>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32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196"/>
    <w:rsid w:val="004D3BE3"/>
    <w:rsid w:val="004D459D"/>
    <w:rsid w:val="004D4C7B"/>
    <w:rsid w:val="004D642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5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6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9C"/>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F7"/>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D9F"/>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B86"/>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D3"/>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C97"/>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BE7"/>
    <w:rsid w:val="008656E1"/>
    <w:rsid w:val="008662A0"/>
    <w:rsid w:val="0086727C"/>
    <w:rsid w:val="00867806"/>
    <w:rsid w:val="008678E4"/>
    <w:rsid w:val="00867D33"/>
    <w:rsid w:val="0087061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2E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B56"/>
    <w:rsid w:val="00910C39"/>
    <w:rsid w:val="00910CE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92"/>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BB"/>
    <w:rsid w:val="00973D2D"/>
    <w:rsid w:val="009743D3"/>
    <w:rsid w:val="00975737"/>
    <w:rsid w:val="00975C8B"/>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ED"/>
    <w:rsid w:val="00987DE7"/>
    <w:rsid w:val="00990052"/>
    <w:rsid w:val="00990E9B"/>
    <w:rsid w:val="009910A4"/>
    <w:rsid w:val="00991D5A"/>
    <w:rsid w:val="009921F1"/>
    <w:rsid w:val="0099227B"/>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8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4"/>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4E"/>
    <w:rsid w:val="009E3E43"/>
    <w:rsid w:val="009E43D5"/>
    <w:rsid w:val="009E46B6"/>
    <w:rsid w:val="009E46BC"/>
    <w:rsid w:val="009E4CDE"/>
    <w:rsid w:val="009E61A9"/>
    <w:rsid w:val="009E6E3B"/>
    <w:rsid w:val="009F047D"/>
    <w:rsid w:val="009F0698"/>
    <w:rsid w:val="009F0935"/>
    <w:rsid w:val="009F0A4E"/>
    <w:rsid w:val="009F0F49"/>
    <w:rsid w:val="009F1294"/>
    <w:rsid w:val="009F18CF"/>
    <w:rsid w:val="009F3379"/>
    <w:rsid w:val="009F402F"/>
    <w:rsid w:val="009F474E"/>
    <w:rsid w:val="009F4CE8"/>
    <w:rsid w:val="009F4E56"/>
    <w:rsid w:val="009F4FBE"/>
    <w:rsid w:val="009F5AAD"/>
    <w:rsid w:val="009F639D"/>
    <w:rsid w:val="009F644C"/>
    <w:rsid w:val="009F7959"/>
    <w:rsid w:val="009F7C40"/>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0C7"/>
    <w:rsid w:val="00A704CD"/>
    <w:rsid w:val="00A70D62"/>
    <w:rsid w:val="00A70DAE"/>
    <w:rsid w:val="00A70DC3"/>
    <w:rsid w:val="00A70E68"/>
    <w:rsid w:val="00A71BA0"/>
    <w:rsid w:val="00A722C0"/>
    <w:rsid w:val="00A728AD"/>
    <w:rsid w:val="00A734D3"/>
    <w:rsid w:val="00A73BF7"/>
    <w:rsid w:val="00A744AD"/>
    <w:rsid w:val="00A747AC"/>
    <w:rsid w:val="00A74B22"/>
    <w:rsid w:val="00A74B37"/>
    <w:rsid w:val="00A74E3D"/>
    <w:rsid w:val="00A75114"/>
    <w:rsid w:val="00A75148"/>
    <w:rsid w:val="00A75370"/>
    <w:rsid w:val="00A76F66"/>
    <w:rsid w:val="00A77900"/>
    <w:rsid w:val="00A779D1"/>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1E2"/>
    <w:rsid w:val="00AA23FB"/>
    <w:rsid w:val="00AA2718"/>
    <w:rsid w:val="00AA29DF"/>
    <w:rsid w:val="00AA2A14"/>
    <w:rsid w:val="00AA362E"/>
    <w:rsid w:val="00AA4CE6"/>
    <w:rsid w:val="00AA52E1"/>
    <w:rsid w:val="00AA62D6"/>
    <w:rsid w:val="00AA64DE"/>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5CB"/>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6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5C"/>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68"/>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3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1F0F"/>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1FEF"/>
    <w:rsid w:val="00C02966"/>
    <w:rsid w:val="00C02B55"/>
    <w:rsid w:val="00C03738"/>
    <w:rsid w:val="00C03EB7"/>
    <w:rsid w:val="00C04406"/>
    <w:rsid w:val="00C0495E"/>
    <w:rsid w:val="00C04FFE"/>
    <w:rsid w:val="00C0533D"/>
    <w:rsid w:val="00C05D1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65"/>
    <w:rsid w:val="00C96CEC"/>
    <w:rsid w:val="00C970BE"/>
    <w:rsid w:val="00C970C8"/>
    <w:rsid w:val="00CA02E5"/>
    <w:rsid w:val="00CA02FE"/>
    <w:rsid w:val="00CA0664"/>
    <w:rsid w:val="00CA1743"/>
    <w:rsid w:val="00CA19C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A4"/>
    <w:rsid w:val="00CD358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71"/>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3D"/>
    <w:rsid w:val="00D05666"/>
    <w:rsid w:val="00D05AF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4D"/>
    <w:rsid w:val="00D32314"/>
    <w:rsid w:val="00D324CF"/>
    <w:rsid w:val="00D325C1"/>
    <w:rsid w:val="00D32FDE"/>
    <w:rsid w:val="00D331C2"/>
    <w:rsid w:val="00D3330B"/>
    <w:rsid w:val="00D33F7A"/>
    <w:rsid w:val="00D34000"/>
    <w:rsid w:val="00D34746"/>
    <w:rsid w:val="00D3495E"/>
    <w:rsid w:val="00D354EB"/>
    <w:rsid w:val="00D35747"/>
    <w:rsid w:val="00D37664"/>
    <w:rsid w:val="00D4094C"/>
    <w:rsid w:val="00D40BD6"/>
    <w:rsid w:val="00D40E98"/>
    <w:rsid w:val="00D41091"/>
    <w:rsid w:val="00D4126D"/>
    <w:rsid w:val="00D4131F"/>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B4"/>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8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23"/>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8E5"/>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50"/>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67"/>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44D"/>
    <w:rsid w:val="00F164B4"/>
    <w:rsid w:val="00F166A2"/>
    <w:rsid w:val="00F170D1"/>
    <w:rsid w:val="00F17A1F"/>
    <w:rsid w:val="00F20241"/>
    <w:rsid w:val="00F207CB"/>
    <w:rsid w:val="00F2108C"/>
    <w:rsid w:val="00F211FE"/>
    <w:rsid w:val="00F217F8"/>
    <w:rsid w:val="00F21BAE"/>
    <w:rsid w:val="00F21F12"/>
    <w:rsid w:val="00F2293A"/>
    <w:rsid w:val="00F229DE"/>
    <w:rsid w:val="00F235F7"/>
    <w:rsid w:val="00F23AC4"/>
    <w:rsid w:val="00F2421D"/>
    <w:rsid w:val="00F25241"/>
    <w:rsid w:val="00F269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3"/>
    <w:rsid w:val="00F62DF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C4"/>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9C"/>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28442113-9C2B-44AF-AC5E-26602C02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
    <w:name w:val="Be tarpų"/>
    <w:uiPriority w:val="1"/>
    <w:qFormat/>
    <w:rsid w:val="007A6C97"/>
    <w:pPr>
      <w:spacing w:after="0" w:line="240" w:lineRule="auto"/>
    </w:pPr>
    <w:rPr>
      <w:rFonts w:ascii="Calibri" w:eastAsia="Calibri" w:hAnsi="Calibri" w:cs="Times New Roman"/>
      <w:sz w:val="22"/>
      <w:szCs w:val="22"/>
      <w:lang w:eastAsia="en-US"/>
    </w:rPr>
  </w:style>
  <w:style w:type="character" w:customStyle="1" w:styleId="normaltextrun">
    <w:name w:val="normaltextrun"/>
    <w:basedOn w:val="DefaultParagraphFont"/>
    <w:rsid w:val="007A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ilobreaker.com/pro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2.xml><?xml version="1.0" encoding="utf-8"?>
<ds:datastoreItem xmlns:ds="http://schemas.openxmlformats.org/officeDocument/2006/customXml" ds:itemID="{15261590-B0B6-4B35-97FC-D27522F9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681E2AB-ADDC-4AB5-A461-106FDA12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8075</Words>
  <Characters>4603</Characters>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2025-08-12T14:57:00Z</dcterms:created>
  <dcterms:modified xsi:type="dcterms:W3CDTF">2026-05-07T08:30:00Z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