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6BC8" w:rsidRPr="0043514D" w:rsidRDefault="002A6BC8" w:rsidP="002A6BC8">
      <w:pPr>
        <w:spacing w:after="0" w:line="240" w:lineRule="auto"/>
        <w:jc w:val="center"/>
        <w:rPr>
          <w:b/>
          <w:sz w:val="21"/>
          <w:szCs w:val="21"/>
        </w:rPr>
      </w:pPr>
      <w:r w:rsidRPr="0043514D">
        <w:rPr>
          <w:b/>
          <w:sz w:val="21"/>
          <w:szCs w:val="21"/>
        </w:rPr>
        <w:t>ATSAKYMAI Į TIEKĖJŲ KLAUSIMUS</w:t>
      </w:r>
    </w:p>
    <w:p w:rsidR="002A6BC8" w:rsidRPr="0043514D" w:rsidRDefault="002A6BC8" w:rsidP="002A6BC8">
      <w:pPr>
        <w:spacing w:after="0" w:line="240" w:lineRule="auto"/>
        <w:rPr>
          <w:sz w:val="21"/>
          <w:szCs w:val="21"/>
        </w:rPr>
      </w:pPr>
    </w:p>
    <w:p w:rsidR="002A6BC8" w:rsidRPr="0043514D" w:rsidRDefault="0043514D" w:rsidP="002A6BC8">
      <w:pPr>
        <w:spacing w:after="0" w:line="240" w:lineRule="auto"/>
        <w:rPr>
          <w:b/>
          <w:sz w:val="21"/>
          <w:szCs w:val="21"/>
        </w:rPr>
      </w:pPr>
      <w:r w:rsidRPr="0043514D">
        <w:rPr>
          <w:b/>
          <w:sz w:val="21"/>
          <w:szCs w:val="21"/>
        </w:rPr>
        <w:t>Atsakymai į klausimus</w:t>
      </w:r>
      <w:r w:rsidR="002A6BC8" w:rsidRPr="0043514D">
        <w:rPr>
          <w:b/>
          <w:sz w:val="21"/>
          <w:szCs w:val="21"/>
        </w:rPr>
        <w:t xml:space="preserve"> dėl Konkurso specialiųjų sąlygų 2 priede „Palyginimų lentelė“ nustatytų reikalavimų:</w:t>
      </w:r>
    </w:p>
    <w:p w:rsidR="0043514D" w:rsidRDefault="0043514D" w:rsidP="002A6BC8">
      <w:pPr>
        <w:spacing w:after="0" w:line="240" w:lineRule="auto"/>
        <w:rPr>
          <w:b/>
          <w:sz w:val="21"/>
          <w:szCs w:val="21"/>
        </w:rPr>
      </w:pPr>
    </w:p>
    <w:p w:rsidR="002A6BC8" w:rsidRPr="0043514D" w:rsidRDefault="0043514D" w:rsidP="002A6BC8">
      <w:pPr>
        <w:spacing w:after="0" w:line="240" w:lineRule="auto"/>
        <w:rPr>
          <w:b/>
          <w:sz w:val="21"/>
          <w:szCs w:val="21"/>
        </w:rPr>
      </w:pPr>
      <w:r w:rsidRPr="0043514D">
        <w:rPr>
          <w:b/>
          <w:sz w:val="21"/>
          <w:szCs w:val="21"/>
        </w:rPr>
        <w:t xml:space="preserve">1. </w:t>
      </w:r>
      <w:r>
        <w:rPr>
          <w:b/>
          <w:sz w:val="21"/>
          <w:szCs w:val="21"/>
        </w:rPr>
        <w:t>Klausimas d</w:t>
      </w:r>
      <w:r w:rsidR="002A6BC8" w:rsidRPr="0043514D">
        <w:rPr>
          <w:b/>
          <w:sz w:val="21"/>
          <w:szCs w:val="21"/>
        </w:rPr>
        <w:t>ėl 2.1</w:t>
      </w:r>
      <w:r w:rsidR="00655CD2">
        <w:rPr>
          <w:b/>
          <w:sz w:val="21"/>
          <w:szCs w:val="21"/>
        </w:rPr>
        <w:t>.</w:t>
      </w:r>
      <w:r w:rsidR="002A6BC8" w:rsidRPr="0043514D">
        <w:rPr>
          <w:b/>
          <w:sz w:val="21"/>
          <w:szCs w:val="21"/>
        </w:rPr>
        <w:t xml:space="preserve"> p.</w:t>
      </w:r>
      <w:r w:rsidRPr="0043514D">
        <w:rPr>
          <w:b/>
          <w:sz w:val="21"/>
          <w:szCs w:val="21"/>
        </w:rPr>
        <w:t xml:space="preserve"> </w:t>
      </w:r>
      <w:r w:rsidR="002A6BC8" w:rsidRPr="0043514D">
        <w:rPr>
          <w:b/>
          <w:sz w:val="21"/>
          <w:szCs w:val="21"/>
        </w:rPr>
        <w:t>p.:</w:t>
      </w:r>
    </w:p>
    <w:p w:rsidR="002A6BC8" w:rsidRDefault="002A6BC8" w:rsidP="002A6BC8">
      <w:pPr>
        <w:spacing w:after="0" w:line="240" w:lineRule="auto"/>
        <w:rPr>
          <w:sz w:val="21"/>
          <w:szCs w:val="21"/>
        </w:rPr>
      </w:pPr>
      <w:r w:rsidRPr="0043514D">
        <w:rPr>
          <w:sz w:val="21"/>
          <w:szCs w:val="21"/>
        </w:rPr>
        <w:t>Dėl integracijos su „Intel471“, ar perkančiajai organizacijai (PO) galima siūlyti sprendimus, kurie palaiko duomenų įkėlimą ir koreliaciją per atvirą API arba pramonės standartų formatus (pvz., STIX/TAXII), o ne patentuotą vietinę integraciją, su sąlyga, kad bus pasiektas funkcinis duomenų tarpusavio integravimo tikslas?</w:t>
      </w:r>
    </w:p>
    <w:p w:rsidR="0043514D" w:rsidRDefault="0043514D" w:rsidP="002A6BC8">
      <w:pPr>
        <w:spacing w:after="0" w:line="240" w:lineRule="auto"/>
        <w:rPr>
          <w:sz w:val="21"/>
          <w:szCs w:val="21"/>
        </w:rPr>
      </w:pPr>
      <w:r>
        <w:rPr>
          <w:b/>
          <w:sz w:val="21"/>
          <w:szCs w:val="21"/>
        </w:rPr>
        <w:t>Atsakymas:</w:t>
      </w:r>
    </w:p>
    <w:p w:rsidR="0043514D" w:rsidRDefault="00132465" w:rsidP="002A6BC8">
      <w:pPr>
        <w:spacing w:after="0" w:line="240" w:lineRule="auto"/>
        <w:rPr>
          <w:sz w:val="21"/>
          <w:szCs w:val="21"/>
        </w:rPr>
      </w:pPr>
      <w:r>
        <w:rPr>
          <w:sz w:val="21"/>
          <w:szCs w:val="21"/>
        </w:rPr>
        <w:t xml:space="preserve">Šiame papunktyje </w:t>
      </w:r>
      <w:r w:rsidRPr="00132465">
        <w:rPr>
          <w:sz w:val="21"/>
          <w:szCs w:val="21"/>
        </w:rPr>
        <w:t>yra nurodyta įrankių pavyzdinis sąrašas. Suderinamumas (tarpusavio integracija) reiškia tiek esamų formatų išnaudoj</w:t>
      </w:r>
      <w:r>
        <w:rPr>
          <w:sz w:val="21"/>
          <w:szCs w:val="21"/>
        </w:rPr>
        <w:t>imą, tiek patentuotų standartų.</w:t>
      </w:r>
    </w:p>
    <w:p w:rsidR="00132465" w:rsidRPr="00132465" w:rsidRDefault="00132465" w:rsidP="00132465">
      <w:pPr>
        <w:spacing w:after="0" w:line="240" w:lineRule="auto"/>
        <w:rPr>
          <w:sz w:val="21"/>
          <w:szCs w:val="21"/>
        </w:rPr>
      </w:pPr>
      <w:r w:rsidRPr="00132465">
        <w:rPr>
          <w:sz w:val="21"/>
          <w:szCs w:val="21"/>
        </w:rPr>
        <w:t>Perkančioji organizacija numato įsigyti Nau</w:t>
      </w:r>
      <w:r w:rsidR="001E49D5">
        <w:rPr>
          <w:sz w:val="21"/>
          <w:szCs w:val="21"/>
        </w:rPr>
        <w:t xml:space="preserve">dojamos gamintojo </w:t>
      </w:r>
      <w:proofErr w:type="spellStart"/>
      <w:r w:rsidR="001E49D5">
        <w:rPr>
          <w:sz w:val="21"/>
          <w:szCs w:val="21"/>
        </w:rPr>
        <w:t>Silobreaker</w:t>
      </w:r>
      <w:proofErr w:type="spellEnd"/>
      <w:r w:rsidR="001E49D5">
        <w:rPr>
          <w:sz w:val="21"/>
          <w:szCs w:val="21"/>
        </w:rPr>
        <w:t xml:space="preserve">® </w:t>
      </w:r>
      <w:r w:rsidRPr="00132465">
        <w:rPr>
          <w:sz w:val="21"/>
          <w:szCs w:val="21"/>
        </w:rPr>
        <w:t xml:space="preserve">grėsmių analizės programinės įrangos licencijos pratęsimas (nuoma), šios programinės įrangos palaikymas, atnaujinimas ir pagalba naudotojams, t. y. šios programinės įrangos 12 (dvylikos) mėnesių licencijos nuomą, leidžiančios prisijungti ne mažiau kaip 12 </w:t>
      </w:r>
      <w:r>
        <w:rPr>
          <w:sz w:val="21"/>
          <w:szCs w:val="21"/>
        </w:rPr>
        <w:t>(dvylika) vartotojų vienu metu.</w:t>
      </w:r>
    </w:p>
    <w:p w:rsidR="00132465" w:rsidRPr="00132465" w:rsidRDefault="00132465" w:rsidP="00132465">
      <w:pPr>
        <w:spacing w:after="0" w:line="240" w:lineRule="auto"/>
        <w:rPr>
          <w:sz w:val="21"/>
          <w:szCs w:val="21"/>
        </w:rPr>
      </w:pPr>
      <w:r>
        <w:rPr>
          <w:sz w:val="21"/>
          <w:szCs w:val="21"/>
        </w:rPr>
        <w:t xml:space="preserve">Perkančioji organizacija yra </w:t>
      </w:r>
      <w:r w:rsidRPr="00132465">
        <w:rPr>
          <w:sz w:val="21"/>
          <w:szCs w:val="21"/>
        </w:rPr>
        <w:t>pagrindinė Lietuvos kibernetinio saugumo institucija, atsakinga už vieningą kibernetinių incidentų valdymą, kibernetinio saugumo reikalavimų įgyvendinimo stebėseną ir kontrolę, ypatingos svarbos informacinės infrastruktūros kibernetinį saugumą ir informacinių išteklių akreditaciją. Perkančioji organizacija yra esminis kibernetinio saugumo subjektas ir priklauso Krašto apsaugos sistemai, vykdanti nacionalinio saugumo užtikrinimo funkcijas.</w:t>
      </w:r>
    </w:p>
    <w:p w:rsidR="0043514D" w:rsidRDefault="00132465" w:rsidP="00132465">
      <w:pPr>
        <w:spacing w:after="0" w:line="240" w:lineRule="auto"/>
        <w:rPr>
          <w:sz w:val="21"/>
          <w:szCs w:val="21"/>
        </w:rPr>
      </w:pPr>
      <w:r w:rsidRPr="00132465">
        <w:rPr>
          <w:sz w:val="21"/>
          <w:szCs w:val="21"/>
        </w:rPr>
        <w:t xml:space="preserve">Už pirkimo sutarties įvykdymą atsakingas perkančiosios organizacijos Kibernetinių grėsmių valdymo departamento Tarptautinis kibernetinių grėsmių analizės skyrius savo veikloje vadovaujasi CTI (angl. </w:t>
      </w:r>
      <w:proofErr w:type="spellStart"/>
      <w:r w:rsidRPr="00132465">
        <w:rPr>
          <w:sz w:val="21"/>
          <w:szCs w:val="21"/>
        </w:rPr>
        <w:t>Cyber</w:t>
      </w:r>
      <w:proofErr w:type="spellEnd"/>
      <w:r w:rsidRPr="00132465">
        <w:rPr>
          <w:sz w:val="21"/>
          <w:szCs w:val="21"/>
        </w:rPr>
        <w:t xml:space="preserve"> </w:t>
      </w:r>
      <w:proofErr w:type="spellStart"/>
      <w:r w:rsidRPr="00132465">
        <w:rPr>
          <w:sz w:val="21"/>
          <w:szCs w:val="21"/>
        </w:rPr>
        <w:t>Threat</w:t>
      </w:r>
      <w:proofErr w:type="spellEnd"/>
      <w:r w:rsidRPr="00132465">
        <w:rPr>
          <w:sz w:val="21"/>
          <w:szCs w:val="21"/>
        </w:rPr>
        <w:t xml:space="preserve"> </w:t>
      </w:r>
      <w:proofErr w:type="spellStart"/>
      <w:r w:rsidRPr="00132465">
        <w:rPr>
          <w:sz w:val="21"/>
          <w:szCs w:val="21"/>
        </w:rPr>
        <w:t>Intelligence</w:t>
      </w:r>
      <w:proofErr w:type="spellEnd"/>
      <w:r w:rsidRPr="00132465">
        <w:rPr>
          <w:sz w:val="21"/>
          <w:szCs w:val="21"/>
        </w:rPr>
        <w:t>) ciklu atrenkant veiklai naudojamus įrankius, o taip pat grėsmių analizės programinę įrangą. Naudojamų ir veikloje patikrintų įrankių (programinių įrangų) licencijų pratęsimai pasirenkami, kai dėl saugumo reikalavimų ir esančio suderinamumo, nėra poreikio keisti naudojamą programinę įrangą. Tinkamų darbo įrankių pasirinkimas yra nuolatinis procesas, kuris tiesiogiai priklauso nuo formuluojamų užduočių bei komandos kompetencijų. Nuo 2025 metų rengia sektorines kibernetinių grėsmių analizės ataskaitas, o šiai analizei yra naudojama perkančiosios organizacijos turimą grėsmių analizės programinė įranga. Minėtos programinės įrangos keitimas lygiaverte reikalautų papildomų saugumo patikrų, integracijų bei specialistų apmokymų</w:t>
      </w:r>
      <w:r w:rsidR="001E49D5">
        <w:rPr>
          <w:sz w:val="21"/>
          <w:szCs w:val="21"/>
        </w:rPr>
        <w:t xml:space="preserve"> (iki 2 (dviejų) mėnesių)</w:t>
      </w:r>
      <w:r w:rsidRPr="00132465">
        <w:rPr>
          <w:sz w:val="21"/>
          <w:szCs w:val="21"/>
        </w:rPr>
        <w:t>, kas sukeltų papildomų įstaigos išteklių sąnaudų bei saugumo iššūkių, sukeliant rizikas vykdomų funkcijų tęstinumui. Todėl perkančiosios organizacijos šiuo metu naudojama grėsmių analizės programinė įranga nėra lengvai pakeičiama kita lygiaverte dėl jos integracijos su kitomis sistemomis.</w:t>
      </w:r>
    </w:p>
    <w:p w:rsidR="0043514D" w:rsidRDefault="0043514D" w:rsidP="002A6BC8">
      <w:pPr>
        <w:spacing w:after="0" w:line="240" w:lineRule="auto"/>
        <w:rPr>
          <w:sz w:val="21"/>
          <w:szCs w:val="21"/>
        </w:rPr>
      </w:pPr>
    </w:p>
    <w:p w:rsidR="002A6BC8" w:rsidRPr="001011BA" w:rsidRDefault="002A6BC8" w:rsidP="002A6BC8">
      <w:pPr>
        <w:spacing w:after="0" w:line="240" w:lineRule="auto"/>
        <w:rPr>
          <w:b/>
          <w:sz w:val="21"/>
          <w:szCs w:val="21"/>
        </w:rPr>
      </w:pPr>
      <w:r w:rsidRPr="001011BA">
        <w:rPr>
          <w:b/>
          <w:sz w:val="21"/>
          <w:szCs w:val="21"/>
        </w:rPr>
        <w:t>2.</w:t>
      </w:r>
      <w:r w:rsidR="001011BA" w:rsidRPr="001011BA">
        <w:rPr>
          <w:b/>
          <w:sz w:val="21"/>
          <w:szCs w:val="21"/>
        </w:rPr>
        <w:t xml:space="preserve"> Klausimas d</w:t>
      </w:r>
      <w:r w:rsidRPr="001011BA">
        <w:rPr>
          <w:b/>
          <w:sz w:val="21"/>
          <w:szCs w:val="21"/>
        </w:rPr>
        <w:t>ėl 2.2</w:t>
      </w:r>
      <w:r w:rsidR="00655CD2">
        <w:rPr>
          <w:b/>
          <w:sz w:val="21"/>
          <w:szCs w:val="21"/>
        </w:rPr>
        <w:t>.</w:t>
      </w:r>
      <w:r w:rsidRPr="001011BA">
        <w:rPr>
          <w:b/>
          <w:sz w:val="21"/>
          <w:szCs w:val="21"/>
        </w:rPr>
        <w:t xml:space="preserve"> p.</w:t>
      </w:r>
      <w:r w:rsidR="001011BA" w:rsidRPr="001011BA">
        <w:rPr>
          <w:b/>
          <w:sz w:val="21"/>
          <w:szCs w:val="21"/>
        </w:rPr>
        <w:t xml:space="preserve"> </w:t>
      </w:r>
      <w:r w:rsidRPr="001011BA">
        <w:rPr>
          <w:b/>
          <w:sz w:val="21"/>
          <w:szCs w:val="21"/>
        </w:rPr>
        <w:t>p.:</w:t>
      </w:r>
    </w:p>
    <w:p w:rsidR="002A6BC8" w:rsidRDefault="002A6BC8" w:rsidP="002A6BC8">
      <w:pPr>
        <w:spacing w:after="0" w:line="240" w:lineRule="auto"/>
        <w:rPr>
          <w:sz w:val="21"/>
          <w:szCs w:val="21"/>
        </w:rPr>
      </w:pPr>
      <w:r w:rsidRPr="0043514D">
        <w:rPr>
          <w:sz w:val="21"/>
          <w:szCs w:val="21"/>
        </w:rPr>
        <w:t>Atsižvelgiant į specialių ataskaitų suvestinių (pažeidžiamumo, operacinės saugos, regioninės, ES/NATO) reikalavimus, ar PO leistų siūlyti platformą, kuri naudoja dinaminį užklausų variklį šioms vizualizacijoms kurti? Toks metodas užtikrina, kad duomenys nebūtų apriboti gamykliniais nustatymais, bet galėtų būti pritaikyti realiuoju laiku prie konkrečių grėsmių konkrečiame regione.</w:t>
      </w:r>
    </w:p>
    <w:p w:rsidR="001011BA" w:rsidRDefault="001011BA" w:rsidP="002A6BC8">
      <w:pPr>
        <w:spacing w:after="0" w:line="240" w:lineRule="auto"/>
        <w:rPr>
          <w:sz w:val="21"/>
          <w:szCs w:val="21"/>
        </w:rPr>
      </w:pPr>
      <w:r>
        <w:rPr>
          <w:b/>
          <w:sz w:val="21"/>
          <w:szCs w:val="21"/>
        </w:rPr>
        <w:t>Atsakymas:</w:t>
      </w:r>
    </w:p>
    <w:p w:rsidR="001011BA" w:rsidRPr="001011BA" w:rsidRDefault="001011BA" w:rsidP="002A6BC8">
      <w:pPr>
        <w:spacing w:after="0" w:line="240" w:lineRule="auto"/>
        <w:rPr>
          <w:sz w:val="21"/>
          <w:szCs w:val="21"/>
        </w:rPr>
      </w:pPr>
      <w:r w:rsidRPr="001011BA">
        <w:rPr>
          <w:sz w:val="21"/>
          <w:szCs w:val="21"/>
        </w:rPr>
        <w:t xml:space="preserve">Informaciniai skydeliai turi turėti nurodytą </w:t>
      </w:r>
      <w:r>
        <w:rPr>
          <w:sz w:val="21"/>
          <w:szCs w:val="21"/>
        </w:rPr>
        <w:t xml:space="preserve">palyginimų lentelėje </w:t>
      </w:r>
      <w:r w:rsidRPr="001011BA">
        <w:rPr>
          <w:sz w:val="21"/>
          <w:szCs w:val="21"/>
        </w:rPr>
        <w:t xml:space="preserve"> inf</w:t>
      </w:r>
      <w:r>
        <w:rPr>
          <w:sz w:val="21"/>
          <w:szCs w:val="21"/>
        </w:rPr>
        <w:t>ormacija.</w:t>
      </w:r>
    </w:p>
    <w:p w:rsidR="001011BA" w:rsidRPr="0043514D" w:rsidRDefault="001011BA" w:rsidP="002A6BC8">
      <w:pPr>
        <w:spacing w:after="0" w:line="240" w:lineRule="auto"/>
        <w:rPr>
          <w:sz w:val="21"/>
          <w:szCs w:val="21"/>
        </w:rPr>
      </w:pPr>
    </w:p>
    <w:p w:rsidR="002A6BC8" w:rsidRPr="001011BA" w:rsidRDefault="002A6BC8" w:rsidP="002A6BC8">
      <w:pPr>
        <w:spacing w:after="0" w:line="240" w:lineRule="auto"/>
        <w:rPr>
          <w:b/>
          <w:sz w:val="21"/>
          <w:szCs w:val="21"/>
        </w:rPr>
      </w:pPr>
      <w:r w:rsidRPr="001011BA">
        <w:rPr>
          <w:b/>
          <w:sz w:val="21"/>
          <w:szCs w:val="21"/>
        </w:rPr>
        <w:t>3.</w:t>
      </w:r>
      <w:r w:rsidR="001011BA" w:rsidRPr="001011BA">
        <w:rPr>
          <w:b/>
          <w:sz w:val="21"/>
          <w:szCs w:val="21"/>
        </w:rPr>
        <w:t xml:space="preserve"> Klausimas d</w:t>
      </w:r>
      <w:r w:rsidRPr="001011BA">
        <w:rPr>
          <w:b/>
          <w:sz w:val="21"/>
          <w:szCs w:val="21"/>
        </w:rPr>
        <w:t>ėl 2.3</w:t>
      </w:r>
      <w:r w:rsidR="00655CD2">
        <w:rPr>
          <w:b/>
          <w:sz w:val="21"/>
          <w:szCs w:val="21"/>
        </w:rPr>
        <w:t>.</w:t>
      </w:r>
      <w:r w:rsidRPr="001011BA">
        <w:rPr>
          <w:b/>
          <w:sz w:val="21"/>
          <w:szCs w:val="21"/>
        </w:rPr>
        <w:t xml:space="preserve"> p.</w:t>
      </w:r>
      <w:r w:rsidR="001011BA" w:rsidRPr="001011BA">
        <w:rPr>
          <w:b/>
          <w:sz w:val="21"/>
          <w:szCs w:val="21"/>
        </w:rPr>
        <w:t xml:space="preserve"> </w:t>
      </w:r>
      <w:r w:rsidRPr="001011BA">
        <w:rPr>
          <w:b/>
          <w:sz w:val="21"/>
          <w:szCs w:val="21"/>
        </w:rPr>
        <w:t>p.:</w:t>
      </w:r>
    </w:p>
    <w:p w:rsidR="002A6BC8" w:rsidRDefault="002A6BC8" w:rsidP="002A6BC8">
      <w:pPr>
        <w:spacing w:after="0" w:line="240" w:lineRule="auto"/>
        <w:rPr>
          <w:sz w:val="21"/>
          <w:szCs w:val="21"/>
        </w:rPr>
      </w:pPr>
      <w:r w:rsidRPr="0043514D">
        <w:rPr>
          <w:sz w:val="21"/>
          <w:szCs w:val="21"/>
        </w:rPr>
        <w:t>Dėl reikalavimo naudoti perkančiosios organizacijos ataskaitos šabloną, ar PO leis siūlyti platformą, kurioje naudojami pažangūs ataskaitų kūrimo įrankiai ir dirbtinio intelekto pagalba kuriamos ataskaitos, pagrįstos pripažintomis analitinėmis sistemomis, su sąlyga, kad galutinis rezultatas atitiks PO keliamus reikalavimus?</w:t>
      </w:r>
    </w:p>
    <w:p w:rsidR="001011BA" w:rsidRPr="001011BA" w:rsidRDefault="001011BA" w:rsidP="002A6BC8">
      <w:pPr>
        <w:spacing w:after="0" w:line="240" w:lineRule="auto"/>
        <w:rPr>
          <w:b/>
          <w:sz w:val="21"/>
          <w:szCs w:val="21"/>
        </w:rPr>
      </w:pPr>
      <w:r>
        <w:rPr>
          <w:b/>
          <w:sz w:val="21"/>
          <w:szCs w:val="21"/>
        </w:rPr>
        <w:t>Atsakymas:</w:t>
      </w:r>
    </w:p>
    <w:p w:rsidR="001011BA" w:rsidRDefault="001011BA" w:rsidP="002A6BC8">
      <w:pPr>
        <w:spacing w:after="0" w:line="240" w:lineRule="auto"/>
        <w:rPr>
          <w:sz w:val="21"/>
          <w:szCs w:val="21"/>
        </w:rPr>
      </w:pPr>
      <w:r>
        <w:rPr>
          <w:sz w:val="21"/>
          <w:szCs w:val="21"/>
        </w:rPr>
        <w:t xml:space="preserve">Šis papunktis </w:t>
      </w:r>
      <w:r w:rsidRPr="0043514D">
        <w:rPr>
          <w:sz w:val="21"/>
          <w:szCs w:val="21"/>
        </w:rPr>
        <w:t xml:space="preserve">apibrėžia, jog specialistas, kuris generuoja ataskaitą platformoje, galėtų užkelti </w:t>
      </w:r>
      <w:r>
        <w:rPr>
          <w:sz w:val="21"/>
          <w:szCs w:val="21"/>
        </w:rPr>
        <w:t>perkančiosios organizacijos</w:t>
      </w:r>
      <w:r w:rsidRPr="0043514D">
        <w:rPr>
          <w:sz w:val="21"/>
          <w:szCs w:val="21"/>
        </w:rPr>
        <w:t xml:space="preserve"> naudojamą ataskaitų šabloną </w:t>
      </w:r>
      <w:r w:rsidRPr="001011BA">
        <w:rPr>
          <w:i/>
          <w:sz w:val="21"/>
          <w:szCs w:val="21"/>
        </w:rPr>
        <w:t>(</w:t>
      </w:r>
      <w:r w:rsidRPr="001011BA">
        <w:rPr>
          <w:i/>
          <w:sz w:val="21"/>
          <w:szCs w:val="21"/>
        </w:rPr>
        <w:t xml:space="preserve">angl. </w:t>
      </w:r>
      <w:proofErr w:type="spellStart"/>
      <w:r w:rsidRPr="001011BA">
        <w:rPr>
          <w:i/>
          <w:sz w:val="21"/>
          <w:szCs w:val="21"/>
        </w:rPr>
        <w:t>template</w:t>
      </w:r>
      <w:proofErr w:type="spellEnd"/>
      <w:r w:rsidRPr="001011BA">
        <w:rPr>
          <w:i/>
          <w:sz w:val="21"/>
          <w:szCs w:val="21"/>
        </w:rPr>
        <w:t>)</w:t>
      </w:r>
      <w:r w:rsidRPr="0043514D">
        <w:rPr>
          <w:sz w:val="21"/>
          <w:szCs w:val="21"/>
        </w:rPr>
        <w:t xml:space="preserve"> su vandens žymėmis </w:t>
      </w:r>
      <w:r w:rsidRPr="001011BA">
        <w:rPr>
          <w:i/>
          <w:sz w:val="21"/>
          <w:szCs w:val="21"/>
        </w:rPr>
        <w:t xml:space="preserve">(angl. </w:t>
      </w:r>
      <w:proofErr w:type="spellStart"/>
      <w:r w:rsidRPr="001011BA">
        <w:rPr>
          <w:i/>
          <w:sz w:val="21"/>
          <w:szCs w:val="21"/>
        </w:rPr>
        <w:t>watermark</w:t>
      </w:r>
      <w:proofErr w:type="spellEnd"/>
      <w:r w:rsidRPr="001011BA">
        <w:rPr>
          <w:i/>
          <w:sz w:val="21"/>
          <w:szCs w:val="21"/>
        </w:rPr>
        <w:t>)</w:t>
      </w:r>
      <w:r w:rsidRPr="0043514D">
        <w:rPr>
          <w:sz w:val="21"/>
          <w:szCs w:val="21"/>
        </w:rPr>
        <w:t xml:space="preserve"> ir stilistika.</w:t>
      </w:r>
    </w:p>
    <w:p w:rsidR="001011BA" w:rsidRDefault="001011BA" w:rsidP="002A6BC8">
      <w:pPr>
        <w:spacing w:after="0" w:line="240" w:lineRule="auto"/>
        <w:rPr>
          <w:sz w:val="21"/>
          <w:szCs w:val="21"/>
        </w:rPr>
      </w:pPr>
    </w:p>
    <w:p w:rsidR="001011BA" w:rsidRDefault="001011BA" w:rsidP="002A6BC8">
      <w:pPr>
        <w:spacing w:after="0" w:line="240" w:lineRule="auto"/>
        <w:rPr>
          <w:sz w:val="21"/>
          <w:szCs w:val="21"/>
        </w:rPr>
      </w:pPr>
    </w:p>
    <w:p w:rsidR="001011BA" w:rsidRDefault="001011BA" w:rsidP="002A6BC8">
      <w:pPr>
        <w:spacing w:after="0" w:line="240" w:lineRule="auto"/>
        <w:rPr>
          <w:sz w:val="21"/>
          <w:szCs w:val="21"/>
        </w:rPr>
      </w:pPr>
    </w:p>
    <w:p w:rsidR="001011BA" w:rsidRDefault="001011BA" w:rsidP="002A6BC8">
      <w:pPr>
        <w:spacing w:after="0" w:line="240" w:lineRule="auto"/>
        <w:rPr>
          <w:sz w:val="21"/>
          <w:szCs w:val="21"/>
        </w:rPr>
      </w:pPr>
    </w:p>
    <w:p w:rsidR="001011BA" w:rsidRDefault="001011BA" w:rsidP="002A6BC8">
      <w:pPr>
        <w:spacing w:after="0" w:line="240" w:lineRule="auto"/>
        <w:rPr>
          <w:sz w:val="21"/>
          <w:szCs w:val="21"/>
        </w:rPr>
      </w:pPr>
    </w:p>
    <w:p w:rsidR="001011BA" w:rsidRDefault="001011BA" w:rsidP="002A6BC8">
      <w:pPr>
        <w:spacing w:after="0" w:line="240" w:lineRule="auto"/>
        <w:rPr>
          <w:sz w:val="21"/>
          <w:szCs w:val="21"/>
        </w:rPr>
      </w:pPr>
    </w:p>
    <w:p w:rsidR="002A6BC8" w:rsidRPr="001011BA" w:rsidRDefault="002A6BC8" w:rsidP="002A6BC8">
      <w:pPr>
        <w:spacing w:after="0" w:line="240" w:lineRule="auto"/>
        <w:rPr>
          <w:b/>
          <w:sz w:val="21"/>
          <w:szCs w:val="21"/>
        </w:rPr>
      </w:pPr>
      <w:r w:rsidRPr="001011BA">
        <w:rPr>
          <w:b/>
          <w:sz w:val="21"/>
          <w:szCs w:val="21"/>
        </w:rPr>
        <w:lastRenderedPageBreak/>
        <w:t>4.</w:t>
      </w:r>
      <w:r w:rsidR="001011BA" w:rsidRPr="001011BA">
        <w:rPr>
          <w:b/>
          <w:sz w:val="21"/>
          <w:szCs w:val="21"/>
        </w:rPr>
        <w:t xml:space="preserve"> Klausimas d</w:t>
      </w:r>
      <w:r w:rsidRPr="001011BA">
        <w:rPr>
          <w:b/>
          <w:sz w:val="21"/>
          <w:szCs w:val="21"/>
        </w:rPr>
        <w:t>ėl 3.16</w:t>
      </w:r>
      <w:r w:rsidR="00655CD2">
        <w:rPr>
          <w:b/>
          <w:sz w:val="21"/>
          <w:szCs w:val="21"/>
        </w:rPr>
        <w:t>.</w:t>
      </w:r>
      <w:r w:rsidRPr="001011BA">
        <w:rPr>
          <w:b/>
          <w:sz w:val="21"/>
          <w:szCs w:val="21"/>
        </w:rPr>
        <w:t xml:space="preserve"> p.</w:t>
      </w:r>
      <w:r w:rsidR="001011BA" w:rsidRPr="001011BA">
        <w:rPr>
          <w:b/>
          <w:sz w:val="21"/>
          <w:szCs w:val="21"/>
        </w:rPr>
        <w:t xml:space="preserve"> </w:t>
      </w:r>
      <w:r w:rsidRPr="001011BA">
        <w:rPr>
          <w:b/>
          <w:sz w:val="21"/>
          <w:szCs w:val="21"/>
        </w:rPr>
        <w:t>p.:</w:t>
      </w:r>
    </w:p>
    <w:p w:rsidR="002A6BC8" w:rsidRPr="0043514D" w:rsidRDefault="002A6BC8" w:rsidP="002A6BC8">
      <w:pPr>
        <w:spacing w:after="0" w:line="240" w:lineRule="auto"/>
        <w:rPr>
          <w:sz w:val="21"/>
          <w:szCs w:val="21"/>
        </w:rPr>
      </w:pPr>
      <w:r w:rsidRPr="0043514D">
        <w:rPr>
          <w:sz w:val="21"/>
          <w:szCs w:val="21"/>
        </w:rPr>
        <w:t>Atsižvelgiant į specialių ataskaitų suvestinių (pažeidžiamumo, operacinės saugos, regioninės, ES/NATO) reikalavimus, ar PO leistų siūlyti platformą, kuri naudoja dinaminį užklausų variklį šioms vizualizacijoms kurti? Toks metodas užtikrina, kad duomenys nebūtų apriboti gamykliniais nustatymais, bet galėtų būti pritaikyti realiuoju laiku prie konkrečių grėsmių konkrečiame regione.</w:t>
      </w:r>
    </w:p>
    <w:p w:rsidR="001011BA" w:rsidRPr="001011BA" w:rsidRDefault="001011BA" w:rsidP="002A6BC8">
      <w:pPr>
        <w:spacing w:after="0" w:line="240" w:lineRule="auto"/>
        <w:rPr>
          <w:b/>
          <w:sz w:val="21"/>
          <w:szCs w:val="21"/>
        </w:rPr>
      </w:pPr>
      <w:r w:rsidRPr="001011BA">
        <w:rPr>
          <w:b/>
          <w:sz w:val="21"/>
          <w:szCs w:val="21"/>
        </w:rPr>
        <w:t>Atsakymas:</w:t>
      </w:r>
    </w:p>
    <w:p w:rsidR="001011BA" w:rsidRDefault="00655CD2" w:rsidP="002A6BC8">
      <w:pPr>
        <w:spacing w:after="0" w:line="240" w:lineRule="auto"/>
        <w:rPr>
          <w:sz w:val="21"/>
          <w:szCs w:val="21"/>
        </w:rPr>
      </w:pPr>
      <w:r>
        <w:rPr>
          <w:sz w:val="21"/>
          <w:szCs w:val="21"/>
        </w:rPr>
        <w:t>Šis p</w:t>
      </w:r>
      <w:r w:rsidR="001011BA">
        <w:rPr>
          <w:sz w:val="21"/>
          <w:szCs w:val="21"/>
        </w:rPr>
        <w:t xml:space="preserve">apunktis </w:t>
      </w:r>
      <w:r w:rsidR="001011BA" w:rsidRPr="0043514D">
        <w:rPr>
          <w:sz w:val="21"/>
          <w:szCs w:val="21"/>
        </w:rPr>
        <w:t>apibrėžia, kad vartotojas turi galėti kurti informac</w:t>
      </w:r>
      <w:r w:rsidR="001011BA">
        <w:rPr>
          <w:sz w:val="21"/>
          <w:szCs w:val="21"/>
        </w:rPr>
        <w:t>inius skydelius savo nuožiūra, t</w:t>
      </w:r>
      <w:r w:rsidR="001011BA" w:rsidRPr="0043514D">
        <w:rPr>
          <w:sz w:val="21"/>
          <w:szCs w:val="21"/>
        </w:rPr>
        <w:t>.</w:t>
      </w:r>
      <w:r w:rsidR="001011BA">
        <w:rPr>
          <w:sz w:val="21"/>
          <w:szCs w:val="21"/>
        </w:rPr>
        <w:t xml:space="preserve"> </w:t>
      </w:r>
      <w:r w:rsidR="001011BA" w:rsidRPr="0043514D">
        <w:rPr>
          <w:sz w:val="21"/>
          <w:szCs w:val="21"/>
        </w:rPr>
        <w:t>y</w:t>
      </w:r>
      <w:r w:rsidR="001011BA">
        <w:rPr>
          <w:sz w:val="21"/>
          <w:szCs w:val="21"/>
        </w:rPr>
        <w:t>.</w:t>
      </w:r>
      <w:r w:rsidR="001011BA" w:rsidRPr="0043514D">
        <w:rPr>
          <w:sz w:val="21"/>
          <w:szCs w:val="21"/>
        </w:rPr>
        <w:t xml:space="preserve"> vartotojas pats apsirašo užklausą, pagal kurią yra sukuriamas toks skydelis, kokio reikia.</w:t>
      </w:r>
    </w:p>
    <w:p w:rsidR="001011BA" w:rsidRDefault="001011BA" w:rsidP="002A6BC8">
      <w:pPr>
        <w:spacing w:after="0" w:line="240" w:lineRule="auto"/>
        <w:rPr>
          <w:sz w:val="21"/>
          <w:szCs w:val="21"/>
        </w:rPr>
      </w:pPr>
    </w:p>
    <w:p w:rsidR="002A6BC8" w:rsidRPr="001011BA" w:rsidRDefault="002A6BC8" w:rsidP="002A6BC8">
      <w:pPr>
        <w:spacing w:after="0" w:line="240" w:lineRule="auto"/>
        <w:rPr>
          <w:b/>
          <w:sz w:val="21"/>
          <w:szCs w:val="21"/>
        </w:rPr>
      </w:pPr>
      <w:r w:rsidRPr="001011BA">
        <w:rPr>
          <w:b/>
          <w:sz w:val="21"/>
          <w:szCs w:val="21"/>
        </w:rPr>
        <w:t>5.</w:t>
      </w:r>
      <w:r w:rsidR="001011BA" w:rsidRPr="001011BA">
        <w:rPr>
          <w:b/>
          <w:sz w:val="21"/>
          <w:szCs w:val="21"/>
        </w:rPr>
        <w:t xml:space="preserve"> Kl</w:t>
      </w:r>
      <w:r w:rsidR="00655CD2">
        <w:rPr>
          <w:b/>
          <w:sz w:val="21"/>
          <w:szCs w:val="21"/>
        </w:rPr>
        <w:t>a</w:t>
      </w:r>
      <w:r w:rsidR="001011BA" w:rsidRPr="001011BA">
        <w:rPr>
          <w:b/>
          <w:sz w:val="21"/>
          <w:szCs w:val="21"/>
        </w:rPr>
        <w:t>usimas d</w:t>
      </w:r>
      <w:r w:rsidRPr="001011BA">
        <w:rPr>
          <w:b/>
          <w:sz w:val="21"/>
          <w:szCs w:val="21"/>
        </w:rPr>
        <w:t>ėl 3.18</w:t>
      </w:r>
      <w:r w:rsidR="00655CD2">
        <w:rPr>
          <w:b/>
          <w:sz w:val="21"/>
          <w:szCs w:val="21"/>
        </w:rPr>
        <w:t>.</w:t>
      </w:r>
      <w:r w:rsidRPr="001011BA">
        <w:rPr>
          <w:b/>
          <w:sz w:val="21"/>
          <w:szCs w:val="21"/>
        </w:rPr>
        <w:t xml:space="preserve"> p.</w:t>
      </w:r>
      <w:r w:rsidR="001011BA" w:rsidRPr="001011BA">
        <w:rPr>
          <w:b/>
          <w:sz w:val="21"/>
          <w:szCs w:val="21"/>
        </w:rPr>
        <w:t xml:space="preserve"> </w:t>
      </w:r>
      <w:r w:rsidRPr="001011BA">
        <w:rPr>
          <w:b/>
          <w:sz w:val="21"/>
          <w:szCs w:val="21"/>
        </w:rPr>
        <w:t>p.:</w:t>
      </w:r>
    </w:p>
    <w:p w:rsidR="002A6BC8" w:rsidRPr="0043514D" w:rsidRDefault="002A6BC8" w:rsidP="002A6BC8">
      <w:pPr>
        <w:spacing w:after="0" w:line="240" w:lineRule="auto"/>
        <w:rPr>
          <w:sz w:val="21"/>
          <w:szCs w:val="21"/>
        </w:rPr>
      </w:pPr>
      <w:r w:rsidRPr="0043514D">
        <w:rPr>
          <w:sz w:val="21"/>
          <w:szCs w:val="21"/>
        </w:rPr>
        <w:t>TS reikalaujama pašalinti visas platformų nuorodas iš ataskaitų. Ar PO galėtų patikslinti, ar tai daroma dėl saugumo priežasčių (anonimiškumo), ar dėl lengvesnės prieigos prie pirminių šaltinių? Ar PO būtų priimtinos ataskaitos, kuriose pateikiamos tiesioginės nuorodos į pirminius išorinius šaltinius, kartu išlaikant neprivalomas platformų nuorodas, kad analitikai galėtų atlikti išsamesnius techninius pakeitimus ir įrodymų tikrinimą naudojant įrankį?</w:t>
      </w:r>
    </w:p>
    <w:p w:rsidR="00655CD2" w:rsidRPr="00655CD2" w:rsidRDefault="00655CD2" w:rsidP="002A6BC8">
      <w:pPr>
        <w:spacing w:after="0" w:line="240" w:lineRule="auto"/>
        <w:rPr>
          <w:b/>
          <w:sz w:val="21"/>
          <w:szCs w:val="21"/>
        </w:rPr>
      </w:pPr>
      <w:r>
        <w:rPr>
          <w:b/>
          <w:sz w:val="21"/>
          <w:szCs w:val="21"/>
        </w:rPr>
        <w:t>Atsakymas:</w:t>
      </w:r>
    </w:p>
    <w:p w:rsidR="00655CD2" w:rsidRDefault="00655CD2" w:rsidP="002A6BC8">
      <w:pPr>
        <w:spacing w:after="0" w:line="240" w:lineRule="auto"/>
        <w:rPr>
          <w:sz w:val="21"/>
          <w:szCs w:val="21"/>
        </w:rPr>
      </w:pPr>
      <w:r w:rsidRPr="0043514D">
        <w:rPr>
          <w:sz w:val="21"/>
          <w:szCs w:val="21"/>
        </w:rPr>
        <w:t xml:space="preserve">Kadangi </w:t>
      </w:r>
      <w:r>
        <w:rPr>
          <w:sz w:val="21"/>
          <w:szCs w:val="21"/>
        </w:rPr>
        <w:t>programinė įranga</w:t>
      </w:r>
      <w:r w:rsidRPr="0043514D">
        <w:rPr>
          <w:sz w:val="21"/>
          <w:szCs w:val="21"/>
        </w:rPr>
        <w:t xml:space="preserve"> naudojama ataskaitų generavimui, kurias teikiame subjektams, nuorodos turi nukreipti į pirminius (originalius) šaltinius. </w:t>
      </w:r>
      <w:r>
        <w:rPr>
          <w:sz w:val="21"/>
          <w:szCs w:val="21"/>
        </w:rPr>
        <w:t>Nurodytame papunktyje reikalavimas</w:t>
      </w:r>
      <w:r w:rsidRPr="0043514D">
        <w:rPr>
          <w:sz w:val="21"/>
          <w:szCs w:val="21"/>
        </w:rPr>
        <w:t xml:space="preserve"> yra skirtas apibrėžti mūsų generuojamų ataskaitų (ne tų, kurios yra platformoje) sąlygai, kad būtų galimybė išlaikyti originalius šaltinius.</w:t>
      </w:r>
    </w:p>
    <w:p w:rsidR="00655CD2" w:rsidRDefault="00655CD2" w:rsidP="002A6BC8">
      <w:pPr>
        <w:spacing w:after="0" w:line="240" w:lineRule="auto"/>
        <w:rPr>
          <w:sz w:val="21"/>
          <w:szCs w:val="21"/>
        </w:rPr>
      </w:pPr>
    </w:p>
    <w:p w:rsidR="002A6BC8" w:rsidRPr="00655CD2" w:rsidRDefault="002A6BC8" w:rsidP="002A6BC8">
      <w:pPr>
        <w:spacing w:after="0" w:line="240" w:lineRule="auto"/>
        <w:rPr>
          <w:b/>
          <w:sz w:val="21"/>
          <w:szCs w:val="21"/>
        </w:rPr>
      </w:pPr>
      <w:r w:rsidRPr="00655CD2">
        <w:rPr>
          <w:b/>
          <w:sz w:val="21"/>
          <w:szCs w:val="21"/>
        </w:rPr>
        <w:t>6.</w:t>
      </w:r>
      <w:r w:rsidR="00655CD2" w:rsidRPr="00655CD2">
        <w:rPr>
          <w:b/>
          <w:sz w:val="21"/>
          <w:szCs w:val="21"/>
        </w:rPr>
        <w:t xml:space="preserve"> Klausimas d</w:t>
      </w:r>
      <w:r w:rsidRPr="00655CD2">
        <w:rPr>
          <w:b/>
          <w:sz w:val="21"/>
          <w:szCs w:val="21"/>
        </w:rPr>
        <w:t>ėl 3.21</w:t>
      </w:r>
      <w:r w:rsidR="00655CD2">
        <w:rPr>
          <w:b/>
          <w:sz w:val="21"/>
          <w:szCs w:val="21"/>
        </w:rPr>
        <w:t>.</w:t>
      </w:r>
      <w:r w:rsidRPr="00655CD2">
        <w:rPr>
          <w:b/>
          <w:sz w:val="21"/>
          <w:szCs w:val="21"/>
        </w:rPr>
        <w:t xml:space="preserve"> p.</w:t>
      </w:r>
      <w:r w:rsidR="00655CD2" w:rsidRPr="00655CD2">
        <w:rPr>
          <w:b/>
          <w:sz w:val="21"/>
          <w:szCs w:val="21"/>
        </w:rPr>
        <w:t xml:space="preserve"> </w:t>
      </w:r>
      <w:r w:rsidRPr="00655CD2">
        <w:rPr>
          <w:b/>
          <w:sz w:val="21"/>
          <w:szCs w:val="21"/>
        </w:rPr>
        <w:t>p.:</w:t>
      </w:r>
    </w:p>
    <w:p w:rsidR="002A6BC8" w:rsidRPr="0043514D" w:rsidRDefault="002A6BC8" w:rsidP="002A6BC8">
      <w:pPr>
        <w:spacing w:after="0" w:line="240" w:lineRule="auto"/>
        <w:rPr>
          <w:sz w:val="21"/>
          <w:szCs w:val="21"/>
        </w:rPr>
      </w:pPr>
      <w:r w:rsidRPr="0043514D">
        <w:rPr>
          <w:sz w:val="21"/>
          <w:szCs w:val="21"/>
        </w:rPr>
        <w:t>Dėl automatinio PDF/CSV ataskaitų įkėlimo: ar Institucija svarstys sprendimą, kuris apdoroja ir praturtina duomenis iš šių failų naudojant naršyklėje integruotą analitinę priemonę? Tai leidžia nedelsiant išgauti ir susieti rodiklius (pažeidžiamumus, veikėjus) tiesiai iš ataskaitos, be administracinių išlaidų, susijusių su rankiniu failų valdymu platformoje.</w:t>
      </w:r>
    </w:p>
    <w:p w:rsidR="002A6BC8" w:rsidRPr="00655CD2" w:rsidRDefault="00655CD2" w:rsidP="002A6BC8">
      <w:pPr>
        <w:spacing w:after="0" w:line="240" w:lineRule="auto"/>
        <w:rPr>
          <w:b/>
          <w:sz w:val="21"/>
          <w:szCs w:val="21"/>
        </w:rPr>
      </w:pPr>
      <w:r>
        <w:rPr>
          <w:b/>
          <w:sz w:val="21"/>
          <w:szCs w:val="21"/>
        </w:rPr>
        <w:t>Atsakymas</w:t>
      </w:r>
    </w:p>
    <w:p w:rsidR="006D4C7F" w:rsidRPr="0043514D" w:rsidRDefault="00655CD2" w:rsidP="002A6BC8">
      <w:pPr>
        <w:spacing w:after="0" w:line="240" w:lineRule="auto"/>
        <w:rPr>
          <w:sz w:val="21"/>
          <w:szCs w:val="21"/>
        </w:rPr>
      </w:pPr>
      <w:r>
        <w:rPr>
          <w:sz w:val="21"/>
          <w:szCs w:val="21"/>
        </w:rPr>
        <w:t>Šio papunkčio reikalavimas</w:t>
      </w:r>
      <w:r w:rsidR="00212CA7" w:rsidRPr="0043514D">
        <w:rPr>
          <w:sz w:val="21"/>
          <w:szCs w:val="21"/>
        </w:rPr>
        <w:t xml:space="preserve"> yra skirtas nurodyti, kad </w:t>
      </w:r>
      <w:r>
        <w:rPr>
          <w:sz w:val="21"/>
          <w:szCs w:val="21"/>
        </w:rPr>
        <w:t>programinė įranga</w:t>
      </w:r>
      <w:r w:rsidR="00212CA7" w:rsidRPr="0043514D">
        <w:rPr>
          <w:sz w:val="21"/>
          <w:szCs w:val="21"/>
        </w:rPr>
        <w:t xml:space="preserve"> kartu turi būti integruota su kibernetinių grėsmių analizės duomenų srautu </w:t>
      </w:r>
      <w:r w:rsidR="00212CA7" w:rsidRPr="00655CD2">
        <w:rPr>
          <w:i/>
          <w:sz w:val="21"/>
          <w:szCs w:val="21"/>
        </w:rPr>
        <w:t xml:space="preserve">(angl. </w:t>
      </w:r>
      <w:proofErr w:type="spellStart"/>
      <w:r w:rsidR="00212CA7" w:rsidRPr="00655CD2">
        <w:rPr>
          <w:i/>
          <w:sz w:val="21"/>
          <w:szCs w:val="21"/>
        </w:rPr>
        <w:t>feed</w:t>
      </w:r>
      <w:proofErr w:type="spellEnd"/>
      <w:r w:rsidR="00212CA7" w:rsidRPr="00655CD2">
        <w:rPr>
          <w:i/>
          <w:sz w:val="21"/>
          <w:szCs w:val="21"/>
        </w:rPr>
        <w:t>)</w:t>
      </w:r>
      <w:r w:rsidR="00212CA7" w:rsidRPr="0043514D">
        <w:rPr>
          <w:sz w:val="21"/>
          <w:szCs w:val="21"/>
        </w:rPr>
        <w:t xml:space="preserve"> ir to srauto funkcionalumas yra išvardintas </w:t>
      </w:r>
      <w:r>
        <w:rPr>
          <w:sz w:val="21"/>
          <w:szCs w:val="21"/>
        </w:rPr>
        <w:t xml:space="preserve">Palyginimų lentelės </w:t>
      </w:r>
      <w:r w:rsidR="00212CA7" w:rsidRPr="0043514D">
        <w:rPr>
          <w:sz w:val="21"/>
          <w:szCs w:val="21"/>
        </w:rPr>
        <w:t xml:space="preserve">3.2.1-3.2.6 </w:t>
      </w:r>
      <w:r>
        <w:rPr>
          <w:sz w:val="21"/>
          <w:szCs w:val="21"/>
        </w:rPr>
        <w:t>papunkčiuose</w:t>
      </w:r>
      <w:bookmarkStart w:id="0" w:name="_GoBack"/>
      <w:bookmarkEnd w:id="0"/>
      <w:r w:rsidR="00EE1382" w:rsidRPr="0043514D">
        <w:rPr>
          <w:sz w:val="21"/>
          <w:szCs w:val="21"/>
        </w:rPr>
        <w:t>.</w:t>
      </w:r>
    </w:p>
    <w:sectPr w:rsidR="006D4C7F" w:rsidRPr="0043514D" w:rsidSect="00132465">
      <w:pgSz w:w="16838" w:h="11906" w:orient="landscape"/>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7CB"/>
    <w:rsid w:val="000608AA"/>
    <w:rsid w:val="001011BA"/>
    <w:rsid w:val="00132465"/>
    <w:rsid w:val="001704F6"/>
    <w:rsid w:val="001E49D5"/>
    <w:rsid w:val="00212CA7"/>
    <w:rsid w:val="002A6BC8"/>
    <w:rsid w:val="0040208A"/>
    <w:rsid w:val="0043514D"/>
    <w:rsid w:val="00655CD2"/>
    <w:rsid w:val="006D4C7F"/>
    <w:rsid w:val="00AA0948"/>
    <w:rsid w:val="00BC77CB"/>
    <w:rsid w:val="00EE13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222D5"/>
  <w15:chartTrackingRefBased/>
  <w15:docId w15:val="{8BA29BB5-8714-4397-9B8F-8ED855132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1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2</Pages>
  <Words>3794</Words>
  <Characters>2164</Characters>
  <DocSecurity>0</DocSecurity>
  <Lines>18</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2026-05-04T04:31:00Z</dcterms:created>
  <dcterms:modified xsi:type="dcterms:W3CDTF">2026-05-07T11:44:00Z</dcterms:modified>
</cp:coreProperties>
</file>