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4631045" w:rsidR="00111C94" w:rsidRPr="00F363F7" w:rsidRDefault="00870E05" w:rsidP="002E3C91">
            <w:pPr>
              <w:jc w:val="both"/>
              <w:rPr>
                <w:i/>
                <w:iCs/>
                <w:kern w:val="2"/>
                <w:szCs w:val="24"/>
              </w:rPr>
            </w:pPr>
            <w:r w:rsidRPr="00870E05">
              <w:rPr>
                <w:bCs/>
                <w:i/>
                <w:iCs/>
                <w:color w:val="000000" w:themeColor="text1"/>
                <w:kern w:val="2"/>
                <w:szCs w:val="24"/>
              </w:rPr>
              <w:t>Realaus laiko pieno analizatoriaus nuom</w:t>
            </w:r>
            <w:r>
              <w:rPr>
                <w:bCs/>
                <w:i/>
                <w:iCs/>
                <w:color w:val="000000" w:themeColor="text1"/>
                <w:kern w:val="2"/>
                <w:szCs w:val="24"/>
              </w:rPr>
              <w:t>os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54B080E7"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002A1A39" w:rsidRPr="002A1A39">
              <w:rPr>
                <w:i/>
                <w:iCs/>
                <w:kern w:val="2"/>
                <w:szCs w:val="24"/>
                <w:highlight w:val="yellow"/>
              </w:rPr>
              <w:t>išnuomoti</w:t>
            </w:r>
            <w:r w:rsidRPr="004C273D">
              <w:rPr>
                <w:kern w:val="2"/>
                <w:szCs w:val="24"/>
                <w:highlight w:val="yellow"/>
              </w:rPr>
              <w:t xml:space="preserve"> Pirkėjui Prekes </w:t>
            </w:r>
            <w:r w:rsidR="00B269FE" w:rsidRPr="004C273D">
              <w:rPr>
                <w:kern w:val="2"/>
                <w:szCs w:val="24"/>
                <w:highlight w:val="yellow"/>
              </w:rPr>
              <w:t xml:space="preserve">– </w:t>
            </w:r>
            <w:r w:rsidR="002A1A39" w:rsidRPr="002A1A39">
              <w:rPr>
                <w:bCs/>
                <w:i/>
                <w:iCs/>
                <w:color w:val="000000" w:themeColor="text1"/>
                <w:kern w:val="2"/>
                <w:szCs w:val="24"/>
                <w:highlight w:val="yellow"/>
              </w:rPr>
              <w:t>Realaus laiko pieno analizatori</w:t>
            </w:r>
            <w:r w:rsidR="002A1A39">
              <w:rPr>
                <w:bCs/>
                <w:i/>
                <w:iCs/>
                <w:color w:val="000000" w:themeColor="text1"/>
                <w:kern w:val="2"/>
                <w:szCs w:val="24"/>
                <w:highlight w:val="yellow"/>
              </w:rPr>
              <w:t>us</w:t>
            </w:r>
            <w:r w:rsidR="00FC1946" w:rsidRPr="002A1A39">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CD6C6D">
              <w:rPr>
                <w:color w:val="000000"/>
                <w:kern w:val="2"/>
                <w:szCs w:val="24"/>
                <w:highlight w:val="yellow"/>
              </w:rPr>
              <w:t>, įskaitant Prekių techninę priežiūrą ir remontą nuomos laikotarpiu</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1A61BCCE" w14:textId="3C1B2825" w:rsidR="002A1A39" w:rsidRDefault="002A1A39" w:rsidP="00A90BFB">
            <w:pPr>
              <w:jc w:val="both"/>
              <w:rPr>
                <w:kern w:val="2"/>
                <w:szCs w:val="24"/>
                <w:highlight w:val="yellow"/>
              </w:rPr>
            </w:pPr>
            <w:r w:rsidRPr="002A1A39">
              <w:rPr>
                <w:kern w:val="2"/>
                <w:szCs w:val="24"/>
                <w:highlight w:val="yellow"/>
              </w:rPr>
              <w:t xml:space="preserve">Bendras Prekių teikimo (nuomos) terminas </w:t>
            </w:r>
            <w:r>
              <w:rPr>
                <w:kern w:val="2"/>
                <w:szCs w:val="24"/>
                <w:highlight w:val="yellow"/>
              </w:rPr>
              <w:t>15</w:t>
            </w:r>
            <w:r w:rsidRPr="002A1A39">
              <w:rPr>
                <w:kern w:val="2"/>
                <w:szCs w:val="24"/>
                <w:highlight w:val="yellow"/>
              </w:rPr>
              <w:t xml:space="preserve"> </w:t>
            </w:r>
            <w:r w:rsidRPr="002A1A39">
              <w:rPr>
                <w:i/>
                <w:iCs/>
                <w:kern w:val="2"/>
                <w:szCs w:val="24"/>
                <w:highlight w:val="yellow"/>
              </w:rPr>
              <w:t>(</w:t>
            </w:r>
            <w:r>
              <w:rPr>
                <w:i/>
                <w:iCs/>
                <w:kern w:val="2"/>
                <w:szCs w:val="24"/>
                <w:highlight w:val="yellow"/>
              </w:rPr>
              <w:t>penkiolika</w:t>
            </w:r>
            <w:r w:rsidRPr="002A1A39">
              <w:rPr>
                <w:i/>
                <w:iCs/>
                <w:kern w:val="2"/>
                <w:szCs w:val="24"/>
                <w:highlight w:val="yellow"/>
              </w:rPr>
              <w:t xml:space="preserve">) </w:t>
            </w:r>
            <w:r w:rsidRPr="002A1A39">
              <w:rPr>
                <w:kern w:val="2"/>
                <w:szCs w:val="24"/>
                <w:highlight w:val="yellow"/>
              </w:rPr>
              <w:t>mėnesi</w:t>
            </w:r>
            <w:r>
              <w:rPr>
                <w:kern w:val="2"/>
                <w:szCs w:val="24"/>
                <w:highlight w:val="yellow"/>
              </w:rPr>
              <w:t>ų</w:t>
            </w:r>
            <w:r w:rsidRPr="002A1A39">
              <w:rPr>
                <w:kern w:val="2"/>
                <w:szCs w:val="24"/>
                <w:highlight w:val="yellow"/>
              </w:rPr>
              <w:t xml:space="preserve"> nuo Sutarties įsigaliojimo dienos.</w:t>
            </w:r>
          </w:p>
          <w:p w14:paraId="7C28BB0F" w14:textId="61A30B0C" w:rsidR="00A90BFB" w:rsidRPr="00A90BFB" w:rsidRDefault="001356F7" w:rsidP="00A90BFB">
            <w:pPr>
              <w:jc w:val="both"/>
              <w:rPr>
                <w:color w:val="000000"/>
                <w:kern w:val="2"/>
                <w:szCs w:val="24"/>
                <w:highlight w:val="yellow"/>
              </w:rPr>
            </w:pPr>
            <w:r w:rsidRPr="001356F7">
              <w:rPr>
                <w:kern w:val="2"/>
                <w:szCs w:val="24"/>
                <w:highlight w:val="yellow"/>
              </w:rPr>
              <w:t xml:space="preserve">Tiekėjas </w:t>
            </w:r>
            <w:r w:rsidR="004A2083">
              <w:rPr>
                <w:kern w:val="2"/>
                <w:szCs w:val="24"/>
                <w:highlight w:val="yellow"/>
              </w:rPr>
              <w:t xml:space="preserve">pagal atskirą užsakymą </w:t>
            </w:r>
            <w:r w:rsidRPr="001356F7">
              <w:rPr>
                <w:kern w:val="2"/>
                <w:szCs w:val="24"/>
                <w:highlight w:val="yellow"/>
              </w:rPr>
              <w:t xml:space="preserve">Prekes įsipareigoja pristatyti </w:t>
            </w:r>
            <w:r w:rsidR="004A2083">
              <w:rPr>
                <w:kern w:val="2"/>
                <w:szCs w:val="24"/>
                <w:highlight w:val="yellow"/>
              </w:rPr>
              <w:t xml:space="preserve">ir perduoti Pirkėjui </w:t>
            </w:r>
            <w:r w:rsidRPr="001356F7">
              <w:rPr>
                <w:b/>
                <w:bCs/>
                <w:kern w:val="2"/>
                <w:szCs w:val="24"/>
                <w:highlight w:val="yellow"/>
              </w:rPr>
              <w:t>ne vėliau kaip per</w:t>
            </w:r>
            <w:r w:rsidRPr="001356F7">
              <w:rPr>
                <w:kern w:val="2"/>
                <w:szCs w:val="24"/>
                <w:highlight w:val="yellow"/>
              </w:rPr>
              <w:t xml:space="preserve"> </w:t>
            </w:r>
            <w:r w:rsidR="001A7BAB">
              <w:rPr>
                <w:kern w:val="2"/>
                <w:szCs w:val="24"/>
                <w:highlight w:val="yellow"/>
              </w:rPr>
              <w:t>15</w:t>
            </w:r>
            <w:r>
              <w:rPr>
                <w:kern w:val="2"/>
                <w:szCs w:val="24"/>
                <w:highlight w:val="yellow"/>
              </w:rPr>
              <w:t xml:space="preserve"> (</w:t>
            </w:r>
            <w:r w:rsidR="001A7BAB">
              <w:rPr>
                <w:i/>
                <w:iCs/>
                <w:kern w:val="2"/>
                <w:szCs w:val="24"/>
                <w:highlight w:val="yellow"/>
              </w:rPr>
              <w:t>penkiolika</w:t>
            </w:r>
            <w:r>
              <w:rPr>
                <w:kern w:val="2"/>
                <w:szCs w:val="24"/>
                <w:highlight w:val="yellow"/>
              </w:rPr>
              <w:t xml:space="preserve">) </w:t>
            </w:r>
            <w:r w:rsidR="001A7BAB">
              <w:rPr>
                <w:kern w:val="2"/>
                <w:szCs w:val="24"/>
                <w:highlight w:val="yellow"/>
              </w:rPr>
              <w:t>darbo dienų</w:t>
            </w:r>
            <w:r w:rsidRPr="001356F7">
              <w:rPr>
                <w:kern w:val="2"/>
                <w:szCs w:val="24"/>
                <w:highlight w:val="yellow"/>
              </w:rPr>
              <w:t xml:space="preserve"> nuo </w:t>
            </w:r>
            <w:r w:rsidR="002A1A39">
              <w:rPr>
                <w:kern w:val="2"/>
                <w:szCs w:val="24"/>
                <w:highlight w:val="yellow"/>
              </w:rPr>
              <w:t>užsakymo pateikimo</w:t>
            </w:r>
            <w:r w:rsidRPr="001356F7">
              <w:rPr>
                <w:kern w:val="2"/>
                <w:szCs w:val="24"/>
                <w:highlight w:val="yellow"/>
              </w:rPr>
              <w:t xml:space="preserve"> dienos adresu:</w:t>
            </w:r>
            <w:r>
              <w:rPr>
                <w:kern w:val="2"/>
                <w:szCs w:val="24"/>
                <w:highlight w:val="yellow"/>
              </w:rPr>
              <w:t xml:space="preserve"> </w:t>
            </w:r>
            <w:r w:rsidR="001A7BAB">
              <w:rPr>
                <w:kern w:val="2"/>
                <w:szCs w:val="24"/>
                <w:highlight w:val="yellow"/>
              </w:rPr>
              <w:t>Tilžės g. 18, Kaunas</w:t>
            </w:r>
            <w:r>
              <w:rPr>
                <w:kern w:val="2"/>
                <w:szCs w:val="24"/>
                <w:highlight w:val="yellow"/>
              </w:rPr>
              <w:t>.</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w:t>
            </w:r>
            <w:r w:rsidRPr="0002471F">
              <w:rPr>
                <w:kern w:val="2"/>
                <w:szCs w:val="24"/>
              </w:rPr>
              <w:lastRenderedPageBreak/>
              <w:t>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71B4D3E" w14:textId="77777777" w:rsidR="007B53A0" w:rsidRPr="007B53A0" w:rsidRDefault="007B53A0" w:rsidP="007B53A0">
            <w:pPr>
              <w:jc w:val="both"/>
              <w:rPr>
                <w:kern w:val="2"/>
                <w:szCs w:val="24"/>
                <w:highlight w:val="yellow"/>
              </w:rPr>
            </w:pPr>
            <w:r w:rsidRPr="007B53A0">
              <w:rPr>
                <w:kern w:val="2"/>
                <w:szCs w:val="24"/>
                <w:highlight w:val="yellow"/>
              </w:rPr>
              <w:t>Prekių garantinis terminas nustatytas Bendrųjų sąlygų 7.1.1 papunktyje</w:t>
            </w:r>
          </w:p>
          <w:p w14:paraId="6AFC934C" w14:textId="428C3007" w:rsidR="000A1BDA" w:rsidRDefault="000A1BDA" w:rsidP="000A1BDA">
            <w:pPr>
              <w:jc w:val="both"/>
              <w:rPr>
                <w:kern w:val="2"/>
                <w:szCs w:val="24"/>
              </w:rPr>
            </w:pP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57F60CC1" w:rsidR="000A1BDA" w:rsidRDefault="007B53A0" w:rsidP="000A1BDA">
            <w:pPr>
              <w:jc w:val="both"/>
            </w:pPr>
            <w:r w:rsidRPr="007B53A0">
              <w:rPr>
                <w:highlight w:val="yellow"/>
              </w:rPr>
              <w:t>Prekių trūkumų nustatymo bei šalinimo tvarka nustatyta Bendrųjų sąlygų 7 skyriuje.</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lastRenderedPageBreak/>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lastRenderedPageBreak/>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0E9F6AD1" w:rsidR="000A1BDA" w:rsidRDefault="00D16E10" w:rsidP="00F86242">
            <w:pPr>
              <w:jc w:val="both"/>
              <w:rPr>
                <w:color w:val="4472C4"/>
                <w:kern w:val="2"/>
                <w:szCs w:val="24"/>
              </w:rPr>
            </w:pPr>
            <w:r>
              <w:rPr>
                <w:color w:val="000000"/>
                <w:kern w:val="2"/>
                <w:szCs w:val="24"/>
              </w:rPr>
              <w:t>Netaikoma</w:t>
            </w:r>
            <w:r w:rsidR="000A1BDA"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lastRenderedPageBreak/>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44A8906F"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D16E10">
              <w:rPr>
                <w:color w:val="000000"/>
                <w:kern w:val="2"/>
                <w:szCs w:val="24"/>
                <w:highlight w:val="yellow"/>
              </w:rPr>
              <w:t>1</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w:t>
            </w:r>
            <w:r w:rsidR="00D16E10">
              <w:rPr>
                <w:i/>
                <w:iCs/>
                <w:color w:val="000000"/>
                <w:kern w:val="2"/>
                <w:szCs w:val="24"/>
                <w:highlight w:val="yellow"/>
              </w:rPr>
              <w:t>tyniolika</w:t>
            </w:r>
            <w:r w:rsidRPr="00243A84">
              <w:rPr>
                <w:color w:val="000000"/>
                <w:kern w:val="2"/>
                <w:szCs w:val="24"/>
                <w:highlight w:val="yellow"/>
              </w:rPr>
              <w:t>) mėnesi</w:t>
            </w:r>
            <w:r w:rsidR="00D16E10">
              <w:rPr>
                <w:color w:val="000000"/>
                <w:kern w:val="2"/>
                <w:szCs w:val="24"/>
              </w:rPr>
              <w:t>ų</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541325AF" w14:textId="411E200C" w:rsidR="000A1BDA" w:rsidRPr="00D16E10"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Pr>
                <w:kern w:val="2"/>
                <w:szCs w:val="24"/>
                <w:highlight w:val="yellow"/>
                <w:shd w:val="clear" w:color="auto" w:fill="FFFFFF"/>
              </w:rPr>
              <w:t>4.</w:t>
            </w:r>
            <w:r w:rsidR="00177BC0">
              <w:rPr>
                <w:kern w:val="2"/>
                <w:szCs w:val="24"/>
                <w:highlight w:val="yellow"/>
                <w:shd w:val="clear" w:color="auto" w:fill="FFFFFF"/>
              </w:rPr>
              <w:t>4.</w:t>
            </w:r>
            <w:r w:rsidR="00AD3EA9">
              <w:rPr>
                <w:kern w:val="2"/>
                <w:szCs w:val="24"/>
                <w:highlight w:val="yellow"/>
                <w:shd w:val="clear" w:color="auto" w:fill="FFFFFF"/>
              </w:rPr>
              <w:t xml:space="preserve">2 </w:t>
            </w:r>
            <w:r w:rsidR="00D16E10">
              <w:rPr>
                <w:kern w:val="2"/>
                <w:szCs w:val="24"/>
                <w:highlight w:val="yellow"/>
                <w:shd w:val="clear" w:color="auto" w:fill="FFFFFF"/>
              </w:rPr>
              <w:t xml:space="preserve">papunkčiu: </w:t>
            </w:r>
            <w:r w:rsidR="00D16E10" w:rsidRPr="00D16E10">
              <w:rPr>
                <w:kern w:val="2"/>
                <w:szCs w:val="24"/>
                <w:highlight w:val="yellow"/>
                <w:shd w:val="clear" w:color="auto" w:fill="FFFFFF"/>
              </w:rPr>
              <w:t>realaus pieno analizatorius yra inovatyvus sprendimas, leidžiantis realiuoju laiku tiksliai nustatyti pieno sudėties ir kokybės parametrus, naudojant pažangius optinius ir spektroskopinius metodus be cheminių reagentų, todėl sumažinamos eksploatacinės sąnaudos ir eliminuojamas pavojingų atliekų susidarymas.</w:t>
            </w:r>
            <w:r w:rsidR="00AD3EA9">
              <w:rPr>
                <w:kern w:val="2"/>
                <w:szCs w:val="24"/>
                <w:highlight w:val="yellow"/>
                <w:shd w:val="clear" w:color="auto" w:fill="FFFFFF"/>
              </w:rPr>
              <w:t xml:space="preserve"> </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2CC0" w14:textId="77777777" w:rsidR="005C56B3" w:rsidRDefault="005C56B3">
      <w:pPr>
        <w:rPr>
          <w:kern w:val="2"/>
          <w:sz w:val="22"/>
          <w:szCs w:val="22"/>
          <w:lang w:val="en-US"/>
        </w:rPr>
      </w:pPr>
      <w:r>
        <w:rPr>
          <w:kern w:val="2"/>
          <w:sz w:val="22"/>
          <w:szCs w:val="22"/>
          <w:lang w:val="en-US"/>
        </w:rPr>
        <w:separator/>
      </w:r>
    </w:p>
  </w:endnote>
  <w:endnote w:type="continuationSeparator" w:id="0">
    <w:p w14:paraId="2014D436" w14:textId="77777777" w:rsidR="005C56B3" w:rsidRDefault="005C56B3">
      <w:pPr>
        <w:rPr>
          <w:kern w:val="2"/>
          <w:sz w:val="22"/>
          <w:szCs w:val="22"/>
          <w:lang w:val="en-US"/>
        </w:rPr>
      </w:pPr>
      <w:r>
        <w:rPr>
          <w:kern w:val="2"/>
          <w:sz w:val="22"/>
          <w:szCs w:val="22"/>
          <w:lang w:val="en-US"/>
        </w:rPr>
        <w:continuationSeparator/>
      </w:r>
    </w:p>
  </w:endnote>
  <w:endnote w:type="continuationNotice" w:id="1">
    <w:p w14:paraId="442E826F" w14:textId="77777777" w:rsidR="005C56B3" w:rsidRDefault="005C56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AE6C" w14:textId="77777777" w:rsidR="005C56B3" w:rsidRDefault="005C56B3">
      <w:pPr>
        <w:rPr>
          <w:kern w:val="2"/>
          <w:sz w:val="22"/>
          <w:szCs w:val="22"/>
          <w:lang w:val="en-US"/>
        </w:rPr>
      </w:pPr>
      <w:r>
        <w:rPr>
          <w:kern w:val="2"/>
          <w:sz w:val="22"/>
          <w:szCs w:val="22"/>
          <w:lang w:val="en-US"/>
        </w:rPr>
        <w:separator/>
      </w:r>
    </w:p>
  </w:footnote>
  <w:footnote w:type="continuationSeparator" w:id="0">
    <w:p w14:paraId="4E227B28" w14:textId="77777777" w:rsidR="005C56B3" w:rsidRDefault="005C56B3">
      <w:pPr>
        <w:rPr>
          <w:kern w:val="2"/>
          <w:sz w:val="22"/>
          <w:szCs w:val="22"/>
          <w:lang w:val="en-US"/>
        </w:rPr>
      </w:pPr>
      <w:r>
        <w:rPr>
          <w:kern w:val="2"/>
          <w:sz w:val="22"/>
          <w:szCs w:val="22"/>
          <w:lang w:val="en-US"/>
        </w:rPr>
        <w:continuationSeparator/>
      </w:r>
    </w:p>
  </w:footnote>
  <w:footnote w:type="continuationNotice" w:id="1">
    <w:p w14:paraId="51E7A209" w14:textId="77777777" w:rsidR="005C56B3" w:rsidRDefault="005C56B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84DD2"/>
    <w:rsid w:val="0009367D"/>
    <w:rsid w:val="000A1BDA"/>
    <w:rsid w:val="000E1176"/>
    <w:rsid w:val="000E21A4"/>
    <w:rsid w:val="00111C94"/>
    <w:rsid w:val="001356F7"/>
    <w:rsid w:val="00156ADD"/>
    <w:rsid w:val="0016675B"/>
    <w:rsid w:val="00177BC0"/>
    <w:rsid w:val="00193C40"/>
    <w:rsid w:val="001A230C"/>
    <w:rsid w:val="001A7BAB"/>
    <w:rsid w:val="001B3447"/>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1A39"/>
    <w:rsid w:val="002A2DFC"/>
    <w:rsid w:val="002A61D6"/>
    <w:rsid w:val="002A6F33"/>
    <w:rsid w:val="002B3CA5"/>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8571D"/>
    <w:rsid w:val="004A2083"/>
    <w:rsid w:val="004A6FB5"/>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C56B3"/>
    <w:rsid w:val="005E0500"/>
    <w:rsid w:val="005F5B23"/>
    <w:rsid w:val="005F7E64"/>
    <w:rsid w:val="006128A4"/>
    <w:rsid w:val="00613853"/>
    <w:rsid w:val="0062790A"/>
    <w:rsid w:val="00636190"/>
    <w:rsid w:val="00646C42"/>
    <w:rsid w:val="00663955"/>
    <w:rsid w:val="00664B7F"/>
    <w:rsid w:val="00665E1B"/>
    <w:rsid w:val="00683588"/>
    <w:rsid w:val="00687356"/>
    <w:rsid w:val="00687518"/>
    <w:rsid w:val="006A62E5"/>
    <w:rsid w:val="006B2884"/>
    <w:rsid w:val="006B711C"/>
    <w:rsid w:val="006C340F"/>
    <w:rsid w:val="006E0A84"/>
    <w:rsid w:val="006F31F7"/>
    <w:rsid w:val="006F775F"/>
    <w:rsid w:val="00722D1A"/>
    <w:rsid w:val="00725CF5"/>
    <w:rsid w:val="00763DE1"/>
    <w:rsid w:val="007708DB"/>
    <w:rsid w:val="00782817"/>
    <w:rsid w:val="00793BE0"/>
    <w:rsid w:val="007B53A0"/>
    <w:rsid w:val="007B7B35"/>
    <w:rsid w:val="007C2BEA"/>
    <w:rsid w:val="007D0CBF"/>
    <w:rsid w:val="007D4FA0"/>
    <w:rsid w:val="007E47CE"/>
    <w:rsid w:val="00801BC8"/>
    <w:rsid w:val="00807670"/>
    <w:rsid w:val="00824685"/>
    <w:rsid w:val="00852644"/>
    <w:rsid w:val="00852AD5"/>
    <w:rsid w:val="008701E3"/>
    <w:rsid w:val="00870E05"/>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D3EA9"/>
    <w:rsid w:val="00AF531A"/>
    <w:rsid w:val="00AF7FFC"/>
    <w:rsid w:val="00B04786"/>
    <w:rsid w:val="00B269FE"/>
    <w:rsid w:val="00B46545"/>
    <w:rsid w:val="00B527D5"/>
    <w:rsid w:val="00B63E30"/>
    <w:rsid w:val="00BC2C36"/>
    <w:rsid w:val="00C15738"/>
    <w:rsid w:val="00C1775A"/>
    <w:rsid w:val="00C238FD"/>
    <w:rsid w:val="00C37B87"/>
    <w:rsid w:val="00C402C2"/>
    <w:rsid w:val="00C54C7E"/>
    <w:rsid w:val="00C81806"/>
    <w:rsid w:val="00C917B3"/>
    <w:rsid w:val="00CA1F36"/>
    <w:rsid w:val="00CB7FD1"/>
    <w:rsid w:val="00CD6C6D"/>
    <w:rsid w:val="00CF4849"/>
    <w:rsid w:val="00D02C7A"/>
    <w:rsid w:val="00D14938"/>
    <w:rsid w:val="00D16058"/>
    <w:rsid w:val="00D16E10"/>
    <w:rsid w:val="00D34F9F"/>
    <w:rsid w:val="00D46AC5"/>
    <w:rsid w:val="00D50104"/>
    <w:rsid w:val="00D57348"/>
    <w:rsid w:val="00D74CF7"/>
    <w:rsid w:val="00D76523"/>
    <w:rsid w:val="00D8017F"/>
    <w:rsid w:val="00D87963"/>
    <w:rsid w:val="00DB3A45"/>
    <w:rsid w:val="00DB5B74"/>
    <w:rsid w:val="00DE0A57"/>
    <w:rsid w:val="00DF3773"/>
    <w:rsid w:val="00E14CEA"/>
    <w:rsid w:val="00E20810"/>
    <w:rsid w:val="00E30F53"/>
    <w:rsid w:val="00E452C2"/>
    <w:rsid w:val="00E47B60"/>
    <w:rsid w:val="00E505C5"/>
    <w:rsid w:val="00E56737"/>
    <w:rsid w:val="00E74456"/>
    <w:rsid w:val="00E74752"/>
    <w:rsid w:val="00E8394F"/>
    <w:rsid w:val="00EA6C40"/>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64448</Words>
  <Characters>36736</Characters>
  <Application>Microsoft Office Word</Application>
  <DocSecurity>0</DocSecurity>
  <Lines>306</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7</cp:revision>
  <dcterms:created xsi:type="dcterms:W3CDTF">2026-05-06T06:19:00Z</dcterms:created>
  <dcterms:modified xsi:type="dcterms:W3CDTF">2026-05-07T11:39:00Z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