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20"/>
        <w:gridCol w:w="3105"/>
        <w:gridCol w:w="2593"/>
        <w:gridCol w:w="93"/>
        <w:gridCol w:w="306"/>
        <w:gridCol w:w="877"/>
        <w:gridCol w:w="93"/>
        <w:gridCol w:w="306"/>
        <w:gridCol w:w="400"/>
        <w:gridCol w:w="2214"/>
        <w:gridCol w:w="454"/>
        <w:gridCol w:w="19"/>
        <w:gridCol w:w="234"/>
        <w:gridCol w:w="454"/>
        <w:gridCol w:w="19"/>
      </w:tblGrid>
      <w:tr w:rsidR="00E37C30" w:rsidRPr="003D580D" w14:paraId="18D008D7" w14:textId="77777777" w:rsidTr="07682D11">
        <w:trPr>
          <w:trHeight w:val="1184"/>
        </w:trPr>
        <w:tc>
          <w:tcPr>
            <w:tcW w:w="277" w:type="dxa"/>
          </w:tcPr>
          <w:p w14:paraId="18D008CE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Hlk163133547"/>
          </w:p>
        </w:tc>
        <w:tc>
          <w:tcPr>
            <w:tcW w:w="20" w:type="dxa"/>
          </w:tcPr>
          <w:p w14:paraId="18D008CF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5" w:type="dxa"/>
          </w:tcPr>
          <w:p w14:paraId="18D008D0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9" w:type="dxa"/>
            <w:gridSpan w:val="4"/>
          </w:tcPr>
          <w:p w14:paraId="18D008D1" w14:textId="5C88F008" w:rsidR="001D1A40" w:rsidRPr="003D580D" w:rsidRDefault="00CC54B2" w:rsidP="00CC54B2">
            <w:pPr>
              <w:pStyle w:val="EmptyCellLayoutStyle"/>
              <w:spacing w:after="0" w:line="240" w:lineRule="auto"/>
              <w:ind w:left="1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80D">
              <w:rPr>
                <w:rFonts w:ascii="Arial" w:hAnsi="Arial" w:cs="Arial"/>
                <w:noProof/>
              </w:rPr>
              <w:drawing>
                <wp:inline distT="0" distB="0" distL="0" distR="0" wp14:anchorId="0C6D4BF6" wp14:editId="5807C2CE">
                  <wp:extent cx="1613640" cy="206023"/>
                  <wp:effectExtent l="0" t="0" r="0" b="0"/>
                  <wp:docPr id="1073741825" name="officeArt object" descr="Via Lietuva Logo - Skaidrus Juoda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Via Lietuva Logo - Skaidrus Juodas.png" descr="Via Lietuva Logo - Skaidrus Juodas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640" cy="20602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008D2" w14:textId="403C6686" w:rsidR="001D1A40" w:rsidRPr="003D580D" w:rsidRDefault="001D1A40" w:rsidP="00E37C3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dxa"/>
          </w:tcPr>
          <w:p w14:paraId="18D008D3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</w:tcPr>
          <w:p w14:paraId="18D008D4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7" w:type="dxa"/>
            <w:gridSpan w:val="3"/>
          </w:tcPr>
          <w:p w14:paraId="18D008D5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gridSpan w:val="3"/>
          </w:tcPr>
          <w:p w14:paraId="18D008D6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C30" w:rsidRPr="003D580D" w14:paraId="18D008E1" w14:textId="77777777" w:rsidTr="07682D11">
        <w:trPr>
          <w:trHeight w:val="40"/>
        </w:trPr>
        <w:tc>
          <w:tcPr>
            <w:tcW w:w="277" w:type="dxa"/>
          </w:tcPr>
          <w:p w14:paraId="18D008D8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" w:type="dxa"/>
          </w:tcPr>
          <w:p w14:paraId="18D008D9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5" w:type="dxa"/>
          </w:tcPr>
          <w:p w14:paraId="18D008DA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9" w:type="dxa"/>
            <w:gridSpan w:val="4"/>
          </w:tcPr>
          <w:p w14:paraId="18D008DB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" w:type="dxa"/>
          </w:tcPr>
          <w:p w14:paraId="18D008DC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dxa"/>
          </w:tcPr>
          <w:p w14:paraId="18D008DD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</w:tcPr>
          <w:p w14:paraId="18D008DE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7" w:type="dxa"/>
            <w:gridSpan w:val="3"/>
          </w:tcPr>
          <w:p w14:paraId="18D008DF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gridSpan w:val="3"/>
          </w:tcPr>
          <w:p w14:paraId="18D008E0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2D19" w:rsidRPr="003D580D" w14:paraId="18D008ED" w14:textId="77777777" w:rsidTr="07682D11">
        <w:trPr>
          <w:gridAfter w:val="1"/>
          <w:wAfter w:w="19" w:type="dxa"/>
          <w:trHeight w:val="735"/>
        </w:trPr>
        <w:tc>
          <w:tcPr>
            <w:tcW w:w="11445" w:type="dxa"/>
            <w:gridSpan w:val="1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24"/>
            </w:tblGrid>
            <w:tr w:rsidR="001D1A40" w:rsidRPr="003D580D" w14:paraId="18D008E3" w14:textId="77777777" w:rsidTr="00816E76">
              <w:trPr>
                <w:trHeight w:val="657"/>
              </w:trPr>
              <w:tc>
                <w:tcPr>
                  <w:tcW w:w="110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78E8" w14:textId="77777777" w:rsidR="00E37C30" w:rsidRPr="003D580D" w:rsidRDefault="00E37C30" w:rsidP="00E37C30">
                  <w:pPr>
                    <w:pStyle w:val="Default"/>
                    <w:spacing w:line="240" w:lineRule="auto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D580D">
                    <w:rPr>
                      <w:b/>
                      <w:bCs/>
                      <w:color w:val="auto"/>
                      <w:sz w:val="24"/>
                      <w:szCs w:val="24"/>
                      <w:highlight w:val="lightGray"/>
                    </w:rPr>
                    <w:t>AKCINĖ BENDROVĖ „VIA LIETUVA“</w:t>
                  </w:r>
                </w:p>
                <w:p w14:paraId="18D008E2" w14:textId="2ADA532C" w:rsidR="001D1A40" w:rsidRPr="003D580D" w:rsidRDefault="001D1A40" w:rsidP="00E37C3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18D008E4" w14:textId="77777777" w:rsidR="001D1A40" w:rsidRPr="003D580D" w:rsidRDefault="001D1A40" w:rsidP="00E37C3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C30" w:rsidRPr="003D580D" w14:paraId="18D008F7" w14:textId="77777777" w:rsidTr="07682D11">
        <w:trPr>
          <w:trHeight w:val="302"/>
        </w:trPr>
        <w:tc>
          <w:tcPr>
            <w:tcW w:w="277" w:type="dxa"/>
          </w:tcPr>
          <w:p w14:paraId="18D008EE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" w:type="dxa"/>
          </w:tcPr>
          <w:p w14:paraId="18D008EF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5" w:type="dxa"/>
          </w:tcPr>
          <w:p w14:paraId="18D008F0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9" w:type="dxa"/>
            <w:gridSpan w:val="4"/>
          </w:tcPr>
          <w:p w14:paraId="18D008F1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" w:type="dxa"/>
          </w:tcPr>
          <w:p w14:paraId="18D008F2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dxa"/>
          </w:tcPr>
          <w:p w14:paraId="18D008F3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</w:tcPr>
          <w:p w14:paraId="18D008F4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7" w:type="dxa"/>
            <w:gridSpan w:val="3"/>
          </w:tcPr>
          <w:p w14:paraId="18D008F5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gridSpan w:val="3"/>
          </w:tcPr>
          <w:p w14:paraId="18D008F6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C30" w:rsidRPr="003D580D" w14:paraId="18D00907" w14:textId="77777777" w:rsidTr="07682D11">
        <w:trPr>
          <w:trHeight w:val="1656"/>
        </w:trPr>
        <w:tc>
          <w:tcPr>
            <w:tcW w:w="277" w:type="dxa"/>
          </w:tcPr>
          <w:p w14:paraId="18D008F8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" w:type="dxa"/>
          </w:tcPr>
          <w:p w14:paraId="18D008F9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5" w:type="dxa"/>
          </w:tcPr>
          <w:p w14:paraId="18D008FA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9" w:type="dxa"/>
            <w:gridSpan w:val="4"/>
          </w:tcPr>
          <w:p w14:paraId="18D008FB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" w:type="dxa"/>
          </w:tcPr>
          <w:p w14:paraId="18D008FC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dxa"/>
          </w:tcPr>
          <w:p w14:paraId="18D008FD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</w:tcPr>
          <w:p w14:paraId="18D008FE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7" w:type="dxa"/>
            <w:gridSpan w:val="3"/>
          </w:tcPr>
          <w:tbl>
            <w:tblPr>
              <w:tblW w:w="289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5"/>
            </w:tblGrid>
            <w:tr w:rsidR="001D1A40" w:rsidRPr="003D580D" w14:paraId="18D00904" w14:textId="77777777" w:rsidTr="00CC54B2">
              <w:trPr>
                <w:trHeight w:val="1578"/>
              </w:trPr>
              <w:tc>
                <w:tcPr>
                  <w:tcW w:w="28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08FF" w14:textId="77777777" w:rsidR="001D1A40" w:rsidRPr="003D580D" w:rsidRDefault="00072D19" w:rsidP="00E37C3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TVIRTINU:</w:t>
                  </w:r>
                </w:p>
                <w:p w14:paraId="18D00903" w14:textId="2BE29611" w:rsidR="001D1A40" w:rsidRPr="003D580D" w:rsidRDefault="00E37C30" w:rsidP="00E37C3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  <w:u w:val="single"/>
                    </w:rPr>
                    <w:t>Martynas Gedaminskas</w:t>
                  </w:r>
                  <w:r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3D580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(Vardas, pavardė, parašas, </w:t>
                  </w:r>
                  <w:r w:rsidR="00072D19" w:rsidRPr="003D580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data)</w:t>
                  </w:r>
                </w:p>
              </w:tc>
            </w:tr>
          </w:tbl>
          <w:p w14:paraId="18D00905" w14:textId="77777777" w:rsidR="001D1A40" w:rsidRPr="003D580D" w:rsidRDefault="001D1A40" w:rsidP="00E37C3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gridSpan w:val="3"/>
          </w:tcPr>
          <w:p w14:paraId="18D00906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C30" w:rsidRPr="003D580D" w14:paraId="18D00911" w14:textId="77777777" w:rsidTr="07682D11">
        <w:trPr>
          <w:trHeight w:val="320"/>
        </w:trPr>
        <w:tc>
          <w:tcPr>
            <w:tcW w:w="277" w:type="dxa"/>
          </w:tcPr>
          <w:p w14:paraId="18D00908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" w:type="dxa"/>
          </w:tcPr>
          <w:p w14:paraId="18D00909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5" w:type="dxa"/>
          </w:tcPr>
          <w:p w14:paraId="18D0090A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9" w:type="dxa"/>
            <w:gridSpan w:val="4"/>
          </w:tcPr>
          <w:p w14:paraId="18D0090B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" w:type="dxa"/>
          </w:tcPr>
          <w:p w14:paraId="18D0090C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dxa"/>
          </w:tcPr>
          <w:p w14:paraId="18D0090D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</w:tcPr>
          <w:p w14:paraId="18D0090E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7" w:type="dxa"/>
            <w:gridSpan w:val="3"/>
          </w:tcPr>
          <w:p w14:paraId="18D0090F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gridSpan w:val="3"/>
          </w:tcPr>
          <w:p w14:paraId="18D00910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2D19" w:rsidRPr="003D580D" w14:paraId="18D0091F" w14:textId="77777777" w:rsidTr="07682D11">
        <w:trPr>
          <w:gridAfter w:val="1"/>
          <w:wAfter w:w="19" w:type="dxa"/>
          <w:trHeight w:val="830"/>
        </w:trPr>
        <w:tc>
          <w:tcPr>
            <w:tcW w:w="11445" w:type="dxa"/>
            <w:gridSpan w:val="1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24"/>
            </w:tblGrid>
            <w:tr w:rsidR="001D1A40" w:rsidRPr="003D580D" w14:paraId="18D00915" w14:textId="77777777" w:rsidTr="00816E76">
              <w:trPr>
                <w:trHeight w:val="752"/>
              </w:trPr>
              <w:tc>
                <w:tcPr>
                  <w:tcW w:w="110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EFA3" w14:textId="77777777" w:rsidR="00684522" w:rsidRPr="003D580D" w:rsidRDefault="00072D19" w:rsidP="00E37C3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3D580D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TECHNINĖ UŽDUOTIS VALSTYBINĖS REIKŠMĖS KELIŲ </w:t>
                  </w:r>
                </w:p>
                <w:p w14:paraId="18D00913" w14:textId="201A33DA" w:rsidR="001D1A40" w:rsidRPr="003D580D" w:rsidRDefault="00072D19" w:rsidP="00E37C3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580D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IR / ARBA JŲ ELEMENTŲ PROJEKTAVIMUI</w:t>
                  </w:r>
                </w:p>
                <w:p w14:paraId="18D00914" w14:textId="77777777" w:rsidR="001D1A40" w:rsidRPr="003D580D" w:rsidRDefault="001D1A40" w:rsidP="00E37C30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8D00916" w14:textId="77777777" w:rsidR="001D1A40" w:rsidRPr="003D580D" w:rsidRDefault="001D1A40" w:rsidP="00E37C3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C30" w:rsidRPr="003D580D" w14:paraId="18D00929" w14:textId="77777777" w:rsidTr="07682D11">
        <w:trPr>
          <w:trHeight w:val="395"/>
        </w:trPr>
        <w:tc>
          <w:tcPr>
            <w:tcW w:w="277" w:type="dxa"/>
          </w:tcPr>
          <w:p w14:paraId="18D00920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" w:type="dxa"/>
          </w:tcPr>
          <w:p w14:paraId="18D00921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5" w:type="dxa"/>
          </w:tcPr>
          <w:p w14:paraId="18D00922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9" w:type="dxa"/>
            <w:gridSpan w:val="4"/>
          </w:tcPr>
          <w:p w14:paraId="18D00923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" w:type="dxa"/>
          </w:tcPr>
          <w:p w14:paraId="18D00924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dxa"/>
          </w:tcPr>
          <w:p w14:paraId="18D00925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</w:tcPr>
          <w:p w14:paraId="18D00926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7" w:type="dxa"/>
            <w:gridSpan w:val="3"/>
          </w:tcPr>
          <w:p w14:paraId="18D00927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gridSpan w:val="3"/>
          </w:tcPr>
          <w:p w14:paraId="18D00928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2D19" w:rsidRPr="003D580D" w14:paraId="18D00947" w14:textId="77777777" w:rsidTr="07682D11">
        <w:trPr>
          <w:gridAfter w:val="1"/>
          <w:wAfter w:w="19" w:type="dxa"/>
        </w:trPr>
        <w:tc>
          <w:tcPr>
            <w:tcW w:w="277" w:type="dxa"/>
          </w:tcPr>
          <w:p w14:paraId="18D0092A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1" w:type="dxa"/>
            <w:gridSpan w:val="1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1"/>
            </w:tblGrid>
            <w:tr w:rsidR="001D1A40" w:rsidRPr="003D580D" w14:paraId="18D0092C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2B" w14:textId="50D2C8C0" w:rsidR="001D1A40" w:rsidRPr="003D580D" w:rsidRDefault="00072D19" w:rsidP="00A4165C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 xml:space="preserve">1. Statytojas: </w:t>
                  </w:r>
                  <w:r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Akcinė bendrovė </w:t>
                  </w:r>
                  <w:r w:rsidR="00A4165C"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„Via Lietuva“</w:t>
                  </w:r>
                  <w:r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  <w:tr w:rsidR="001D1A40" w:rsidRPr="003D580D" w14:paraId="18D0092E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2D" w14:textId="073006BC" w:rsidR="001D1A40" w:rsidRPr="003D580D" w:rsidRDefault="00072D19" w:rsidP="00E37C30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 xml:space="preserve">2. Užsakovas: </w:t>
                  </w:r>
                  <w:r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Akcinė bendrovė </w:t>
                  </w:r>
                  <w:r w:rsidR="00A4165C"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„Via Lietuva“.</w:t>
                  </w:r>
                </w:p>
              </w:tc>
            </w:tr>
            <w:tr w:rsidR="001D1A40" w:rsidRPr="003D580D" w14:paraId="18D00930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2F" w14:textId="52B81270" w:rsidR="001D1A40" w:rsidRPr="003D580D" w:rsidRDefault="0037662A" w:rsidP="00C7063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3</w:t>
                  </w:r>
                  <w:r w:rsidR="00CD7906" w:rsidRPr="003D580D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 xml:space="preserve">. </w:t>
                  </w:r>
                  <w:r w:rsidR="00A4165C" w:rsidRPr="003D580D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 xml:space="preserve">Projekto </w:t>
                  </w:r>
                  <w:r w:rsidR="00072D19" w:rsidRPr="003D580D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 xml:space="preserve">pavadinimas: </w:t>
                  </w:r>
                  <w:r w:rsidR="00072D19"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471543"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Valstybinės reikšmės krašto kelio Nr. 173 Molėtai–Pabradė ruožo nuo 1,880 iki 6,100 km rekonstravimo projektiniai pasiūlymai.</w:t>
                  </w:r>
                </w:p>
              </w:tc>
            </w:tr>
            <w:tr w:rsidR="001D1A40" w:rsidRPr="003D580D" w14:paraId="18D00934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33" w14:textId="2330CCA7" w:rsidR="001D1A40" w:rsidRPr="003D580D" w:rsidRDefault="0037662A" w:rsidP="00E37C30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4</w:t>
                  </w:r>
                  <w:r w:rsidR="00072D19" w:rsidRPr="003D580D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 xml:space="preserve">. Statybos rūšis: </w:t>
                  </w:r>
                  <w:r w:rsidR="00072D19"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F71FD5"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rekonstravimas</w:t>
                  </w:r>
                  <w:r w:rsidR="000C2935"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  <w:tr w:rsidR="001D1A40" w:rsidRPr="003D580D" w14:paraId="18D00936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35" w14:textId="71376E1B" w:rsidR="001D1A40" w:rsidRPr="003D580D" w:rsidRDefault="0037662A" w:rsidP="00E37C30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5</w:t>
                  </w:r>
                  <w:r w:rsidR="00072D19" w:rsidRPr="003D580D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 xml:space="preserve">. Etapas: </w:t>
                  </w:r>
                  <w:r w:rsidR="00072D19"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0C2935"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projektiniai pasiūlymai.</w:t>
                  </w:r>
                </w:p>
              </w:tc>
            </w:tr>
            <w:tr w:rsidR="001D1A40" w:rsidRPr="003D580D" w14:paraId="18D00938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37" w14:textId="587D58F6" w:rsidR="001D1A40" w:rsidRPr="003D580D" w:rsidRDefault="0037662A" w:rsidP="00E37C30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6</w:t>
                  </w:r>
                  <w:r w:rsidR="00072D19" w:rsidRPr="003D580D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 xml:space="preserve">. Statinio kategorija: </w:t>
                  </w:r>
                  <w:r w:rsidR="00072D19"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ypatingasis statinys.</w:t>
                  </w:r>
                </w:p>
              </w:tc>
            </w:tr>
            <w:tr w:rsidR="001D1A40" w:rsidRPr="003D580D" w14:paraId="18D0093A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39" w14:textId="08F29E77" w:rsidR="001D1A40" w:rsidRPr="003D580D" w:rsidRDefault="0037662A" w:rsidP="00E37C30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7</w:t>
                  </w:r>
                  <w:r w:rsidR="00072D19" w:rsidRPr="003D580D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 xml:space="preserve">. Statinio rūšis: </w:t>
                  </w:r>
                  <w:r w:rsidR="00072D19"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inžinerinis statinys.</w:t>
                  </w:r>
                </w:p>
              </w:tc>
            </w:tr>
            <w:tr w:rsidR="001D1A40" w:rsidRPr="003D580D" w14:paraId="18D0093C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3B" w14:textId="05066242" w:rsidR="001D1A40" w:rsidRPr="003D580D" w:rsidRDefault="0037662A" w:rsidP="00E37C30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8</w:t>
                  </w:r>
                  <w:r w:rsidR="00072D19" w:rsidRPr="003D580D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 xml:space="preserve">. Inžinerinių statinių grupė: </w:t>
                  </w:r>
                  <w:r w:rsidR="00072D19"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susisiekimo komunikacijos.</w:t>
                  </w:r>
                </w:p>
              </w:tc>
            </w:tr>
            <w:tr w:rsidR="001D1A40" w:rsidRPr="003D580D" w14:paraId="18D0093E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3D" w14:textId="5828AA3A" w:rsidR="001D1A40" w:rsidRPr="003D580D" w:rsidRDefault="0037662A" w:rsidP="00E37C30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9</w:t>
                  </w:r>
                  <w:r w:rsidR="00072D19" w:rsidRPr="003D580D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 xml:space="preserve">. Inžinerinių statinių pogrupis: </w:t>
                  </w:r>
                  <w:r w:rsidR="00072D19"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 keliai</w:t>
                  </w:r>
                  <w:r w:rsidR="001070B6"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18D0093F" w14:textId="77777777" w:rsidR="001D1A40" w:rsidRPr="003D580D" w:rsidRDefault="001D1A40" w:rsidP="00E37C3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gridSpan w:val="3"/>
          </w:tcPr>
          <w:p w14:paraId="18D00946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2D19" w:rsidRPr="003D580D" w14:paraId="18D00971" w14:textId="77777777" w:rsidTr="07682D11">
        <w:trPr>
          <w:gridAfter w:val="1"/>
          <w:wAfter w:w="19" w:type="dxa"/>
        </w:trPr>
        <w:tc>
          <w:tcPr>
            <w:tcW w:w="277" w:type="dxa"/>
          </w:tcPr>
          <w:p w14:paraId="18D00948" w14:textId="77777777" w:rsidR="001D1A40" w:rsidRPr="003D580D" w:rsidRDefault="001D1A40" w:rsidP="00922889">
            <w:pPr>
              <w:spacing w:after="0" w:line="240" w:lineRule="auto"/>
              <w:ind w:left="720" w:hanging="36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0461" w:type="dxa"/>
            <w:gridSpan w:val="1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1"/>
            </w:tblGrid>
            <w:tr w:rsidR="001D1A40" w:rsidRPr="003D580D" w14:paraId="18D0094A" w14:textId="77777777" w:rsidTr="07682D11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49" w14:textId="1F0DA7DD" w:rsidR="001D1A40" w:rsidRPr="003D580D" w:rsidRDefault="00072D19" w:rsidP="00DC24C4">
                  <w:pPr>
                    <w:spacing w:after="0" w:line="240" w:lineRule="auto"/>
                    <w:ind w:left="395" w:hanging="360"/>
                    <w:jc w:val="both"/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1</w:t>
                  </w:r>
                  <w:r w:rsidR="00BA65C9" w:rsidRPr="003D580D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0</w:t>
                  </w:r>
                  <w:r w:rsidRPr="003D580D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. Nurodymai statinių ir / arba jų elementų projektavimui ir jų techniniai parametrai:</w:t>
                  </w:r>
                </w:p>
              </w:tc>
            </w:tr>
            <w:tr w:rsidR="001D1A40" w:rsidRPr="003D580D" w14:paraId="18D0094C" w14:textId="77777777" w:rsidTr="07682D11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4B" w14:textId="59D1D43D" w:rsidR="001D1A40" w:rsidRPr="003D580D" w:rsidRDefault="00072D19" w:rsidP="00E37C30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1</w:t>
                  </w:r>
                  <w:r w:rsidR="00BA65C9"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0</w:t>
                  </w: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.1. numatoma darbų vykdymo riba:  </w:t>
                  </w:r>
                  <w:r w:rsidR="00DA64DC" w:rsidRPr="003D580D"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  <w:t>k</w:t>
                  </w:r>
                  <w:r w:rsidR="003B4260" w:rsidRPr="003D580D"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  <w:t>elio ruožas nuo 1,880 iki 6,100 km (darbų ribas tikslinti projektavimo metu);</w:t>
                  </w:r>
                </w:p>
              </w:tc>
            </w:tr>
            <w:tr w:rsidR="001D1A40" w:rsidRPr="003D580D" w14:paraId="18D0094E" w14:textId="77777777" w:rsidTr="07682D11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4D" w14:textId="54010924" w:rsidR="001D1A40" w:rsidRPr="003D580D" w:rsidRDefault="00072D19" w:rsidP="00E37C30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1</w:t>
                  </w:r>
                  <w:r w:rsidR="00BA65C9"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0</w:t>
                  </w: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.2. kelio kategorija:  </w:t>
                  </w:r>
                  <w:r w:rsidR="00BE54B1" w:rsidRPr="003D580D"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  <w:t>III;</w:t>
                  </w:r>
                </w:p>
              </w:tc>
            </w:tr>
            <w:tr w:rsidR="001D1A40" w:rsidRPr="003D580D" w14:paraId="18D00950" w14:textId="77777777" w:rsidTr="07682D11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4F" w14:textId="614FB1DF" w:rsidR="001D1A40" w:rsidRPr="003D580D" w:rsidRDefault="002B11A8" w:rsidP="003079AC">
                  <w:pPr>
                    <w:spacing w:after="120" w:line="240" w:lineRule="auto"/>
                    <w:ind w:left="714" w:hanging="357"/>
                    <w:jc w:val="both"/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i/>
                      <w:sz w:val="22"/>
                      <w:szCs w:val="22"/>
                    </w:rPr>
                    <w:t>1</w:t>
                  </w:r>
                  <w:r w:rsidR="00BA65C9" w:rsidRPr="003D580D">
                    <w:rPr>
                      <w:rFonts w:ascii="Arial" w:hAnsi="Arial" w:cs="Arial"/>
                      <w:i/>
                      <w:sz w:val="22"/>
                      <w:szCs w:val="22"/>
                    </w:rPr>
                    <w:t>0</w:t>
                  </w:r>
                  <w:r w:rsidRPr="003D580D">
                    <w:rPr>
                      <w:rFonts w:ascii="Arial" w:hAnsi="Arial" w:cs="Arial"/>
                      <w:i/>
                      <w:sz w:val="22"/>
                      <w:szCs w:val="22"/>
                    </w:rPr>
                    <w:t>.</w:t>
                  </w:r>
                  <w:r w:rsidR="00BA65C9" w:rsidRPr="003D580D">
                    <w:rPr>
                      <w:rFonts w:ascii="Arial" w:hAnsi="Arial" w:cs="Arial"/>
                      <w:i/>
                      <w:sz w:val="22"/>
                      <w:szCs w:val="22"/>
                    </w:rPr>
                    <w:t>3</w:t>
                  </w:r>
                  <w:r w:rsidRPr="003D580D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. </w:t>
                  </w:r>
                  <w:r w:rsidR="002941A3" w:rsidRPr="003D580D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vieno lygio sankryžos:  </w:t>
                  </w:r>
                  <w:r w:rsidR="002941A3" w:rsidRPr="003D580D">
                    <w:rPr>
                      <w:rFonts w:ascii="Arial" w:hAnsi="Arial" w:cs="Arial"/>
                      <w:iCs/>
                      <w:sz w:val="22"/>
                      <w:szCs w:val="22"/>
                    </w:rPr>
                    <w:t>4,419 km sankryžoje su valstybinės reikšmės rajoniniu keliu Nr.</w:t>
                  </w:r>
                  <w:r w:rsidR="00BA65C9" w:rsidRPr="003D580D">
                    <w:rPr>
                      <w:rFonts w:ascii="Arial" w:hAnsi="Arial" w:cs="Arial"/>
                      <w:iCs/>
                      <w:sz w:val="22"/>
                      <w:szCs w:val="22"/>
                    </w:rPr>
                    <w:t> </w:t>
                  </w:r>
                  <w:r w:rsidR="002941A3" w:rsidRPr="003D580D">
                    <w:rPr>
                      <w:rFonts w:ascii="Arial" w:hAnsi="Arial" w:cs="Arial"/>
                      <w:iCs/>
                      <w:sz w:val="22"/>
                      <w:szCs w:val="22"/>
                    </w:rPr>
                    <w:t xml:space="preserve">2810 </w:t>
                  </w:r>
                  <w:proofErr w:type="spellStart"/>
                  <w:r w:rsidR="002941A3" w:rsidRPr="003D580D">
                    <w:rPr>
                      <w:rFonts w:ascii="Arial" w:hAnsi="Arial" w:cs="Arial"/>
                      <w:iCs/>
                      <w:sz w:val="22"/>
                      <w:szCs w:val="22"/>
                    </w:rPr>
                    <w:t>Kirneilė</w:t>
                  </w:r>
                  <w:proofErr w:type="spellEnd"/>
                  <w:r w:rsidR="002941A3" w:rsidRPr="003D580D">
                    <w:rPr>
                      <w:rFonts w:ascii="Arial" w:hAnsi="Arial" w:cs="Arial"/>
                      <w:iCs/>
                      <w:sz w:val="22"/>
                      <w:szCs w:val="22"/>
                    </w:rPr>
                    <w:t>–</w:t>
                  </w:r>
                  <w:proofErr w:type="spellStart"/>
                  <w:r w:rsidR="002941A3" w:rsidRPr="003D580D">
                    <w:rPr>
                      <w:rFonts w:ascii="Arial" w:hAnsi="Arial" w:cs="Arial"/>
                      <w:iCs/>
                      <w:sz w:val="22"/>
                      <w:szCs w:val="22"/>
                    </w:rPr>
                    <w:t>Pagaluonė</w:t>
                  </w:r>
                  <w:proofErr w:type="spellEnd"/>
                  <w:r w:rsidR="002941A3" w:rsidRPr="003D580D">
                    <w:rPr>
                      <w:rFonts w:ascii="Arial" w:hAnsi="Arial" w:cs="Arial"/>
                      <w:iCs/>
                      <w:sz w:val="22"/>
                      <w:szCs w:val="22"/>
                    </w:rPr>
                    <w:t>–</w:t>
                  </w:r>
                  <w:proofErr w:type="spellStart"/>
                  <w:r w:rsidR="002941A3" w:rsidRPr="003D580D">
                    <w:rPr>
                      <w:rFonts w:ascii="Arial" w:hAnsi="Arial" w:cs="Arial"/>
                      <w:iCs/>
                      <w:sz w:val="22"/>
                      <w:szCs w:val="22"/>
                    </w:rPr>
                    <w:t>Gačkiškiai</w:t>
                  </w:r>
                  <w:proofErr w:type="spellEnd"/>
                  <w:r w:rsidR="002941A3" w:rsidRPr="003D580D">
                    <w:rPr>
                      <w:rFonts w:ascii="Arial" w:hAnsi="Arial" w:cs="Arial"/>
                      <w:iCs/>
                      <w:sz w:val="22"/>
                      <w:szCs w:val="22"/>
                    </w:rPr>
                    <w:t>, rengiant projektinius sprendinius pateikti ne mažiau kaip 2 galimus sankryžos sutvarkymo variantus, atsižvelgiant į esamus ir perspektyvinius eismo srautus, gretimų sklypų ribas bei nurodant kiekvieno siūlomo varianto privalumus bei trūkumus;</w:t>
                  </w:r>
                </w:p>
              </w:tc>
            </w:tr>
            <w:tr w:rsidR="001D1A40" w:rsidRPr="003D580D" w14:paraId="18D00954" w14:textId="77777777" w:rsidTr="07682D11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5049EF" w14:textId="3A58DD40" w:rsidR="001D1A40" w:rsidRPr="003D580D" w:rsidRDefault="00072D19" w:rsidP="007577CF">
                  <w:pPr>
                    <w:spacing w:after="0" w:line="240" w:lineRule="auto"/>
                    <w:ind w:left="714" w:hanging="357"/>
                    <w:jc w:val="both"/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lastRenderedPageBreak/>
                    <w:t>1</w:t>
                  </w:r>
                  <w:r w:rsidR="0028212D" w:rsidRPr="003D580D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0</w:t>
                  </w:r>
                  <w:r w:rsidRPr="003D580D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.</w:t>
                  </w:r>
                  <w:r w:rsidR="0028212D" w:rsidRPr="003D580D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4</w:t>
                  </w:r>
                  <w:r w:rsidRPr="003D580D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. dangos konstrukcijos klasė:  </w:t>
                  </w:r>
                  <w:r w:rsidRPr="003D580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projektuoti pagal Automobilių kelių standartizuotų dangų konstrukcijų projektavimo taisykles KPT SDK 19</w:t>
                  </w:r>
                  <w:r w:rsidR="004463CF" w:rsidRPr="003D580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  <w:r w:rsidR="00E43A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Taip pat įvertinti pridedam</w:t>
                  </w:r>
                  <w:r w:rsidR="00E7363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am</w:t>
                  </w:r>
                  <w:r w:rsidR="00E43A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 rašte pateikt</w:t>
                  </w:r>
                  <w:r w:rsidR="00490F2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ą</w:t>
                  </w:r>
                  <w:r w:rsidR="00E43A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490F2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informaciją.</w:t>
                  </w:r>
                  <w:r w:rsidR="00E43AE6" w:rsidRPr="003D580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4463CF" w:rsidRPr="003D580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Pateikti detalius dangos konstrukcijos skaičiavimus su trimis skirtingais eismo intensyvumo prieaugiais (vadovaujantis bent pastarųjų dešimties metų eismo tendencijomis)</w:t>
                  </w:r>
                  <w:r w:rsidR="00E43A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</w:t>
                  </w:r>
                  <w:r w:rsidR="5E1DA91A" w:rsidRPr="003D580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;</w:t>
                  </w:r>
                </w:p>
                <w:p w14:paraId="18D00953" w14:textId="2D22ACD5" w:rsidR="007A20D1" w:rsidRPr="003D580D" w:rsidRDefault="007A20D1" w:rsidP="007577CF">
                  <w:pPr>
                    <w:spacing w:before="120" w:after="0" w:line="240" w:lineRule="auto"/>
                    <w:ind w:left="714" w:hanging="357"/>
                    <w:jc w:val="both"/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1</w:t>
                  </w:r>
                  <w:r w:rsidR="00BC61B6"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0</w:t>
                  </w: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.</w:t>
                  </w:r>
                  <w:r w:rsidR="00BC61B6"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5</w:t>
                  </w: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. nuovažų skaičius:  </w:t>
                  </w:r>
                  <w:r w:rsidRPr="003D580D"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  <w:t>nustatoma projektavimo metu;</w:t>
                  </w:r>
                </w:p>
              </w:tc>
            </w:tr>
            <w:tr w:rsidR="001D1A40" w:rsidRPr="003D580D" w14:paraId="18D00956" w14:textId="77777777" w:rsidTr="07682D11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55" w14:textId="6897AC9B" w:rsidR="001D1A40" w:rsidRPr="003D580D" w:rsidRDefault="00072D19" w:rsidP="00E37C30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1</w:t>
                  </w:r>
                  <w:r w:rsidR="00BC61B6"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0</w:t>
                  </w: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.</w:t>
                  </w:r>
                  <w:r w:rsidR="00BC61B6"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6</w:t>
                  </w: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. numatomi / rekonstruojami inžineriniai tinklai:  </w:t>
                  </w:r>
                  <w:r w:rsidRPr="003D580D"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  <w:t>nustatoma projektavimo metu;</w:t>
                  </w:r>
                </w:p>
              </w:tc>
            </w:tr>
            <w:tr w:rsidR="001D1A40" w:rsidRPr="003D580D" w14:paraId="18D00958" w14:textId="77777777" w:rsidTr="07682D11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4D0DA6" w14:textId="77777777" w:rsidR="001D1A40" w:rsidRDefault="00072D19" w:rsidP="007577CF">
                  <w:pPr>
                    <w:spacing w:after="120" w:line="240" w:lineRule="auto"/>
                    <w:ind w:left="714" w:hanging="357"/>
                    <w:jc w:val="both"/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1</w:t>
                  </w:r>
                  <w:r w:rsidR="003D580D"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0</w:t>
                  </w: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.</w:t>
                  </w:r>
                  <w:r w:rsidR="003D580D"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7</w:t>
                  </w: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. vandens pralaidos:  </w:t>
                  </w:r>
                  <w:r w:rsidR="007A20D1" w:rsidRPr="00F41BBF"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  <w:t>nustatoma projektavimo metu (neprojektuoti pralaidų už kelio sklypo / statinio ribos);</w:t>
                  </w:r>
                </w:p>
                <w:p w14:paraId="18D00957" w14:textId="087817E3" w:rsidR="00855C09" w:rsidRPr="003D580D" w:rsidRDefault="00855C09" w:rsidP="00E37C30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10.</w:t>
                  </w:r>
                  <w:r w:rsidR="00AF6D7B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8 </w:t>
                  </w:r>
                  <w:r w:rsidRPr="00855C09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vandens nuleidimas nuo kelio:  </w:t>
                  </w:r>
                  <w:r w:rsidR="00AF6D7B" w:rsidRPr="00AF6D7B"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  <w:t>s</w:t>
                  </w:r>
                  <w:r w:rsidRPr="00AF6D7B"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  <w:t>pręsti lietaus vandens surinkimą ir nuvedimą projektavimo metu (neprojektuoti lietaus vandens nuvedimo į privačias teritorijas);</w:t>
                  </w:r>
                </w:p>
              </w:tc>
            </w:tr>
            <w:tr w:rsidR="00B8168D" w:rsidRPr="003D580D" w14:paraId="18D0095C" w14:textId="77777777" w:rsidTr="07682D11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5B" w14:textId="26807B24" w:rsidR="00B8168D" w:rsidRPr="003D580D" w:rsidRDefault="00B8168D" w:rsidP="00B8168D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1</w:t>
                  </w:r>
                  <w:r w:rsidR="003D580D"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0</w:t>
                  </w: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.</w:t>
                  </w:r>
                  <w:r w:rsidR="008B39A6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9</w:t>
                  </w: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. pėsčiųjų perėjimo per kelią organizavimo priemonės vieta:  </w:t>
                  </w:r>
                  <w:r w:rsidR="008B39A6" w:rsidRPr="008B39A6"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  <w:t>poreikį nustatyti projektavimo metu, vadovaujantis Pėsčiųjų perėjimo per kelius ir gatves organizavimo taisyklėmis;</w:t>
                  </w:r>
                </w:p>
              </w:tc>
            </w:tr>
            <w:tr w:rsidR="00B8168D" w:rsidRPr="003D580D" w14:paraId="18D00966" w14:textId="77777777" w:rsidTr="07682D11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EE4C11" w14:textId="2B20A764" w:rsidR="00B8168D" w:rsidRDefault="00B8168D" w:rsidP="00E74B41">
                  <w:pPr>
                    <w:spacing w:after="120" w:line="240" w:lineRule="auto"/>
                    <w:ind w:left="714" w:hanging="357"/>
                    <w:jc w:val="both"/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1</w:t>
                  </w:r>
                  <w:r w:rsidR="003D580D"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0</w:t>
                  </w: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.</w:t>
                  </w:r>
                  <w:r w:rsidR="003D580D"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10</w:t>
                  </w: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. inžinerinės eismo saugos priemonės:  </w:t>
                  </w:r>
                  <w:r w:rsidRPr="0033406D"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  <w:t>poreikį nustatyti projektavimo metu, vadovaujantis Inžinerinių eismo</w:t>
                  </w:r>
                  <w:r w:rsidR="00EE6875" w:rsidRPr="0033406D"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  <w:t xml:space="preserve"> saugumo</w:t>
                  </w:r>
                  <w:r w:rsidRPr="0033406D"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  <w:t xml:space="preserve"> priemonių </w:t>
                  </w:r>
                  <w:r w:rsidR="00EE6875" w:rsidRPr="0033406D"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  <w:t>įgyvendinimo</w:t>
                  </w:r>
                  <w:r w:rsidRPr="0033406D"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  <w:t xml:space="preserve"> rekomendacijomis;</w:t>
                  </w:r>
                </w:p>
                <w:p w14:paraId="7F249404" w14:textId="4507AE44" w:rsidR="008B39A6" w:rsidRPr="00274DC6" w:rsidRDefault="00274DC6" w:rsidP="00B8168D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</w:pPr>
                  <w:r w:rsidRPr="00274DC6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0.11</w:t>
                  </w:r>
                  <w:r w:rsidRPr="00274DC6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. autobusų sustojimo aikštelių skaičius:  </w:t>
                  </w:r>
                  <w:r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  <w:t>e</w:t>
                  </w:r>
                  <w:r w:rsidRPr="00274DC6"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  <w:t>samos 4 (keturios), tikslinti projektavimo metu;</w:t>
                  </w:r>
                </w:p>
                <w:p w14:paraId="5C960AE4" w14:textId="1DECC475" w:rsidR="00F97A20" w:rsidRPr="003D580D" w:rsidRDefault="008E27F5" w:rsidP="00414D6F">
                  <w:pPr>
                    <w:spacing w:before="120" w:after="0" w:line="240" w:lineRule="auto"/>
                    <w:ind w:left="714" w:hanging="357"/>
                    <w:jc w:val="both"/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10.1</w:t>
                  </w:r>
                  <w:r w:rsidR="00274DC6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2</w:t>
                  </w: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. triukšmo mažinimo priemonės:  </w:t>
                  </w:r>
                  <w:r w:rsidR="0033406D"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  <w:t>p</w:t>
                  </w:r>
                  <w:r w:rsidRPr="0033406D"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  <w:t>oreikį nustatyti projektavimo metu, vadovaujantis Lietuvos Respublikos susisiekimo ministro 2018-06-21 įsakymu Nr. 3-300 patvirtinto Valstybinės reikšmės nepagrindiniuose kelių ruožuose, kurie yra ne aglomeracijose, kelių transporto keliamo triukšmo mažinimo priemonių taikymo reikalavimų aprašo reikalavimais;</w:t>
                  </w:r>
                </w:p>
                <w:p w14:paraId="18D00965" w14:textId="7953244F" w:rsidR="00B8168D" w:rsidRPr="003D580D" w:rsidRDefault="00922889" w:rsidP="00E74B41">
                  <w:pPr>
                    <w:spacing w:before="120" w:after="0" w:line="240" w:lineRule="auto"/>
                    <w:ind w:left="714" w:hanging="357"/>
                    <w:jc w:val="both"/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1</w:t>
                  </w:r>
                  <w:r w:rsidR="003D580D"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0</w:t>
                  </w: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.1</w:t>
                  </w:r>
                  <w:r w:rsidR="00274DC6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3</w:t>
                  </w: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. kiti reikalavimai: </w:t>
                  </w:r>
                  <w:r w:rsidR="005E658A" w:rsidRPr="003D580D"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  <w:t>projektiniai sprendiniai turi būti suderinti ir sklandžiai suvesti su lygiagrečiai reng</w:t>
                  </w:r>
                  <w:r w:rsidR="008E4B22" w:rsidRPr="003D580D"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  <w:t>iamu</w:t>
                  </w:r>
                  <w:r w:rsidR="005E658A" w:rsidRPr="003D580D"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  <w:t xml:space="preserve"> techniniu darbo projektu „Kelio </w:t>
                  </w:r>
                  <w:r w:rsidR="00607853" w:rsidRPr="003D580D"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  <w:t xml:space="preserve">Nr. 173 Molėtai–Pabradė ruožo nuo </w:t>
                  </w:r>
                  <w:r w:rsidR="00886A1E" w:rsidRPr="003D580D"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  <w:t>6,100</w:t>
                  </w:r>
                  <w:r w:rsidR="00607853" w:rsidRPr="003D580D"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  <w:t xml:space="preserve"> iki </w:t>
                  </w:r>
                  <w:r w:rsidR="00804E82" w:rsidRPr="003D580D"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  <w:t>10,985</w:t>
                  </w:r>
                  <w:r w:rsidR="00607853" w:rsidRPr="003D580D"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  <w:t xml:space="preserve"> km rekonstravimas</w:t>
                  </w:r>
                  <w:r w:rsidR="005E658A" w:rsidRPr="003D580D"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  <w:t>“.</w:t>
                  </w:r>
                </w:p>
              </w:tc>
            </w:tr>
          </w:tbl>
          <w:p w14:paraId="18D00969" w14:textId="77777777" w:rsidR="001D1A40" w:rsidRPr="003D580D" w:rsidRDefault="001D1A40" w:rsidP="00922889">
            <w:pPr>
              <w:spacing w:after="0" w:line="240" w:lineRule="auto"/>
              <w:ind w:left="720" w:hanging="36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3"/>
          </w:tcPr>
          <w:p w14:paraId="18D00970" w14:textId="77777777" w:rsidR="001D1A40" w:rsidRPr="003D580D" w:rsidRDefault="001D1A40" w:rsidP="00922889">
            <w:pPr>
              <w:spacing w:after="0" w:line="240" w:lineRule="auto"/>
              <w:ind w:left="720" w:hanging="36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072D19" w:rsidRPr="003D580D" w14:paraId="18D00985" w14:textId="77777777" w:rsidTr="07682D11">
        <w:trPr>
          <w:gridAfter w:val="1"/>
          <w:wAfter w:w="19" w:type="dxa"/>
        </w:trPr>
        <w:tc>
          <w:tcPr>
            <w:tcW w:w="277" w:type="dxa"/>
          </w:tcPr>
          <w:p w14:paraId="18D00972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1" w:type="dxa"/>
            <w:gridSpan w:val="1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1"/>
            </w:tblGrid>
            <w:tr w:rsidR="001D1A40" w:rsidRPr="003D580D" w14:paraId="18D00974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73" w14:textId="04BCF904" w:rsidR="001D1A40" w:rsidRPr="003D580D" w:rsidRDefault="00072D19" w:rsidP="00E37C30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1</w:t>
                  </w:r>
                  <w:r w:rsidR="007577CF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1</w:t>
                  </w:r>
                  <w:r w:rsidRPr="003D580D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. Projektuojant vadovautis šiais dokumentais:</w:t>
                  </w:r>
                </w:p>
              </w:tc>
            </w:tr>
            <w:tr w:rsidR="001D1A40" w:rsidRPr="003D580D" w14:paraId="18D00976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75" w14:textId="6AAFC292" w:rsidR="001D1A40" w:rsidRPr="003D580D" w:rsidRDefault="00072D19" w:rsidP="00E37C30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1</w:t>
                  </w:r>
                  <w:r w:rsidR="007577CF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1</w:t>
                  </w: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.1. </w:t>
                  </w:r>
                  <w:r w:rsidR="00202CD2"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Lietuvos Respublikos Kelių įstatymu, Lietuvos Respublikos Statybos įstatymu, kelių techniniu reglamentu, statybos techniniais reglamentais, higienos normomis, kitais poįstatyminiais teisės aktais:  </w:t>
                  </w: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: </w:t>
                  </w:r>
                  <w:r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taip;</w:t>
                  </w:r>
                </w:p>
              </w:tc>
            </w:tr>
            <w:tr w:rsidR="001D1A40" w:rsidRPr="003D580D" w14:paraId="18D00978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77" w14:textId="67671672" w:rsidR="001D1A40" w:rsidRPr="003D580D" w:rsidRDefault="00072D19" w:rsidP="00E37C30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1</w:t>
                  </w:r>
                  <w:r w:rsidR="007577CF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1</w:t>
                  </w: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.2. </w:t>
                  </w:r>
                  <w:r w:rsidR="00202CD2"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kitais galiojančiais įstatymais, teisės aktais ir normatyviniais statybos techniniais dokumentais, įskaitant, bet neapsiribojant, nurodytais Akcinės bendrovės „Via Lietuva“ interneto svetainėje adresu https://vialietuva.lt/normatyviniai-dokumentai</w:t>
                  </w: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: </w:t>
                  </w:r>
                  <w:r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taip;</w:t>
                  </w:r>
                </w:p>
              </w:tc>
            </w:tr>
            <w:tr w:rsidR="001D1A40" w:rsidRPr="003D580D" w14:paraId="18D0097A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79" w14:textId="1D8D120B" w:rsidR="001D1A40" w:rsidRPr="003D580D" w:rsidRDefault="00072D19" w:rsidP="00E37C30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1</w:t>
                  </w:r>
                  <w:r w:rsidR="007577CF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1</w:t>
                  </w: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.3. projekto rengimo dokumentais: </w:t>
                  </w:r>
                  <w:r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taip;</w:t>
                  </w:r>
                </w:p>
              </w:tc>
            </w:tr>
            <w:tr w:rsidR="001D1A40" w:rsidRPr="003D580D" w14:paraId="18D0097C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7B" w14:textId="5B8F487C" w:rsidR="001D1A40" w:rsidRPr="003D580D" w:rsidRDefault="00072D19" w:rsidP="00E37C30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1</w:t>
                  </w:r>
                  <w:r w:rsidR="007577CF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1</w:t>
                  </w:r>
                  <w:r w:rsidRPr="003D58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.4. prisijungimo sąlygomis: </w:t>
                  </w:r>
                  <w:r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taip.</w:t>
                  </w:r>
                </w:p>
              </w:tc>
            </w:tr>
          </w:tbl>
          <w:p w14:paraId="18D0097D" w14:textId="77777777" w:rsidR="001D1A40" w:rsidRPr="003D580D" w:rsidRDefault="001D1A40" w:rsidP="00E37C3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gridSpan w:val="3"/>
          </w:tcPr>
          <w:p w14:paraId="18D00984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2D19" w:rsidRPr="003D580D" w14:paraId="18D00999" w14:textId="77777777" w:rsidTr="07682D11">
        <w:trPr>
          <w:gridAfter w:val="1"/>
          <w:wAfter w:w="19" w:type="dxa"/>
        </w:trPr>
        <w:tc>
          <w:tcPr>
            <w:tcW w:w="277" w:type="dxa"/>
          </w:tcPr>
          <w:p w14:paraId="18D00986" w14:textId="44F36CFC" w:rsidR="001D1A40" w:rsidRPr="003D580D" w:rsidRDefault="003422C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D580D">
              <w:rPr>
                <w:rFonts w:ascii="Arial" w:hAnsi="Arial" w:cs="Arial"/>
                <w:sz w:val="20"/>
              </w:rPr>
              <w:br w:type="page"/>
            </w:r>
          </w:p>
        </w:tc>
        <w:tc>
          <w:tcPr>
            <w:tcW w:w="20" w:type="dxa"/>
          </w:tcPr>
          <w:p w14:paraId="18D00987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41" w:type="dxa"/>
            <w:gridSpan w:val="1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1"/>
            </w:tblGrid>
            <w:tr w:rsidR="001D1A40" w:rsidRPr="003D580D" w14:paraId="18D00989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88" w14:textId="684F67EE" w:rsidR="001D1A40" w:rsidRPr="003D580D" w:rsidRDefault="00072D19" w:rsidP="00E37C30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1</w:t>
                  </w:r>
                  <w:r w:rsidR="007E5F50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2</w:t>
                  </w:r>
                  <w:r w:rsidRPr="003D580D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 xml:space="preserve">. Finansavimo šaltinis: </w:t>
                  </w:r>
                  <w:r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 </w:t>
                  </w:r>
                  <w:r w:rsidR="00945AFB"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k</w:t>
                  </w:r>
                  <w:r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elių priežiūros ir plėtros programos lėšos.</w:t>
                  </w:r>
                </w:p>
              </w:tc>
            </w:tr>
            <w:tr w:rsidR="001D1A40" w:rsidRPr="003D580D" w14:paraId="18D0098B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8A" w14:textId="101D32D8" w:rsidR="001D1A40" w:rsidRPr="003D580D" w:rsidRDefault="00072D19" w:rsidP="00E37C30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1</w:t>
                  </w:r>
                  <w:r w:rsidR="007E5F50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3</w:t>
                  </w:r>
                  <w:r w:rsidRPr="003D580D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 xml:space="preserve">. Projekto apimtis: </w:t>
                  </w:r>
                  <w:r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pagal STR 1.04.04:2017 „Statinio projektavimas, projekto ekspertizė“.</w:t>
                  </w:r>
                </w:p>
              </w:tc>
            </w:tr>
            <w:tr w:rsidR="001D1A40" w:rsidRPr="003D580D" w14:paraId="18D0098D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6F210BB1" w14:textId="2D4E6BB3" w:rsidR="001D1A40" w:rsidRPr="003D580D" w:rsidRDefault="00072D19" w:rsidP="00E37C30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1</w:t>
                  </w:r>
                  <w:r w:rsidR="007E5F50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4</w:t>
                  </w:r>
                  <w:r w:rsidRPr="003D580D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 xml:space="preserve">. Papildomos paslaugos (paslaugos, deleguotos Statytojo projektuotojui): </w:t>
                  </w:r>
                  <w:r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atlikti </w:t>
                  </w:r>
                  <w:r w:rsidR="00B37F62"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kitas papildomas paslaugas kaip tai numato Techninė specifikacija ir Sutarties sąlygos.</w:t>
                  </w:r>
                </w:p>
                <w:p w14:paraId="18D0098C" w14:textId="2D54EC91" w:rsidR="003422C0" w:rsidRPr="003D580D" w:rsidRDefault="003422C0" w:rsidP="00E37C30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D1A40" w:rsidRPr="003D580D" w14:paraId="18D0098F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2244DDD5" w14:textId="28183C2D" w:rsidR="001D1A40" w:rsidRPr="003D580D" w:rsidRDefault="00072D19" w:rsidP="00C27A9A">
                  <w:pPr>
                    <w:spacing w:after="60" w:line="24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="007E5F50">
                    <w:rPr>
                      <w:rFonts w:ascii="Arial" w:hAnsi="Arial" w:cs="Arial"/>
                      <w:b/>
                      <w:sz w:val="22"/>
                      <w:szCs w:val="22"/>
                    </w:rPr>
                    <w:t>5</w:t>
                  </w:r>
                  <w:r w:rsidRPr="003D580D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. Su šia užduotimi pateikiami Statytojo privalomieji ir kiti dokumentai projektui rengti bei šių dokumentų pateikimo laikotarpis: </w:t>
                  </w:r>
                  <w:r w:rsidRPr="003D580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  <w:p w14:paraId="6E382270" w14:textId="47EAC5A0" w:rsidR="00B37F62" w:rsidRPr="003D580D" w:rsidRDefault="00B37F62" w:rsidP="003F2477">
                  <w:pPr>
                    <w:spacing w:after="0" w:line="240" w:lineRule="auto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sz w:val="22"/>
                      <w:szCs w:val="22"/>
                    </w:rPr>
                    <w:t>Priedas Nr. 1. Techninė specifikacija</w:t>
                  </w:r>
                  <w:r w:rsidR="00FB1B9A" w:rsidRPr="003D580D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Pr="003D580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3D580D">
                    <w:rPr>
                      <w:rFonts w:ascii="Arial" w:hAnsi="Arial" w:cs="Arial"/>
                      <w:sz w:val="22"/>
                      <w:szCs w:val="22"/>
                    </w:rPr>
                    <w:br/>
                    <w:t xml:space="preserve">Priedas Nr. 2. Kadastrinių matavimų bylos </w:t>
                  </w:r>
                  <w:r w:rsidRPr="003D580D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(pateikiama pasirašius paslaugų sutartį)</w:t>
                  </w:r>
                  <w:r w:rsidR="00FB1B9A" w:rsidRPr="003D580D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.</w:t>
                  </w:r>
                </w:p>
                <w:p w14:paraId="18D0098E" w14:textId="2424AEA3" w:rsidR="002D078F" w:rsidRPr="003D580D" w:rsidRDefault="002D078F" w:rsidP="004B4DA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sz w:val="22"/>
                      <w:szCs w:val="22"/>
                    </w:rPr>
                    <w:t xml:space="preserve">Priedas Nr. 3. </w:t>
                  </w:r>
                  <w:r w:rsidR="00EE2E64" w:rsidRPr="003D580D">
                    <w:rPr>
                      <w:rFonts w:ascii="Arial" w:hAnsi="Arial" w:cs="Arial"/>
                      <w:sz w:val="22"/>
                      <w:szCs w:val="22"/>
                    </w:rPr>
                    <w:t>Raštas „Dėl valstybinės reikšmės krašto</w:t>
                  </w:r>
                  <w:r w:rsidR="00EE2E64"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kelio Nr. 173 Molėtai–Pabradė</w:t>
                  </w:r>
                  <w:r w:rsidR="00FB1B9A"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rekonstravimo“.</w:t>
                  </w:r>
                </w:p>
              </w:tc>
            </w:tr>
            <w:tr w:rsidR="001D1A40" w:rsidRPr="003D580D" w14:paraId="18D00991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41E0FA01" w14:textId="7B40CC30" w:rsidR="00227CFF" w:rsidRPr="003D580D" w:rsidRDefault="00072D19" w:rsidP="00227CFF">
                  <w:pPr>
                    <w:spacing w:after="60" w:line="240" w:lineRule="auto"/>
                    <w:ind w:left="357" w:hanging="35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b/>
                      <w:sz w:val="22"/>
                      <w:szCs w:val="22"/>
                    </w:rPr>
                    <w:lastRenderedPageBreak/>
                    <w:t>1</w:t>
                  </w:r>
                  <w:r w:rsidR="007E5F50">
                    <w:rPr>
                      <w:rFonts w:ascii="Arial" w:hAnsi="Arial" w:cs="Arial"/>
                      <w:b/>
                      <w:sz w:val="22"/>
                      <w:szCs w:val="22"/>
                    </w:rPr>
                    <w:t>6</w:t>
                  </w:r>
                  <w:r w:rsidRPr="003D580D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. Žemės sklypo statinio teisinės registracijos Nekilnojamojo turto registre duomenys: </w:t>
                  </w:r>
                  <w:r w:rsidRPr="003D580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3D580D">
                    <w:rPr>
                      <w:rFonts w:ascii="Arial" w:hAnsi="Arial" w:cs="Arial"/>
                      <w:sz w:val="22"/>
                      <w:szCs w:val="22"/>
                    </w:rPr>
                    <w:br/>
                  </w:r>
                  <w:r w:rsidR="00227CFF" w:rsidRPr="003D580D">
                    <w:rPr>
                      <w:rFonts w:ascii="Arial" w:hAnsi="Arial" w:cs="Arial"/>
                      <w:sz w:val="22"/>
                      <w:szCs w:val="22"/>
                    </w:rPr>
                    <w:t>– žemės sklypų unikalūs numeriai: 4400-3787-5500 (Nr. 173); 4400-3787-3948 (Nr. 173); 4400-3855-9372 (Nr. 173); 4400-4912-3780 (Nr. 2810);</w:t>
                  </w:r>
                </w:p>
                <w:p w14:paraId="0C4D9C6D" w14:textId="6EE3E0A9" w:rsidR="00227CFF" w:rsidRPr="003D580D" w:rsidRDefault="00227CFF" w:rsidP="00FE1F60">
                  <w:pPr>
                    <w:spacing w:after="60" w:line="240" w:lineRule="auto"/>
                    <w:ind w:left="661" w:hanging="35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sz w:val="22"/>
                      <w:szCs w:val="22"/>
                    </w:rPr>
                    <w:t>– inžinerinių statinių unikalūs numeriai: 4400-4129-9434 (Nr. 173); 4400-4959-1402 (Nr. 2810).</w:t>
                  </w:r>
                </w:p>
                <w:p w14:paraId="0AFB9A63" w14:textId="77777777" w:rsidR="001075BC" w:rsidRPr="003D580D" w:rsidRDefault="001075BC" w:rsidP="00E37C30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8D00990" w14:textId="46678ED0" w:rsidR="00B425DB" w:rsidRPr="003D580D" w:rsidRDefault="00B425DB" w:rsidP="00B00E7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8D00992" w14:textId="77777777" w:rsidR="001D1A40" w:rsidRPr="003D580D" w:rsidRDefault="001D1A40" w:rsidP="00E37C3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gridSpan w:val="3"/>
          </w:tcPr>
          <w:p w14:paraId="18D00998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E76" w:rsidRPr="003D580D" w14:paraId="18D009B7" w14:textId="77777777" w:rsidTr="07682D11">
        <w:trPr>
          <w:gridAfter w:val="2"/>
          <w:wAfter w:w="473" w:type="dxa"/>
          <w:trHeight w:val="1285"/>
        </w:trPr>
        <w:tc>
          <w:tcPr>
            <w:tcW w:w="277" w:type="dxa"/>
          </w:tcPr>
          <w:p w14:paraId="18D009A4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" w:type="dxa"/>
          </w:tcPr>
          <w:p w14:paraId="18D009A5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5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05"/>
            </w:tblGrid>
            <w:tr w:rsidR="001D1A40" w:rsidRPr="003D580D" w14:paraId="18D009AA" w14:textId="77777777" w:rsidTr="00816E76">
              <w:trPr>
                <w:trHeight w:val="1207"/>
              </w:trPr>
              <w:tc>
                <w:tcPr>
                  <w:tcW w:w="40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09A6" w14:textId="77777777" w:rsidR="001D1A40" w:rsidRPr="003D580D" w:rsidRDefault="00072D19" w:rsidP="00E37C30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STATYTOJAS</w:t>
                  </w:r>
                </w:p>
                <w:p w14:paraId="18D009A7" w14:textId="5722123B" w:rsidR="001D1A40" w:rsidRPr="003D580D" w:rsidRDefault="00072D19" w:rsidP="00E37C30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Akcinė bendrovė </w:t>
                  </w:r>
                  <w:r w:rsidR="00E37C30"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„Via Lietuva“</w:t>
                  </w:r>
                </w:p>
                <w:p w14:paraId="3C4B860C" w14:textId="77777777" w:rsidR="00816E76" w:rsidRPr="003D580D" w:rsidRDefault="00816E76" w:rsidP="00E37C30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8D009A8" w14:textId="77777777" w:rsidR="001D1A40" w:rsidRPr="003D580D" w:rsidRDefault="001D1A40" w:rsidP="00E37C30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8D009A9" w14:textId="77777777" w:rsidR="001D1A40" w:rsidRPr="003D580D" w:rsidRDefault="00072D19" w:rsidP="00E37C30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color w:val="000000"/>
                    </w:rPr>
                    <w:t>(vardas, pavardė, parašas, data)</w:t>
                  </w:r>
                </w:p>
              </w:tc>
            </w:tr>
          </w:tbl>
          <w:p w14:paraId="18D009AB" w14:textId="77777777" w:rsidR="001D1A40" w:rsidRPr="003D580D" w:rsidRDefault="001D1A40" w:rsidP="00E37C3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3" w:type="dxa"/>
          </w:tcPr>
          <w:p w14:paraId="18D009AC" w14:textId="77777777" w:rsidR="001D1A40" w:rsidRPr="003D580D" w:rsidRDefault="001D1A40" w:rsidP="000516A1">
            <w:pPr>
              <w:pStyle w:val="EmptyCellLayoutStyle"/>
              <w:spacing w:after="0" w:line="240" w:lineRule="auto"/>
              <w:ind w:right="47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" w:type="dxa"/>
          </w:tcPr>
          <w:p w14:paraId="18D009AD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dxa"/>
          </w:tcPr>
          <w:p w14:paraId="18D009AE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90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60"/>
            </w:tblGrid>
            <w:tr w:rsidR="001D1A40" w:rsidRPr="003D580D" w14:paraId="18D009B3" w14:textId="77777777" w:rsidTr="00816E76">
              <w:trPr>
                <w:trHeight w:val="1207"/>
              </w:trPr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09AF" w14:textId="77777777" w:rsidR="001D1A40" w:rsidRPr="003D580D" w:rsidRDefault="00072D19" w:rsidP="00E37C30">
                  <w:pPr>
                    <w:spacing w:after="0" w:line="240" w:lineRule="auto"/>
                    <w:ind w:left="-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PROJEKTUOTOJAS</w:t>
                  </w:r>
                </w:p>
                <w:p w14:paraId="18D009B0" w14:textId="77777777" w:rsidR="001D1A40" w:rsidRPr="003D580D" w:rsidRDefault="001D1A40" w:rsidP="00E37C30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DFFB2DA" w14:textId="77777777" w:rsidR="000516A1" w:rsidRPr="003D580D" w:rsidRDefault="000516A1" w:rsidP="00E37C30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8D009B1" w14:textId="77777777" w:rsidR="001D1A40" w:rsidRPr="003D580D" w:rsidRDefault="001D1A40" w:rsidP="00E37C30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8D009B2" w14:textId="4A8E0B58" w:rsidR="001D1A40" w:rsidRPr="003D580D" w:rsidRDefault="000516A1" w:rsidP="000516A1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580D">
                    <w:rPr>
                      <w:rFonts w:ascii="Arial" w:hAnsi="Arial" w:cs="Arial"/>
                      <w:color w:val="000000"/>
                    </w:rPr>
                    <w:t>(</w:t>
                  </w:r>
                  <w:r w:rsidR="00072D19" w:rsidRPr="003D580D">
                    <w:rPr>
                      <w:rFonts w:ascii="Arial" w:hAnsi="Arial" w:cs="Arial"/>
                      <w:color w:val="000000"/>
                    </w:rPr>
                    <w:t>vardas, pavardė, parašas, data</w:t>
                  </w:r>
                  <w:r w:rsidRPr="003D580D"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c>
            </w:tr>
          </w:tbl>
          <w:p w14:paraId="18D009B4" w14:textId="77777777" w:rsidR="001D1A40" w:rsidRPr="003D580D" w:rsidRDefault="001D1A40" w:rsidP="00E37C3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gridSpan w:val="3"/>
          </w:tcPr>
          <w:p w14:paraId="18D009B6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C30" w:rsidRPr="003D580D" w14:paraId="18D009C1" w14:textId="77777777" w:rsidTr="07682D11">
        <w:trPr>
          <w:trHeight w:val="250"/>
        </w:trPr>
        <w:tc>
          <w:tcPr>
            <w:tcW w:w="277" w:type="dxa"/>
          </w:tcPr>
          <w:p w14:paraId="18D009B8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" w:type="dxa"/>
          </w:tcPr>
          <w:p w14:paraId="18D009B9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5" w:type="dxa"/>
          </w:tcPr>
          <w:p w14:paraId="18D009BA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9" w:type="dxa"/>
            <w:gridSpan w:val="4"/>
          </w:tcPr>
          <w:p w14:paraId="18D009BB" w14:textId="77777777" w:rsidR="001D1A40" w:rsidRPr="003D580D" w:rsidRDefault="001D1A40" w:rsidP="000516A1">
            <w:pPr>
              <w:pStyle w:val="EmptyCellLayoutStyle"/>
              <w:spacing w:after="0" w:line="240" w:lineRule="auto"/>
              <w:ind w:right="47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" w:type="dxa"/>
          </w:tcPr>
          <w:p w14:paraId="18D009BC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dxa"/>
          </w:tcPr>
          <w:p w14:paraId="18D009BD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</w:tcPr>
          <w:p w14:paraId="18D009BE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7" w:type="dxa"/>
            <w:gridSpan w:val="3"/>
          </w:tcPr>
          <w:p w14:paraId="18D009BF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gridSpan w:val="3"/>
          </w:tcPr>
          <w:p w14:paraId="18D009C0" w14:textId="77777777" w:rsidR="001D1A40" w:rsidRPr="003D580D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18D009C2" w14:textId="77777777" w:rsidR="001D1A40" w:rsidRPr="003D580D" w:rsidRDefault="001D1A40" w:rsidP="00E37C30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1D1A40" w:rsidRPr="003D580D">
      <w:pgSz w:w="12584" w:h="16837"/>
      <w:pgMar w:top="1559" w:right="566" w:bottom="1133" w:left="992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18DB6" w14:textId="77777777" w:rsidR="003F3F9A" w:rsidRDefault="003F3F9A" w:rsidP="00AC5022">
      <w:pPr>
        <w:spacing w:after="0" w:line="240" w:lineRule="auto"/>
      </w:pPr>
      <w:r>
        <w:separator/>
      </w:r>
    </w:p>
  </w:endnote>
  <w:endnote w:type="continuationSeparator" w:id="0">
    <w:p w14:paraId="13D7E620" w14:textId="77777777" w:rsidR="003F3F9A" w:rsidRDefault="003F3F9A" w:rsidP="00AC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199DF" w14:textId="77777777" w:rsidR="003F3F9A" w:rsidRDefault="003F3F9A" w:rsidP="00AC5022">
      <w:pPr>
        <w:spacing w:after="0" w:line="240" w:lineRule="auto"/>
      </w:pPr>
      <w:r>
        <w:separator/>
      </w:r>
    </w:p>
  </w:footnote>
  <w:footnote w:type="continuationSeparator" w:id="0">
    <w:p w14:paraId="703FA5C8" w14:textId="77777777" w:rsidR="003F3F9A" w:rsidRDefault="003F3F9A" w:rsidP="00AC5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15603"/>
    <w:multiLevelType w:val="hybridMultilevel"/>
    <w:tmpl w:val="D12E858C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503466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40"/>
    <w:rsid w:val="00034CC7"/>
    <w:rsid w:val="000516A1"/>
    <w:rsid w:val="000526E8"/>
    <w:rsid w:val="000534E5"/>
    <w:rsid w:val="00072D19"/>
    <w:rsid w:val="00073041"/>
    <w:rsid w:val="00082E7D"/>
    <w:rsid w:val="00092594"/>
    <w:rsid w:val="000B069A"/>
    <w:rsid w:val="000C2935"/>
    <w:rsid w:val="001070B6"/>
    <w:rsid w:val="001075BC"/>
    <w:rsid w:val="00112623"/>
    <w:rsid w:val="0011316F"/>
    <w:rsid w:val="0012398B"/>
    <w:rsid w:val="001B5531"/>
    <w:rsid w:val="001D1A40"/>
    <w:rsid w:val="001F271C"/>
    <w:rsid w:val="001F7B2A"/>
    <w:rsid w:val="00202CD2"/>
    <w:rsid w:val="00217EC5"/>
    <w:rsid w:val="00227CFF"/>
    <w:rsid w:val="00274DC6"/>
    <w:rsid w:val="0028212D"/>
    <w:rsid w:val="0028798A"/>
    <w:rsid w:val="002941A3"/>
    <w:rsid w:val="002B11A8"/>
    <w:rsid w:val="002D078F"/>
    <w:rsid w:val="003079AC"/>
    <w:rsid w:val="0033406D"/>
    <w:rsid w:val="003367A2"/>
    <w:rsid w:val="003422C0"/>
    <w:rsid w:val="003451E3"/>
    <w:rsid w:val="00346914"/>
    <w:rsid w:val="00364522"/>
    <w:rsid w:val="00372F60"/>
    <w:rsid w:val="0037662A"/>
    <w:rsid w:val="0038264F"/>
    <w:rsid w:val="003A64E9"/>
    <w:rsid w:val="003B4260"/>
    <w:rsid w:val="003C5411"/>
    <w:rsid w:val="003D186B"/>
    <w:rsid w:val="003D2A60"/>
    <w:rsid w:val="003D580D"/>
    <w:rsid w:val="003F2477"/>
    <w:rsid w:val="003F3F9A"/>
    <w:rsid w:val="00407174"/>
    <w:rsid w:val="00414D6F"/>
    <w:rsid w:val="004463CF"/>
    <w:rsid w:val="004526D9"/>
    <w:rsid w:val="00471543"/>
    <w:rsid w:val="00490F2C"/>
    <w:rsid w:val="004A1E31"/>
    <w:rsid w:val="004A265A"/>
    <w:rsid w:val="004A3E98"/>
    <w:rsid w:val="004B4DA4"/>
    <w:rsid w:val="004B60A6"/>
    <w:rsid w:val="004D004A"/>
    <w:rsid w:val="004F3CE9"/>
    <w:rsid w:val="004F419A"/>
    <w:rsid w:val="004F4FED"/>
    <w:rsid w:val="005041DD"/>
    <w:rsid w:val="0053439A"/>
    <w:rsid w:val="0055258B"/>
    <w:rsid w:val="00564AB6"/>
    <w:rsid w:val="005C6B0D"/>
    <w:rsid w:val="005E658A"/>
    <w:rsid w:val="005F2AF2"/>
    <w:rsid w:val="006028F9"/>
    <w:rsid w:val="00607853"/>
    <w:rsid w:val="00615650"/>
    <w:rsid w:val="00637B84"/>
    <w:rsid w:val="00684522"/>
    <w:rsid w:val="006B786A"/>
    <w:rsid w:val="006E5E8C"/>
    <w:rsid w:val="006F1485"/>
    <w:rsid w:val="006F4E0E"/>
    <w:rsid w:val="006F4FA3"/>
    <w:rsid w:val="00720B65"/>
    <w:rsid w:val="00727447"/>
    <w:rsid w:val="007274DA"/>
    <w:rsid w:val="007577CF"/>
    <w:rsid w:val="0076402A"/>
    <w:rsid w:val="0078691A"/>
    <w:rsid w:val="007A20D1"/>
    <w:rsid w:val="007D1575"/>
    <w:rsid w:val="007D24A0"/>
    <w:rsid w:val="007E5F50"/>
    <w:rsid w:val="007E7674"/>
    <w:rsid w:val="00804E82"/>
    <w:rsid w:val="00816135"/>
    <w:rsid w:val="00816E76"/>
    <w:rsid w:val="00855C09"/>
    <w:rsid w:val="008610DE"/>
    <w:rsid w:val="008670B3"/>
    <w:rsid w:val="0088609C"/>
    <w:rsid w:val="00886A1E"/>
    <w:rsid w:val="00890F3F"/>
    <w:rsid w:val="008B39A6"/>
    <w:rsid w:val="008D6F88"/>
    <w:rsid w:val="008E27F5"/>
    <w:rsid w:val="008E4B22"/>
    <w:rsid w:val="008F5509"/>
    <w:rsid w:val="0092167F"/>
    <w:rsid w:val="00922889"/>
    <w:rsid w:val="009328A3"/>
    <w:rsid w:val="00945AFB"/>
    <w:rsid w:val="00946CBA"/>
    <w:rsid w:val="00952EA3"/>
    <w:rsid w:val="00973DF3"/>
    <w:rsid w:val="009A7B9B"/>
    <w:rsid w:val="009B2C9D"/>
    <w:rsid w:val="00A075B9"/>
    <w:rsid w:val="00A4165C"/>
    <w:rsid w:val="00A47BFE"/>
    <w:rsid w:val="00A565D8"/>
    <w:rsid w:val="00A7640B"/>
    <w:rsid w:val="00A77ABD"/>
    <w:rsid w:val="00A94769"/>
    <w:rsid w:val="00AB4745"/>
    <w:rsid w:val="00AC201A"/>
    <w:rsid w:val="00AC5022"/>
    <w:rsid w:val="00AF37E1"/>
    <w:rsid w:val="00AF6D7B"/>
    <w:rsid w:val="00B00E77"/>
    <w:rsid w:val="00B04A75"/>
    <w:rsid w:val="00B15EEF"/>
    <w:rsid w:val="00B35EEB"/>
    <w:rsid w:val="00B37F62"/>
    <w:rsid w:val="00B425DB"/>
    <w:rsid w:val="00B5640A"/>
    <w:rsid w:val="00B70724"/>
    <w:rsid w:val="00B8168D"/>
    <w:rsid w:val="00B83DF0"/>
    <w:rsid w:val="00BA65C9"/>
    <w:rsid w:val="00BA6687"/>
    <w:rsid w:val="00BB565E"/>
    <w:rsid w:val="00BC61B6"/>
    <w:rsid w:val="00BD7E39"/>
    <w:rsid w:val="00BE54B1"/>
    <w:rsid w:val="00BF264E"/>
    <w:rsid w:val="00BF2FA4"/>
    <w:rsid w:val="00C00813"/>
    <w:rsid w:val="00C27A9A"/>
    <w:rsid w:val="00C7063A"/>
    <w:rsid w:val="00C81D48"/>
    <w:rsid w:val="00CC2522"/>
    <w:rsid w:val="00CC54B2"/>
    <w:rsid w:val="00CD7906"/>
    <w:rsid w:val="00D31022"/>
    <w:rsid w:val="00D662D5"/>
    <w:rsid w:val="00DA1A8F"/>
    <w:rsid w:val="00DA64DC"/>
    <w:rsid w:val="00DB4F9A"/>
    <w:rsid w:val="00DC1820"/>
    <w:rsid w:val="00DC24C4"/>
    <w:rsid w:val="00DE3A83"/>
    <w:rsid w:val="00DE4A4F"/>
    <w:rsid w:val="00E37C30"/>
    <w:rsid w:val="00E43AE6"/>
    <w:rsid w:val="00E72EC0"/>
    <w:rsid w:val="00E73636"/>
    <w:rsid w:val="00E74B41"/>
    <w:rsid w:val="00E750F6"/>
    <w:rsid w:val="00E77C64"/>
    <w:rsid w:val="00E81B89"/>
    <w:rsid w:val="00EA1067"/>
    <w:rsid w:val="00EA326A"/>
    <w:rsid w:val="00EB625B"/>
    <w:rsid w:val="00EC0572"/>
    <w:rsid w:val="00EC64A1"/>
    <w:rsid w:val="00EE2E64"/>
    <w:rsid w:val="00EE6875"/>
    <w:rsid w:val="00F244D5"/>
    <w:rsid w:val="00F41BBF"/>
    <w:rsid w:val="00F56257"/>
    <w:rsid w:val="00F6338A"/>
    <w:rsid w:val="00F71FD5"/>
    <w:rsid w:val="00F774B9"/>
    <w:rsid w:val="00F97A20"/>
    <w:rsid w:val="00FB1808"/>
    <w:rsid w:val="00FB1AD6"/>
    <w:rsid w:val="00FB1B9A"/>
    <w:rsid w:val="00FC354A"/>
    <w:rsid w:val="00FE1F60"/>
    <w:rsid w:val="07682D11"/>
    <w:rsid w:val="5E1DA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08CE"/>
  <w15:docId w15:val="{6BA08C2E-D4A9-4ED0-A9CA-CC5BA0EF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customStyle="1" w:styleId="Default">
    <w:name w:val="Default"/>
    <w:rsid w:val="00E37C30"/>
    <w:pPr>
      <w:spacing w:after="0" w:line="320" w:lineRule="atLeast"/>
    </w:pPr>
    <w:rPr>
      <w:rFonts w:ascii="Arial" w:eastAsia="Arial" w:hAnsi="Arial" w:cs="Arial"/>
      <w:color w:val="000000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C50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5022"/>
  </w:style>
  <w:style w:type="paragraph" w:styleId="Porat">
    <w:name w:val="footer"/>
    <w:basedOn w:val="prastasis"/>
    <w:link w:val="PoratDiagrama"/>
    <w:uiPriority w:val="99"/>
    <w:unhideWhenUsed/>
    <w:rsid w:val="00AC50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C5022"/>
  </w:style>
  <w:style w:type="character" w:styleId="Hipersaitas">
    <w:name w:val="Hyperlink"/>
    <w:basedOn w:val="Numatytasispastraiposriftas"/>
    <w:uiPriority w:val="99"/>
    <w:unhideWhenUsed/>
    <w:rsid w:val="008E27F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3173</Words>
  <Characters>1809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Technine uzduotis</vt:lpstr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Technine uzduotis</dc:title>
  <dc:creator>Ričard Franckevič</dc:creator>
  <dc:description/>
  <cp:lastModifiedBy>Irena Kudzinskienė</cp:lastModifiedBy>
  <cp:revision>2</cp:revision>
  <dcterms:created xsi:type="dcterms:W3CDTF">2025-01-15T08:04:00Z</dcterms:created>
  <dcterms:modified xsi:type="dcterms:W3CDTF">2025-01-15T08:04:00Z</dcterms:modified>
</cp:coreProperties>
</file>