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EB" w:rsidRPr="00C21678" w:rsidRDefault="0003372C" w:rsidP="000A2AEB">
      <w:pPr>
        <w:keepNext/>
        <w:keepLines/>
        <w:pBdr>
          <w:bottom w:val="single" w:sz="4" w:space="2" w:color="ED7D31"/>
        </w:pBdr>
        <w:spacing w:before="360" w:after="120"/>
        <w:jc w:val="right"/>
        <w:outlineLvl w:val="0"/>
        <w:rPr>
          <w:rFonts w:eastAsia="Calibri Light"/>
          <w:lang w:eastAsia="lt-LT"/>
        </w:rPr>
      </w:pPr>
      <w:r>
        <w:rPr>
          <w:rFonts w:eastAsia="Calibri Light"/>
          <w:lang w:eastAsia="lt-LT"/>
        </w:rPr>
        <w:t xml:space="preserve">Pirkimo sąlygų </w:t>
      </w:r>
      <w:r w:rsidR="00647E31">
        <w:rPr>
          <w:rFonts w:eastAsia="Calibri Light"/>
          <w:lang w:val="en-US" w:eastAsia="lt-LT"/>
        </w:rPr>
        <w:t>6</w:t>
      </w:r>
      <w:r w:rsidR="000A2AEB" w:rsidRPr="00C21678">
        <w:rPr>
          <w:rFonts w:eastAsia="Calibri Light"/>
          <w:lang w:eastAsia="lt-LT"/>
        </w:rPr>
        <w:t xml:space="preserve"> priedas </w:t>
      </w:r>
      <w:r w:rsidR="000A2AEB" w:rsidRPr="00C21678">
        <w:rPr>
          <w:rFonts w:eastAsia="Calibri"/>
          <w:lang w:eastAsia="lt-LT"/>
        </w:rPr>
        <w:t>„Pasiūlymo forma“</w:t>
      </w:r>
    </w:p>
    <w:p w:rsidR="000E0AD7" w:rsidRDefault="000E0AD7"/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r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Pr="000A2AEB">
        <w:rPr>
          <w:rFonts w:eastAsia="Arial Unicode MS"/>
          <w:b/>
          <w:i/>
          <w:sz w:val="24"/>
          <w:szCs w:val="24"/>
          <w:bdr w:val="nil"/>
        </w:rPr>
        <w:t>ūlymo forma</w:t>
      </w:r>
      <w:r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0A2AEB" w:rsidRPr="00647E31" w:rsidRDefault="000A2AEB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</w:rPr>
      </w:pPr>
      <w:r w:rsidRPr="00647E31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DĖL </w:t>
      </w:r>
      <w:r w:rsidR="00647E31" w:rsidRPr="00647E31">
        <w:rPr>
          <w:b/>
          <w:bCs/>
          <w:sz w:val="24"/>
          <w:szCs w:val="24"/>
        </w:rPr>
        <w:t>VAIZDO IR GARSO TRANSLIACIJOS SISTEMOS NEGARANTINIO REMONTO IR TECHNINĖS PRIEŽIŪROS PASLAUGŲ VIEŠOJO PIRKIMO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(data)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Už pasiūlymą atsak</w:t>
            </w:r>
            <w:r w:rsidR="00C40D06">
              <w:rPr>
                <w:sz w:val="24"/>
                <w:szCs w:val="24"/>
              </w:rPr>
              <w:t xml:space="preserve">ingo asmens pareigos, vardas, </w:t>
            </w:r>
            <w:r w:rsidRPr="000A2AEB">
              <w:rPr>
                <w:sz w:val="24"/>
                <w:szCs w:val="24"/>
              </w:rPr>
              <w:t>pavardė</w:t>
            </w:r>
            <w:r w:rsidR="00C40D06">
              <w:rPr>
                <w:sz w:val="24"/>
                <w:szCs w:val="24"/>
              </w:rPr>
              <w:t>, tel. el. paštas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(-us)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(-us)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607006">
      <w:pPr>
        <w:spacing w:before="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1. Šiuo pasiūlymu pažymime, kad sutinkame su visomis pirkimo sąlygomis, nustatytomis </w:t>
      </w:r>
      <w:r w:rsidR="0024566A" w:rsidRPr="0024566A">
        <w:rPr>
          <w:b/>
          <w:szCs w:val="24"/>
        </w:rPr>
        <w:t>Vaizdo ir garso transliacijos sistemos negarantinio remonto ir techninės priežiūros paslaugų</w:t>
      </w:r>
      <w:r w:rsidRPr="000A2AEB">
        <w:rPr>
          <w:sz w:val="24"/>
          <w:szCs w:val="24"/>
        </w:rPr>
        <w:t xml:space="preserve"> </w:t>
      </w:r>
      <w:r w:rsidR="00647E31">
        <w:rPr>
          <w:sz w:val="24"/>
          <w:szCs w:val="24"/>
        </w:rPr>
        <w:t>atviro konkurso</w:t>
      </w:r>
      <w:r>
        <w:rPr>
          <w:sz w:val="24"/>
          <w:szCs w:val="24"/>
        </w:rPr>
        <w:t xml:space="preserve"> skelbime </w:t>
      </w:r>
      <w:r w:rsidRPr="000A2AEB">
        <w:rPr>
          <w:sz w:val="24"/>
          <w:szCs w:val="24"/>
        </w:rPr>
        <w:t xml:space="preserve">ir šio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(reikalavimuose, techninėje specifikacijoje, sąlygų patikslinimuose, paaiškinimuose ir kt.). </w:t>
      </w:r>
    </w:p>
    <w:p w:rsidR="000A2AEB" w:rsidRPr="000A2AEB" w:rsidRDefault="000A2AEB" w:rsidP="00607006">
      <w:pPr>
        <w:spacing w:before="0"/>
        <w:ind w:right="-142" w:firstLine="720"/>
        <w:jc w:val="both"/>
        <w:rPr>
          <w:rFonts w:eastAsia="Calibri"/>
          <w:sz w:val="24"/>
          <w:szCs w:val="24"/>
        </w:rPr>
      </w:pPr>
      <w:r w:rsidRPr="000A2AEB">
        <w:rPr>
          <w:rFonts w:eastAsia="Calibri"/>
          <w:sz w:val="24"/>
          <w:szCs w:val="24"/>
        </w:rPr>
        <w:t>2. Pasirašydami CVP IS priemonėmis pateiktą pasiūlymą elektroniniu parašu, patvirtiname, kad dokumentų skaitmeninės kopijos ir elektroninėmis priemonėmis pateikti duomenys yra tikri.</w:t>
      </w:r>
    </w:p>
    <w:p w:rsidR="00CE5BB9" w:rsidRDefault="000A2AEB" w:rsidP="00647E31">
      <w:pPr>
        <w:spacing w:before="60"/>
        <w:ind w:right="-143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3. Patvirtiname, kad paslaugas teiksime pagal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nurodytą techninę specifikaciją bei pagrindines pirkimo sutarties sąlygas.</w:t>
      </w:r>
    </w:p>
    <w:p w:rsidR="00607006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Pr="000A2AEB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0A2AEB" w:rsidRDefault="00CE5BB9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5</w:t>
      </w:r>
      <w:r w:rsidR="000A2AEB" w:rsidRPr="000A2AEB">
        <w:rPr>
          <w:sz w:val="24"/>
          <w:szCs w:val="24"/>
        </w:rPr>
        <w:t xml:space="preserve">. Siūlomos paslaugos visiškai atitinka pirkimo dokumentuose nurodytus techninius reikalavimus. </w:t>
      </w:r>
      <w:r w:rsidR="0024566A" w:rsidRPr="007C13E3">
        <w:rPr>
          <w:b/>
          <w:sz w:val="24"/>
          <w:szCs w:val="24"/>
          <w:u w:val="single"/>
        </w:rPr>
        <w:t>Paslaugų įkainiai pateikiami pasiūlymo priede</w:t>
      </w:r>
      <w:r w:rsidR="00607006" w:rsidRPr="007C13E3">
        <w:rPr>
          <w:b/>
          <w:sz w:val="24"/>
          <w:szCs w:val="24"/>
          <w:u w:val="single"/>
        </w:rPr>
        <w:t xml:space="preserve"> „</w:t>
      </w:r>
      <w:r w:rsidR="00607006" w:rsidRPr="007C13E3">
        <w:rPr>
          <w:b/>
          <w:i/>
          <w:sz w:val="24"/>
          <w:szCs w:val="24"/>
          <w:u w:val="single"/>
        </w:rPr>
        <w:t>Vaizdo ir garso transliacijos sistemos negarantinio remonto ir techninės priežiūros paslaugų įkainių lentelė</w:t>
      </w:r>
      <w:r w:rsidR="00607006" w:rsidRPr="007C13E3">
        <w:rPr>
          <w:b/>
          <w:sz w:val="24"/>
          <w:szCs w:val="24"/>
          <w:u w:val="single"/>
        </w:rPr>
        <w:t>“.</w:t>
      </w:r>
    </w:p>
    <w:p w:rsidR="00C27FCE" w:rsidRDefault="00C27FCE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</w:p>
    <w:p w:rsidR="00C27FCE" w:rsidRPr="00C27FCE" w:rsidRDefault="00C27FCE" w:rsidP="00C27FCE">
      <w:pPr>
        <w:tabs>
          <w:tab w:val="left" w:pos="450"/>
          <w:tab w:val="left" w:pos="630"/>
        </w:tabs>
        <w:jc w:val="both"/>
        <w:rPr>
          <w:b/>
          <w:bCs/>
          <w:color w:val="FF0000"/>
          <w:sz w:val="24"/>
          <w:szCs w:val="24"/>
          <w:lang w:eastAsia="lt-LT"/>
        </w:rPr>
      </w:pPr>
      <w:r w:rsidRPr="00C27FCE">
        <w:rPr>
          <w:sz w:val="24"/>
          <w:szCs w:val="24"/>
          <w:lang w:val="en-US"/>
        </w:rPr>
        <w:tab/>
      </w:r>
      <w:r w:rsidRPr="00C27FCE">
        <w:rPr>
          <w:sz w:val="24"/>
          <w:szCs w:val="24"/>
          <w:lang w:val="en-US"/>
        </w:rPr>
        <w:tab/>
        <w:t xml:space="preserve">6. </w:t>
      </w:r>
      <w:r w:rsidRPr="00C27FCE">
        <w:rPr>
          <w:b/>
          <w:bCs/>
          <w:i/>
          <w:color w:val="FF0000"/>
          <w:sz w:val="24"/>
          <w:szCs w:val="24"/>
          <w:lang w:eastAsia="lt-LT"/>
        </w:rPr>
        <w:t xml:space="preserve">Tiekėjas </w:t>
      </w:r>
      <w:r w:rsidRPr="00C27FCE">
        <w:rPr>
          <w:b/>
          <w:bCs/>
          <w:i/>
          <w:color w:val="FF0000"/>
          <w:sz w:val="24"/>
          <w:szCs w:val="24"/>
          <w:lang w:eastAsia="lt-LT"/>
        </w:rPr>
        <w:t xml:space="preserve">dėl atitikimo socialiniams reikalavimams </w:t>
      </w:r>
      <w:r w:rsidRPr="00C27FCE">
        <w:rPr>
          <w:b/>
          <w:bCs/>
          <w:i/>
          <w:color w:val="FF0000"/>
          <w:sz w:val="24"/>
          <w:szCs w:val="24"/>
          <w:lang w:eastAsia="lt-LT"/>
        </w:rPr>
        <w:t>privalo užpildyti bent vieną iš patvirtinimų, kitus ištrinti:</w:t>
      </w:r>
    </w:p>
    <w:p w:rsidR="00C27FCE" w:rsidRPr="00C27FCE" w:rsidRDefault="00C27FCE" w:rsidP="00C27FCE">
      <w:pPr>
        <w:spacing w:before="0"/>
        <w:jc w:val="both"/>
        <w:rPr>
          <w:color w:val="000000"/>
          <w:sz w:val="24"/>
          <w:szCs w:val="24"/>
          <w:lang w:eastAsia="lt-LT"/>
        </w:rPr>
      </w:pPr>
    </w:p>
    <w:p w:rsidR="00C27FCE" w:rsidRPr="00C27FCE" w:rsidRDefault="00C27FCE" w:rsidP="00C27FCE">
      <w:pPr>
        <w:spacing w:before="0"/>
        <w:jc w:val="both"/>
        <w:rPr>
          <w:color w:val="000000"/>
          <w:sz w:val="24"/>
          <w:szCs w:val="24"/>
          <w:lang w:eastAsia="lt-LT"/>
        </w:rPr>
      </w:pPr>
      <w:r w:rsidRPr="00C27FCE">
        <w:rPr>
          <w:color w:val="000000"/>
          <w:sz w:val="24"/>
          <w:szCs w:val="24"/>
          <w:lang w:eastAsia="lt-LT"/>
        </w:rPr>
        <w:t xml:space="preserve">Patvirtiname, kad atitinkame </w:t>
      </w:r>
      <w:r w:rsidRPr="00C27FCE">
        <w:rPr>
          <w:color w:val="000000"/>
          <w:sz w:val="24"/>
          <w:szCs w:val="24"/>
          <w:lang w:eastAsia="lt-LT"/>
        </w:rPr>
        <w:t>specialiųjų pirkimo sąlygų 1</w:t>
      </w:r>
      <w:r w:rsidRPr="00C27FCE">
        <w:rPr>
          <w:color w:val="000000"/>
          <w:sz w:val="24"/>
          <w:szCs w:val="24"/>
          <w:lang w:val="en-US" w:eastAsia="lt-LT"/>
        </w:rPr>
        <w:t>2</w:t>
      </w:r>
      <w:r w:rsidRPr="00C27FCE">
        <w:rPr>
          <w:color w:val="000000"/>
          <w:sz w:val="24"/>
          <w:szCs w:val="24"/>
          <w:lang w:eastAsia="lt-LT"/>
        </w:rPr>
        <w:t xml:space="preserve"> priede „Socialiniai reikalavimai</w:t>
      </w:r>
      <w:r w:rsidRPr="00C27FCE">
        <w:rPr>
          <w:sz w:val="24"/>
          <w:szCs w:val="24"/>
          <w:lang w:eastAsia="lt-LT"/>
        </w:rPr>
        <w:t>“</w:t>
      </w:r>
      <w:r w:rsidRPr="00C27FCE">
        <w:rPr>
          <w:sz w:val="24"/>
          <w:szCs w:val="24"/>
          <w:lang w:eastAsia="lt-LT"/>
        </w:rPr>
        <w:t xml:space="preserve"> </w:t>
      </w:r>
      <w:r w:rsidRPr="00C27FCE">
        <w:rPr>
          <w:sz w:val="24"/>
          <w:szCs w:val="24"/>
          <w:lang w:val="en-US" w:eastAsia="lt-LT"/>
        </w:rPr>
        <w:t>1</w:t>
      </w:r>
      <w:r w:rsidRPr="00C27FCE">
        <w:rPr>
          <w:color w:val="000000"/>
          <w:sz w:val="24"/>
          <w:szCs w:val="24"/>
          <w:lang w:eastAsia="lt-LT"/>
        </w:rPr>
        <w:t xml:space="preserve"> lentelėje nurodytą socialinį reikalavimą Eil. Nr. </w:t>
      </w:r>
      <w:r w:rsidRPr="00C27FCE">
        <w:rPr>
          <w:color w:val="000000"/>
          <w:sz w:val="24"/>
          <w:szCs w:val="24"/>
          <w:highlight w:val="lightGray"/>
          <w:lang w:eastAsia="lt-LT"/>
        </w:rPr>
        <w:t>___</w:t>
      </w:r>
      <w:r w:rsidRPr="00C27FCE">
        <w:rPr>
          <w:color w:val="000000"/>
          <w:sz w:val="24"/>
          <w:szCs w:val="24"/>
          <w:lang w:eastAsia="lt-LT"/>
        </w:rPr>
        <w:t xml:space="preserve">, punktas Nr. </w:t>
      </w:r>
      <w:r w:rsidRPr="00C27FCE">
        <w:rPr>
          <w:color w:val="000000"/>
          <w:sz w:val="24"/>
          <w:szCs w:val="24"/>
          <w:highlight w:val="lightGray"/>
          <w:lang w:eastAsia="lt-LT"/>
        </w:rPr>
        <w:t>___</w:t>
      </w:r>
      <w:r w:rsidRPr="00C27FCE">
        <w:rPr>
          <w:color w:val="000000"/>
          <w:sz w:val="24"/>
          <w:szCs w:val="24"/>
          <w:lang w:eastAsia="lt-LT"/>
        </w:rPr>
        <w:t xml:space="preserve">. </w:t>
      </w:r>
    </w:p>
    <w:p w:rsidR="00C27FCE" w:rsidRPr="00C27FCE" w:rsidRDefault="00C27FCE" w:rsidP="00C27FCE">
      <w:pPr>
        <w:spacing w:before="0"/>
        <w:jc w:val="both"/>
        <w:rPr>
          <w:color w:val="000000"/>
          <w:sz w:val="24"/>
          <w:szCs w:val="24"/>
          <w:lang w:eastAsia="lt-LT"/>
        </w:rPr>
      </w:pPr>
    </w:p>
    <w:p w:rsidR="00C27FCE" w:rsidRPr="00C27FCE" w:rsidRDefault="00C27FCE" w:rsidP="00C27FCE">
      <w:pPr>
        <w:spacing w:before="0"/>
        <w:jc w:val="both"/>
        <w:rPr>
          <w:i/>
          <w:iCs/>
          <w:color w:val="FF0000"/>
          <w:sz w:val="24"/>
          <w:szCs w:val="24"/>
          <w:lang w:eastAsia="lt-LT"/>
        </w:rPr>
      </w:pPr>
      <w:r w:rsidRPr="00C27FCE">
        <w:rPr>
          <w:i/>
          <w:iCs/>
          <w:color w:val="FF0000"/>
          <w:sz w:val="24"/>
          <w:szCs w:val="24"/>
          <w:lang w:eastAsia="lt-LT"/>
        </w:rPr>
        <w:t>(ir/arba)</w:t>
      </w:r>
    </w:p>
    <w:p w:rsidR="00C27FCE" w:rsidRPr="00C27FCE" w:rsidRDefault="00C27FCE" w:rsidP="00C27FCE">
      <w:pPr>
        <w:spacing w:before="0"/>
        <w:jc w:val="both"/>
        <w:rPr>
          <w:color w:val="FF0000"/>
          <w:sz w:val="24"/>
          <w:szCs w:val="24"/>
          <w:lang w:eastAsia="lt-LT"/>
        </w:rPr>
      </w:pPr>
    </w:p>
    <w:p w:rsidR="00C27FCE" w:rsidRPr="00C27FCE" w:rsidRDefault="00C27FCE" w:rsidP="00C27FCE">
      <w:pPr>
        <w:spacing w:before="0"/>
        <w:jc w:val="both"/>
        <w:rPr>
          <w:color w:val="000000"/>
          <w:sz w:val="24"/>
          <w:szCs w:val="24"/>
          <w:lang w:eastAsia="lt-LT"/>
        </w:rPr>
      </w:pPr>
      <w:r w:rsidRPr="00C27FCE">
        <w:rPr>
          <w:color w:val="000000"/>
          <w:sz w:val="24"/>
          <w:szCs w:val="24"/>
          <w:lang w:eastAsia="lt-LT"/>
        </w:rPr>
        <w:t>Patvirtiname, kad mūsų pasitelktas ūkio subjektas, kurio pajėgumais remiamės [</w:t>
      </w:r>
      <w:r w:rsidRPr="00C27FCE">
        <w:rPr>
          <w:color w:val="000000"/>
          <w:sz w:val="24"/>
          <w:szCs w:val="24"/>
          <w:highlight w:val="lightGray"/>
          <w:lang w:eastAsia="lt-LT"/>
        </w:rPr>
        <w:t>ūkio subjekto, kurio pajėgumais remiamasi, pavadinimas</w:t>
      </w:r>
      <w:r>
        <w:rPr>
          <w:color w:val="000000"/>
          <w:sz w:val="24"/>
          <w:szCs w:val="24"/>
          <w:lang w:eastAsia="lt-LT"/>
        </w:rPr>
        <w:t xml:space="preserve">] atitinka </w:t>
      </w:r>
      <w:r w:rsidRPr="00C27FCE">
        <w:rPr>
          <w:color w:val="000000"/>
          <w:sz w:val="24"/>
          <w:szCs w:val="24"/>
          <w:lang w:eastAsia="lt-LT"/>
        </w:rPr>
        <w:t>specialiųjų pirkimo sąlygų 1</w:t>
      </w:r>
      <w:r w:rsidRPr="00C27FCE">
        <w:rPr>
          <w:color w:val="000000"/>
          <w:sz w:val="24"/>
          <w:szCs w:val="24"/>
          <w:lang w:val="en-US" w:eastAsia="lt-LT"/>
        </w:rPr>
        <w:t>2</w:t>
      </w:r>
      <w:r w:rsidRPr="00C27FCE">
        <w:rPr>
          <w:color w:val="000000"/>
          <w:sz w:val="24"/>
          <w:szCs w:val="24"/>
          <w:lang w:eastAsia="lt-LT"/>
        </w:rPr>
        <w:t xml:space="preserve"> priede „Socialiniai reikalavimai“</w:t>
      </w:r>
      <w:r w:rsidRPr="00C27FCE">
        <w:rPr>
          <w:color w:val="000000"/>
          <w:sz w:val="24"/>
          <w:szCs w:val="24"/>
          <w:lang w:eastAsia="lt-LT"/>
        </w:rPr>
        <w:t xml:space="preserve"> </w:t>
      </w:r>
      <w:r w:rsidRPr="00C27FCE">
        <w:rPr>
          <w:sz w:val="24"/>
          <w:szCs w:val="24"/>
          <w:lang w:eastAsia="lt-LT"/>
        </w:rPr>
        <w:t>1</w:t>
      </w:r>
      <w:r w:rsidRPr="00C27FCE">
        <w:rPr>
          <w:color w:val="000000"/>
          <w:sz w:val="24"/>
          <w:szCs w:val="24"/>
          <w:lang w:eastAsia="lt-LT"/>
        </w:rPr>
        <w:t xml:space="preserve"> lentelėje nurodytą socialinį reikalavimą Eil. Nr. </w:t>
      </w:r>
      <w:r w:rsidRPr="00C27FCE">
        <w:rPr>
          <w:color w:val="000000"/>
          <w:sz w:val="24"/>
          <w:szCs w:val="24"/>
          <w:highlight w:val="lightGray"/>
          <w:lang w:eastAsia="lt-LT"/>
        </w:rPr>
        <w:t>___</w:t>
      </w:r>
      <w:r w:rsidRPr="00C27FCE">
        <w:rPr>
          <w:color w:val="000000"/>
          <w:sz w:val="24"/>
          <w:szCs w:val="24"/>
          <w:lang w:eastAsia="lt-LT"/>
        </w:rPr>
        <w:t xml:space="preserve">, punktas Nr. </w:t>
      </w:r>
      <w:r w:rsidRPr="00C27FCE">
        <w:rPr>
          <w:color w:val="000000"/>
          <w:sz w:val="24"/>
          <w:szCs w:val="24"/>
          <w:highlight w:val="lightGray"/>
          <w:lang w:eastAsia="lt-LT"/>
        </w:rPr>
        <w:t>___</w:t>
      </w:r>
      <w:r w:rsidRPr="00C27FCE">
        <w:rPr>
          <w:color w:val="000000"/>
          <w:sz w:val="24"/>
          <w:szCs w:val="24"/>
          <w:lang w:eastAsia="lt-LT"/>
        </w:rPr>
        <w:t xml:space="preserve">. </w:t>
      </w:r>
    </w:p>
    <w:p w:rsidR="00C27FCE" w:rsidRPr="00C27FCE" w:rsidRDefault="00C27FCE" w:rsidP="00C27FCE">
      <w:pPr>
        <w:spacing w:before="0"/>
        <w:jc w:val="both"/>
        <w:rPr>
          <w:color w:val="000000"/>
          <w:sz w:val="24"/>
          <w:szCs w:val="24"/>
          <w:lang w:eastAsia="lt-LT"/>
        </w:rPr>
      </w:pPr>
    </w:p>
    <w:p w:rsidR="00C27FCE" w:rsidRPr="00C27FCE" w:rsidRDefault="00C27FCE" w:rsidP="00C27FCE">
      <w:pPr>
        <w:spacing w:before="0"/>
        <w:jc w:val="both"/>
        <w:rPr>
          <w:i/>
          <w:iCs/>
          <w:color w:val="FF0000"/>
          <w:sz w:val="24"/>
          <w:szCs w:val="24"/>
          <w:lang w:eastAsia="lt-LT"/>
        </w:rPr>
      </w:pPr>
      <w:r w:rsidRPr="00C27FCE">
        <w:rPr>
          <w:i/>
          <w:iCs/>
          <w:color w:val="FF0000"/>
          <w:sz w:val="24"/>
          <w:szCs w:val="24"/>
          <w:lang w:eastAsia="lt-LT"/>
        </w:rPr>
        <w:t>(ir/arba)</w:t>
      </w:r>
    </w:p>
    <w:p w:rsidR="00C27FCE" w:rsidRPr="00C27FCE" w:rsidRDefault="00C27FCE" w:rsidP="00C27FCE">
      <w:pPr>
        <w:spacing w:before="0"/>
        <w:jc w:val="both"/>
        <w:rPr>
          <w:color w:val="000000"/>
          <w:sz w:val="24"/>
          <w:szCs w:val="24"/>
          <w:lang w:eastAsia="lt-LT"/>
        </w:rPr>
      </w:pPr>
    </w:p>
    <w:p w:rsidR="00C27FCE" w:rsidRPr="00C27FCE" w:rsidRDefault="00C27FCE" w:rsidP="00C27FCE">
      <w:pPr>
        <w:keepNext/>
        <w:spacing w:before="0" w:after="240"/>
        <w:jc w:val="both"/>
        <w:outlineLvl w:val="0"/>
        <w:rPr>
          <w:b/>
          <w:bCs/>
          <w:sz w:val="24"/>
          <w:szCs w:val="24"/>
        </w:rPr>
      </w:pPr>
      <w:r w:rsidRPr="00C27FCE">
        <w:rPr>
          <w:color w:val="000000"/>
          <w:sz w:val="24"/>
          <w:szCs w:val="24"/>
          <w:lang w:eastAsia="lt-LT"/>
        </w:rPr>
        <w:t>Patvirtiname, kad mūsų pasitelktas subtiekėjas [</w:t>
      </w:r>
      <w:r w:rsidRPr="00C27FCE">
        <w:rPr>
          <w:color w:val="000000"/>
          <w:sz w:val="24"/>
          <w:szCs w:val="24"/>
          <w:highlight w:val="lightGray"/>
          <w:lang w:eastAsia="lt-LT"/>
        </w:rPr>
        <w:t>subtiekėjo pavadinimas</w:t>
      </w:r>
      <w:r w:rsidRPr="00C27FCE">
        <w:rPr>
          <w:color w:val="000000"/>
          <w:sz w:val="24"/>
          <w:szCs w:val="24"/>
          <w:lang w:eastAsia="lt-LT"/>
        </w:rPr>
        <w:t xml:space="preserve">] atitinka </w:t>
      </w:r>
      <w:r w:rsidRPr="00C27FCE">
        <w:rPr>
          <w:color w:val="000000"/>
          <w:sz w:val="24"/>
          <w:szCs w:val="24"/>
          <w:lang w:eastAsia="lt-LT"/>
        </w:rPr>
        <w:t>specialiųjų pirkimo sąlygų 1</w:t>
      </w:r>
      <w:r w:rsidRPr="00C27FCE">
        <w:rPr>
          <w:color w:val="000000"/>
          <w:sz w:val="24"/>
          <w:szCs w:val="24"/>
          <w:lang w:val="en-US" w:eastAsia="lt-LT"/>
        </w:rPr>
        <w:t>2</w:t>
      </w:r>
      <w:r w:rsidRPr="00C27FCE">
        <w:rPr>
          <w:color w:val="000000"/>
          <w:sz w:val="24"/>
          <w:szCs w:val="24"/>
          <w:lang w:eastAsia="lt-LT"/>
        </w:rPr>
        <w:t xml:space="preserve"> priede „Socialiniai reikalavimai“</w:t>
      </w:r>
      <w:r w:rsidRPr="00C27FCE">
        <w:rPr>
          <w:color w:val="000000"/>
          <w:sz w:val="24"/>
          <w:szCs w:val="24"/>
          <w:lang w:eastAsia="lt-LT"/>
        </w:rPr>
        <w:t xml:space="preserve"> </w:t>
      </w:r>
      <w:r w:rsidRPr="00C27FCE">
        <w:rPr>
          <w:sz w:val="24"/>
          <w:szCs w:val="24"/>
          <w:lang w:eastAsia="lt-LT"/>
        </w:rPr>
        <w:t>1</w:t>
      </w:r>
      <w:r w:rsidRPr="00C27FCE">
        <w:rPr>
          <w:color w:val="000000"/>
          <w:sz w:val="24"/>
          <w:szCs w:val="24"/>
          <w:lang w:eastAsia="lt-LT"/>
        </w:rPr>
        <w:t xml:space="preserve"> lentelėje nurodytą socialinį reikalavimą Eil. Nr. </w:t>
      </w:r>
      <w:r w:rsidRPr="00C27FCE">
        <w:rPr>
          <w:color w:val="000000"/>
          <w:sz w:val="24"/>
          <w:szCs w:val="24"/>
          <w:highlight w:val="lightGray"/>
          <w:lang w:eastAsia="lt-LT"/>
        </w:rPr>
        <w:t>___</w:t>
      </w:r>
      <w:r w:rsidRPr="00C27FCE">
        <w:rPr>
          <w:color w:val="000000"/>
          <w:sz w:val="24"/>
          <w:szCs w:val="24"/>
          <w:lang w:eastAsia="lt-LT"/>
        </w:rPr>
        <w:t xml:space="preserve">, punktas Nr. </w:t>
      </w:r>
      <w:r w:rsidRPr="00C27FCE">
        <w:rPr>
          <w:color w:val="000000"/>
          <w:sz w:val="24"/>
          <w:szCs w:val="24"/>
          <w:highlight w:val="lightGray"/>
          <w:lang w:eastAsia="lt-LT"/>
        </w:rPr>
        <w:t>___</w:t>
      </w:r>
      <w:r w:rsidRPr="00C27FCE">
        <w:rPr>
          <w:color w:val="000000"/>
          <w:sz w:val="24"/>
          <w:szCs w:val="24"/>
          <w:lang w:eastAsia="lt-LT"/>
        </w:rPr>
        <w:t>.</w:t>
      </w:r>
      <w:bookmarkStart w:id="0" w:name="_GoBack"/>
      <w:bookmarkEnd w:id="0"/>
    </w:p>
    <w:p w:rsidR="00C40D06" w:rsidRDefault="00C40D06" w:rsidP="00C27FCE">
      <w:pPr>
        <w:spacing w:before="60"/>
        <w:ind w:right="-142"/>
        <w:jc w:val="both"/>
        <w:rPr>
          <w:b/>
          <w:sz w:val="24"/>
          <w:szCs w:val="24"/>
          <w:u w:val="single"/>
        </w:rPr>
      </w:pPr>
    </w:p>
    <w:p w:rsidR="00C40D06" w:rsidRPr="00C40D06" w:rsidRDefault="00C27FCE" w:rsidP="00C40D06">
      <w:pPr>
        <w:spacing w:before="60"/>
        <w:ind w:right="-142" w:firstLine="720"/>
        <w:jc w:val="both"/>
        <w:rPr>
          <w:sz w:val="24"/>
          <w:szCs w:val="24"/>
        </w:rPr>
      </w:pPr>
      <w:r w:rsidRPr="00F12CBF">
        <w:rPr>
          <w:b/>
          <w:sz w:val="24"/>
          <w:szCs w:val="24"/>
          <w:u w:val="single"/>
        </w:rPr>
        <w:t xml:space="preserve">7. </w:t>
      </w:r>
      <w:r w:rsidR="00C40D06" w:rsidRPr="00F12CBF">
        <w:rPr>
          <w:b/>
          <w:sz w:val="24"/>
          <w:szCs w:val="24"/>
          <w:u w:val="single"/>
        </w:rPr>
        <w:t xml:space="preserve">Kartu su pasiūlymu pateikiami </w:t>
      </w:r>
      <w:r w:rsidRPr="00F12CBF">
        <w:rPr>
          <w:b/>
          <w:sz w:val="24"/>
          <w:szCs w:val="24"/>
          <w:u w:val="single"/>
        </w:rPr>
        <w:t>pagrindinių perkančiosios organizacijos eksploatuojamos vaizdo ir garso transliacijos sistemos gamintojų Aveco, Blackmagic Design, BROADATA Communications, Panasonic, Utah Scientific, Fujinon ir Textus dokumentai (gamintojų išduotos pažymos, atestatai, sertifikatai, autorizacijos</w:t>
      </w:r>
      <w:r w:rsidR="00C40D06" w:rsidRPr="00F12CBF">
        <w:rPr>
          <w:b/>
          <w:sz w:val="24"/>
          <w:szCs w:val="24"/>
          <w:u w:val="single"/>
        </w:rPr>
        <w:t xml:space="preserve"> ar lygiav</w:t>
      </w:r>
      <w:r w:rsidRPr="00F12CBF">
        <w:rPr>
          <w:b/>
          <w:sz w:val="24"/>
          <w:szCs w:val="24"/>
          <w:u w:val="single"/>
        </w:rPr>
        <w:t>erčiai dokumentai</w:t>
      </w:r>
      <w:r w:rsidR="00C40D06" w:rsidRPr="00F12CBF">
        <w:rPr>
          <w:b/>
          <w:sz w:val="24"/>
          <w:szCs w:val="24"/>
          <w:u w:val="single"/>
        </w:rPr>
        <w:t xml:space="preserve">), patvirtinantys, kad Tiekėjas ar kitas ūkio subjektas, kurio pajėgumu tiekėjas numato remtis, yra </w:t>
      </w:r>
      <w:r w:rsidRPr="00F12CBF">
        <w:rPr>
          <w:b/>
          <w:sz w:val="24"/>
          <w:szCs w:val="24"/>
          <w:u w:val="single"/>
        </w:rPr>
        <w:t>nurodytų gamintojų</w:t>
      </w:r>
      <w:r w:rsidR="00C40D06" w:rsidRPr="00F12CBF">
        <w:rPr>
          <w:b/>
          <w:sz w:val="24"/>
          <w:szCs w:val="24"/>
          <w:u w:val="single"/>
        </w:rPr>
        <w:t xml:space="preserve"> įgaliotas tiekti įrangą, nurodytą pirkimo sąlygų </w:t>
      </w:r>
      <w:r w:rsidR="00C40D06" w:rsidRPr="00F12CBF">
        <w:rPr>
          <w:b/>
          <w:sz w:val="24"/>
          <w:szCs w:val="24"/>
          <w:u w:val="single"/>
          <w:lang w:val="en-US"/>
        </w:rPr>
        <w:t>3</w:t>
      </w:r>
      <w:r w:rsidR="00C40D06" w:rsidRPr="00F12CBF">
        <w:rPr>
          <w:b/>
          <w:sz w:val="24"/>
          <w:szCs w:val="24"/>
          <w:u w:val="single"/>
        </w:rPr>
        <w:t xml:space="preserve"> priede „Techninė specifikacija“, atlikti jos remontą ir (ar) techninę priežiūrą</w:t>
      </w:r>
      <w:r w:rsidR="00C40D06" w:rsidRPr="00F12CBF">
        <w:rPr>
          <w:b/>
          <w:i/>
          <w:sz w:val="24"/>
          <w:szCs w:val="24"/>
          <w:u w:val="single"/>
        </w:rPr>
        <w:t>.</w:t>
      </w:r>
      <w:r w:rsidR="00C40D06" w:rsidRPr="00C40D06">
        <w:rPr>
          <w:b/>
          <w:sz w:val="24"/>
          <w:szCs w:val="24"/>
          <w:u w:val="single"/>
        </w:rPr>
        <w:t xml:space="preserve"> </w:t>
      </w:r>
      <w:r w:rsidR="00C40D06" w:rsidRPr="00C40D06">
        <w:rPr>
          <w:sz w:val="24"/>
          <w:szCs w:val="24"/>
        </w:rPr>
        <w:t xml:space="preserve">Jeigu tiekėjas numato remtis kito ūkio subjekto pajėgumu, privalo pateikti sutarties su kitu ūkio subjektu, kuris yra </w:t>
      </w:r>
      <w:r w:rsidR="00F12CBF">
        <w:rPr>
          <w:sz w:val="24"/>
          <w:szCs w:val="24"/>
        </w:rPr>
        <w:t>nurodytų gamintojų</w:t>
      </w:r>
      <w:r w:rsidR="00C40D06" w:rsidRPr="00C40D06">
        <w:rPr>
          <w:sz w:val="24"/>
          <w:szCs w:val="24"/>
        </w:rPr>
        <w:t xml:space="preserve"> įgaliotas tiekti tokią įrangą ir atlikti įrangos remontą </w:t>
      </w:r>
      <w:r w:rsidR="00C40D06">
        <w:rPr>
          <w:sz w:val="24"/>
          <w:szCs w:val="24"/>
        </w:rPr>
        <w:t>ir (ar)</w:t>
      </w:r>
      <w:r w:rsidR="00C40D06" w:rsidRPr="00C40D06">
        <w:rPr>
          <w:sz w:val="24"/>
          <w:szCs w:val="24"/>
        </w:rPr>
        <w:t xml:space="preserve"> techninę priežiūrą, kopiją su gamintojų įgaliojimus patvirtinančių dokumentų kopijomis ir tokios įmonės įsipareigojimą tiekti įrangos medžiagas, dalis, mazgus pirkimo dokumentuose nustatytomis sąlygomis.</w:t>
      </w:r>
    </w:p>
    <w:p w:rsidR="000A2AEB" w:rsidRPr="000A2AEB" w:rsidRDefault="000A2AEB" w:rsidP="00607006">
      <w:pPr>
        <w:spacing w:before="60"/>
        <w:ind w:right="-143"/>
        <w:jc w:val="both"/>
        <w:rPr>
          <w:sz w:val="24"/>
          <w:szCs w:val="24"/>
        </w:rPr>
      </w:pPr>
    </w:p>
    <w:p w:rsidR="000A2AEB" w:rsidRPr="000A2AEB" w:rsidRDefault="00C27FCE" w:rsidP="00607006">
      <w:pPr>
        <w:spacing w:before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A2AEB" w:rsidRPr="000A2AEB">
        <w:rPr>
          <w:sz w:val="24"/>
          <w:szCs w:val="24"/>
        </w:rPr>
        <w:t>. Šiame pasiūlyme yra pateikta ir konfidenciali informacija*: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Eil.Nr.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0A2AEB" w:rsidRPr="000A2AEB" w:rsidRDefault="00C27FCE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A2AEB" w:rsidRPr="000A2AEB">
        <w:rPr>
          <w:sz w:val="24"/>
          <w:szCs w:val="24"/>
        </w:rPr>
        <w:t>. Pasiūlymas galioja 90 dienų.</w:t>
      </w:r>
    </w:p>
    <w:p w:rsidR="000A2AEB" w:rsidRPr="000A2AEB" w:rsidRDefault="00C27FCE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A2AEB" w:rsidRPr="000A2AEB">
        <w:rPr>
          <w:sz w:val="24"/>
          <w:szCs w:val="24"/>
        </w:rPr>
        <w:t>. Kartu su pasiūlymu pateikiami šie dokumentai: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74"/>
        <w:gridCol w:w="2410"/>
      </w:tblGrid>
      <w:tr w:rsidR="00C27FCE" w:rsidRPr="000A2AEB" w:rsidTr="00C27FCE">
        <w:tc>
          <w:tcPr>
            <w:tcW w:w="851" w:type="dxa"/>
          </w:tcPr>
          <w:p w:rsidR="00C27FCE" w:rsidRPr="000A2AEB" w:rsidRDefault="00C27FCE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6974" w:type="dxa"/>
          </w:tcPr>
          <w:p w:rsidR="00C27FCE" w:rsidRPr="000A2AEB" w:rsidRDefault="00C27FCE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2410" w:type="dxa"/>
          </w:tcPr>
          <w:p w:rsidR="00C27FCE" w:rsidRPr="000A2AEB" w:rsidRDefault="00C27FCE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C27FCE" w:rsidRPr="000A2AEB" w:rsidTr="00C27FCE">
        <w:tc>
          <w:tcPr>
            <w:tcW w:w="851" w:type="dxa"/>
          </w:tcPr>
          <w:p w:rsidR="00C27FCE" w:rsidRPr="000A2AEB" w:rsidRDefault="00C27FCE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6974" w:type="dxa"/>
          </w:tcPr>
          <w:p w:rsidR="00C27FCE" w:rsidRPr="000A2AEB" w:rsidRDefault="00C27FCE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27FCE" w:rsidRPr="000A2AEB" w:rsidRDefault="00C27FCE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C27FCE" w:rsidRPr="000A2AEB" w:rsidTr="00C27FCE">
        <w:tc>
          <w:tcPr>
            <w:tcW w:w="851" w:type="dxa"/>
          </w:tcPr>
          <w:p w:rsidR="00C27FCE" w:rsidRPr="000A2AEB" w:rsidRDefault="00C27FCE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6974" w:type="dxa"/>
          </w:tcPr>
          <w:p w:rsidR="00C27FCE" w:rsidRPr="000A2AEB" w:rsidRDefault="00C27FCE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27FCE" w:rsidRPr="000A2AEB" w:rsidRDefault="00C27FCE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C27FCE" w:rsidRPr="000A2AEB" w:rsidTr="00C27FCE">
        <w:tc>
          <w:tcPr>
            <w:tcW w:w="851" w:type="dxa"/>
          </w:tcPr>
          <w:p w:rsidR="00C27FCE" w:rsidRPr="000A2AEB" w:rsidRDefault="00C27FCE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6974" w:type="dxa"/>
          </w:tcPr>
          <w:p w:rsidR="00C27FCE" w:rsidRPr="000A2AEB" w:rsidRDefault="00C27FCE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27FCE" w:rsidRPr="000A2AEB" w:rsidRDefault="00C27FCE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Pr="000A2AEB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</w:t>
            </w:r>
            <w:r w:rsidR="00607006">
              <w:rPr>
                <w:position w:val="6"/>
                <w:sz w:val="20"/>
                <w:szCs w:val="20"/>
              </w:rPr>
              <w:t>ioto asmens pareigų pavadinimas</w:t>
            </w:r>
            <w:r w:rsidRPr="000A2AEB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Pr="000A2AEB" w:rsidRDefault="000A2AEB" w:rsidP="000A2AEB">
      <w:pPr>
        <w:ind w:right="-511"/>
        <w:jc w:val="both"/>
        <w:rPr>
          <w:sz w:val="20"/>
          <w:szCs w:val="20"/>
        </w:rPr>
        <w:sectPr w:rsidR="000A2AEB" w:rsidRPr="000A2AEB" w:rsidSect="0033412F">
          <w:pgSz w:w="11907" w:h="16840" w:code="9"/>
          <w:pgMar w:top="1276" w:right="709" w:bottom="1134" w:left="1134" w:header="624" w:footer="624" w:gutter="0"/>
          <w:pgNumType w:chapSep="emDash"/>
          <w:cols w:space="1296"/>
          <w:docGrid w:linePitch="299"/>
        </w:sectPr>
      </w:pPr>
    </w:p>
    <w:p w:rsidR="000A2AEB" w:rsidRDefault="000A2AEB" w:rsidP="00647E31"/>
    <w:sectPr w:rsidR="000A2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24A8"/>
    <w:multiLevelType w:val="multilevel"/>
    <w:tmpl w:val="7DE2B1D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3372C"/>
    <w:rsid w:val="000A2AEB"/>
    <w:rsid w:val="000A3283"/>
    <w:rsid w:val="000E0AD7"/>
    <w:rsid w:val="001739B7"/>
    <w:rsid w:val="001E6594"/>
    <w:rsid w:val="0024566A"/>
    <w:rsid w:val="003734CF"/>
    <w:rsid w:val="0040092D"/>
    <w:rsid w:val="00607006"/>
    <w:rsid w:val="00647E31"/>
    <w:rsid w:val="006D791A"/>
    <w:rsid w:val="00743DD8"/>
    <w:rsid w:val="007C13E3"/>
    <w:rsid w:val="0090099B"/>
    <w:rsid w:val="00C27FCE"/>
    <w:rsid w:val="00C40D06"/>
    <w:rsid w:val="00CE5BB9"/>
    <w:rsid w:val="00E34CB9"/>
    <w:rsid w:val="00F12CB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E29C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2AEB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647E31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7E31"/>
    <w:rPr>
      <w:rFonts w:ascii="Times New Roman" w:eastAsia="Times New Roman" w:hAnsi="Times New Roman" w:cs="Times New Roman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prastasis"/>
    <w:link w:val="SraopastraipaDiagrama"/>
    <w:uiPriority w:val="34"/>
    <w:qFormat/>
    <w:rsid w:val="00C27FCE"/>
    <w:pPr>
      <w:spacing w:before="0"/>
      <w:ind w:left="720"/>
      <w:contextualSpacing/>
    </w:pPr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C27F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2952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12</cp:revision>
  <dcterms:created xsi:type="dcterms:W3CDTF">2025-08-22T11:05:00Z</dcterms:created>
  <dcterms:modified xsi:type="dcterms:W3CDTF">2026-05-06T12:56:00Z</dcterms:modified>
</cp:coreProperties>
</file>