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80A" w:rsidRPr="00A3180A" w:rsidRDefault="00A3180A" w:rsidP="00A3180A">
      <w:pPr>
        <w:keepNext/>
        <w:keepLines/>
        <w:spacing w:before="120" w:after="0" w:line="240" w:lineRule="auto"/>
        <w:ind w:left="5103"/>
        <w:jc w:val="right"/>
        <w:outlineLvl w:val="1"/>
        <w:rPr>
          <w:rFonts w:ascii="Times New Roman" w:eastAsia="Calibri Light" w:hAnsi="Times New Roman" w:cs="Times New Roman"/>
          <w:sz w:val="24"/>
          <w:szCs w:val="24"/>
          <w:lang w:eastAsia="lt-LT"/>
        </w:rPr>
      </w:pPr>
      <w:bookmarkStart w:id="0" w:name="_Toc194565222"/>
      <w:r>
        <w:rPr>
          <w:rFonts w:ascii="Times New Roman" w:eastAsia="Calibri Light" w:hAnsi="Times New Roman" w:cs="Times New Roman"/>
          <w:sz w:val="24"/>
          <w:szCs w:val="24"/>
          <w:lang w:eastAsia="lt-LT"/>
        </w:rPr>
        <w:t>Pirkimo sąlygų 12</w:t>
      </w:r>
      <w:r w:rsidRPr="00A3180A">
        <w:rPr>
          <w:rFonts w:ascii="Times New Roman" w:eastAsia="Calibri Light" w:hAnsi="Times New Roman" w:cs="Times New Roman"/>
          <w:sz w:val="24"/>
          <w:szCs w:val="24"/>
          <w:lang w:eastAsia="lt-LT"/>
        </w:rPr>
        <w:t xml:space="preserve"> priedas</w:t>
      </w:r>
      <w:bookmarkEnd w:id="0"/>
    </w:p>
    <w:p w:rsidR="00AB564A" w:rsidRDefault="00AB564A"/>
    <w:p w:rsidR="00A3180A" w:rsidRDefault="00A3180A"/>
    <w:p w:rsidR="00A3180A" w:rsidRDefault="00A3180A" w:rsidP="00A3180A">
      <w:pPr>
        <w:jc w:val="center"/>
        <w:rPr>
          <w:rFonts w:ascii="Times New Roman" w:eastAsia="Calibri" w:hAnsi="Times New Roman" w:cs="Times New Roman"/>
          <w:b/>
          <w:sz w:val="24"/>
          <w:szCs w:val="24"/>
        </w:rPr>
      </w:pPr>
      <w:bookmarkStart w:id="1" w:name="_Toc184815648"/>
      <w:r w:rsidRPr="00A3180A">
        <w:rPr>
          <w:rFonts w:ascii="Times New Roman" w:eastAsia="Calibri" w:hAnsi="Times New Roman" w:cs="Times New Roman"/>
          <w:b/>
          <w:sz w:val="24"/>
          <w:szCs w:val="24"/>
        </w:rPr>
        <w:t>SOCIALINIAI REIKALAVIMAI</w:t>
      </w:r>
      <w:bookmarkEnd w:id="1"/>
    </w:p>
    <w:p w:rsidR="00A3180A" w:rsidRPr="00A3180A" w:rsidRDefault="00A3180A" w:rsidP="00A3180A">
      <w:pPr>
        <w:jc w:val="center"/>
        <w:rPr>
          <w:rFonts w:ascii="Times New Roman" w:eastAsia="Calibri" w:hAnsi="Times New Roman" w:cs="Times New Roman"/>
          <w:b/>
          <w:sz w:val="24"/>
          <w:szCs w:val="24"/>
        </w:rPr>
      </w:pPr>
    </w:p>
    <w:p w:rsidR="00A3180A" w:rsidRDefault="00A3180A" w:rsidP="00A3180A">
      <w:pPr>
        <w:ind w:firstLine="1296"/>
        <w:jc w:val="both"/>
        <w:rPr>
          <w:rFonts w:ascii="Times New Roman" w:eastAsia="Calibri" w:hAnsi="Times New Roman" w:cs="Times New Roman"/>
          <w:color w:val="000000"/>
          <w:sz w:val="24"/>
          <w:szCs w:val="24"/>
        </w:rPr>
      </w:pPr>
      <w:r w:rsidRPr="00A3180A">
        <w:rPr>
          <w:rFonts w:ascii="Times New Roman" w:eastAsia="Calibri" w:hAnsi="Times New Roman" w:cs="Times New Roman"/>
          <w:sz w:val="24"/>
          <w:szCs w:val="24"/>
        </w:rPr>
        <w:t xml:space="preserve">Tiekėjas arba jo pasitelktas subtiekėjas, arba ūkio subjektas, kurio </w:t>
      </w:r>
      <w:proofErr w:type="spellStart"/>
      <w:r w:rsidRPr="00A3180A">
        <w:rPr>
          <w:rFonts w:ascii="Times New Roman" w:eastAsia="Calibri" w:hAnsi="Times New Roman" w:cs="Times New Roman"/>
          <w:sz w:val="24"/>
          <w:szCs w:val="24"/>
        </w:rPr>
        <w:t>pajėgumais</w:t>
      </w:r>
      <w:proofErr w:type="spellEnd"/>
      <w:r w:rsidRPr="00A3180A">
        <w:rPr>
          <w:rFonts w:ascii="Times New Roman" w:eastAsia="Calibri" w:hAnsi="Times New Roman" w:cs="Times New Roman"/>
          <w:sz w:val="24"/>
          <w:szCs w:val="24"/>
        </w:rPr>
        <w:t xml:space="preserve"> remiamasi</w:t>
      </w:r>
      <w:r>
        <w:rPr>
          <w:rFonts w:ascii="Times New Roman" w:eastAsia="Calibri" w:hAnsi="Times New Roman" w:cs="Times New Roman"/>
          <w:sz w:val="24"/>
          <w:szCs w:val="24"/>
        </w:rPr>
        <w:t>,</w:t>
      </w:r>
      <w:r w:rsidRPr="00A3180A">
        <w:rPr>
          <w:rFonts w:ascii="Times New Roman" w:eastAsia="Calibri" w:hAnsi="Times New Roman" w:cs="Times New Roman"/>
          <w:sz w:val="24"/>
          <w:szCs w:val="24"/>
        </w:rPr>
        <w:t xml:space="preserve"> </w:t>
      </w:r>
      <w:r w:rsidR="00A10DE7">
        <w:rPr>
          <w:rFonts w:ascii="Times New Roman" w:eastAsia="Calibri" w:hAnsi="Times New Roman" w:cs="Times New Roman"/>
          <w:sz w:val="24"/>
          <w:szCs w:val="24"/>
        </w:rPr>
        <w:t xml:space="preserve">  privalo atitikti </w:t>
      </w:r>
      <w:r w:rsidR="00A10DE7" w:rsidRPr="00A10DE7">
        <w:rPr>
          <w:rFonts w:ascii="Times New Roman" w:eastAsia="Calibri" w:hAnsi="Times New Roman" w:cs="Times New Roman"/>
          <w:b/>
          <w:sz w:val="24"/>
          <w:szCs w:val="24"/>
        </w:rPr>
        <w:t>bent vieną</w:t>
      </w:r>
      <w:r w:rsidR="00A10DE7">
        <w:rPr>
          <w:rFonts w:ascii="Times New Roman" w:eastAsia="Calibri" w:hAnsi="Times New Roman" w:cs="Times New Roman"/>
          <w:b/>
          <w:sz w:val="24"/>
          <w:szCs w:val="24"/>
        </w:rPr>
        <w:t xml:space="preserve"> socialinį</w:t>
      </w:r>
      <w:r w:rsidRPr="00A10DE7">
        <w:rPr>
          <w:rFonts w:ascii="Times New Roman" w:eastAsia="Calibri" w:hAnsi="Times New Roman" w:cs="Times New Roman"/>
          <w:b/>
          <w:sz w:val="24"/>
          <w:szCs w:val="24"/>
        </w:rPr>
        <w:t xml:space="preserve"> </w:t>
      </w:r>
      <w:r w:rsidR="00A10DE7">
        <w:rPr>
          <w:rFonts w:ascii="Times New Roman" w:eastAsia="Calibri" w:hAnsi="Times New Roman" w:cs="Times New Roman"/>
          <w:b/>
          <w:color w:val="000000"/>
          <w:sz w:val="24"/>
          <w:szCs w:val="24"/>
        </w:rPr>
        <w:t>reikalavimą</w:t>
      </w:r>
      <w:bookmarkStart w:id="2" w:name="_GoBack"/>
      <w:bookmarkEnd w:id="2"/>
      <w:r w:rsidR="00A10DE7" w:rsidRPr="00A10DE7">
        <w:rPr>
          <w:rFonts w:ascii="Times New Roman" w:eastAsia="Calibri" w:hAnsi="Times New Roman" w:cs="Times New Roman"/>
          <w:b/>
          <w:color w:val="000000"/>
          <w:sz w:val="24"/>
          <w:szCs w:val="24"/>
        </w:rPr>
        <w:t xml:space="preserve"> iš</w:t>
      </w:r>
      <w:r>
        <w:rPr>
          <w:rFonts w:ascii="Times New Roman" w:eastAsia="Calibri" w:hAnsi="Times New Roman" w:cs="Times New Roman"/>
          <w:color w:val="000000"/>
          <w:sz w:val="24"/>
          <w:szCs w:val="24"/>
        </w:rPr>
        <w:t xml:space="preserve"> </w:t>
      </w:r>
      <w:r>
        <w:rPr>
          <w:rFonts w:ascii="Times New Roman" w:eastAsia="Calibri" w:hAnsi="Times New Roman" w:cs="Times New Roman"/>
          <w:b/>
          <w:bCs/>
          <w:color w:val="000000"/>
          <w:sz w:val="24"/>
          <w:szCs w:val="24"/>
        </w:rPr>
        <w:t>1</w:t>
      </w:r>
      <w:r w:rsidRPr="00A3180A">
        <w:rPr>
          <w:rFonts w:ascii="Times New Roman" w:eastAsia="Calibri" w:hAnsi="Times New Roman" w:cs="Times New Roman"/>
          <w:b/>
          <w:bCs/>
          <w:color w:val="000000"/>
          <w:sz w:val="24"/>
          <w:szCs w:val="24"/>
        </w:rPr>
        <w:t xml:space="preserve"> lentelės 1 punkte nurodytų šeimos ir darbo įsipareigojimų derinimo priemonių ir / </w:t>
      </w:r>
      <w:r w:rsidRPr="00A3180A">
        <w:rPr>
          <w:rFonts w:ascii="Times New Roman" w:eastAsia="Calibri" w:hAnsi="Times New Roman" w:cs="Times New Roman"/>
          <w:b/>
          <w:bCs/>
          <w:color w:val="000000"/>
          <w:sz w:val="24"/>
          <w:szCs w:val="24"/>
          <w:u w:val="single"/>
        </w:rPr>
        <w:t>arba</w:t>
      </w:r>
      <w:r>
        <w:rPr>
          <w:rFonts w:ascii="Times New Roman" w:eastAsia="Calibri" w:hAnsi="Times New Roman" w:cs="Times New Roman"/>
          <w:b/>
          <w:bCs/>
          <w:color w:val="000000"/>
          <w:sz w:val="24"/>
          <w:szCs w:val="24"/>
        </w:rPr>
        <w:t xml:space="preserve"> bent vieną iš 1</w:t>
      </w:r>
      <w:r w:rsidRPr="00A3180A">
        <w:rPr>
          <w:rFonts w:ascii="Times New Roman" w:eastAsia="Calibri" w:hAnsi="Times New Roman" w:cs="Times New Roman"/>
          <w:b/>
          <w:bCs/>
          <w:color w:val="000000"/>
          <w:sz w:val="24"/>
          <w:szCs w:val="24"/>
        </w:rPr>
        <w:t xml:space="preserve"> lentelės 2 punkte nurodytų priemonių, skirtų psichologinio smurto prevencijai užtikrinti ir aktyvių veiksmų pagalbai asmenims, patyrusiems psichologinį smurtą, suteikti. </w:t>
      </w:r>
      <w:r w:rsidRPr="00A3180A">
        <w:rPr>
          <w:rFonts w:ascii="Times New Roman" w:eastAsia="Calibri" w:hAnsi="Times New Roman" w:cs="Times New Roman"/>
          <w:color w:val="000000"/>
          <w:sz w:val="24"/>
          <w:szCs w:val="24"/>
        </w:rPr>
        <w:t>Atitikimas reikalavimui turi būti deklaruojamas specialiųjų pirkimo sąlygų 6 priede „Pasiūlymo forma“.</w:t>
      </w:r>
      <w:r>
        <w:rPr>
          <w:rFonts w:ascii="Times New Roman" w:eastAsia="Calibri" w:hAnsi="Times New Roman" w:cs="Times New Roman"/>
          <w:color w:val="000000"/>
          <w:sz w:val="24"/>
          <w:szCs w:val="24"/>
        </w:rPr>
        <w:t xml:space="preserve"> Kitų dokumentų, nurodytų 1</w:t>
      </w:r>
      <w:r w:rsidRPr="00A3180A">
        <w:rPr>
          <w:rFonts w:ascii="Times New Roman" w:eastAsia="Calibri" w:hAnsi="Times New Roman" w:cs="Times New Roman"/>
          <w:color w:val="000000"/>
          <w:sz w:val="24"/>
          <w:szCs w:val="24"/>
        </w:rPr>
        <w:t xml:space="preserve"> lentelėje (vieno ar kelių), bus prašoma pateikti tik iš Tiekėjo, kuris pagal sudarytą pasiūlymų eilę, pateikė ekonomiškai naudingiausią pasiūlymą.</w:t>
      </w:r>
    </w:p>
    <w:p w:rsidR="00A3180A" w:rsidRPr="00A3180A" w:rsidRDefault="00A3180A" w:rsidP="00A3180A">
      <w:pPr>
        <w:ind w:firstLine="1296"/>
        <w:jc w:val="right"/>
        <w:rPr>
          <w:rFonts w:ascii="Times New Roman" w:eastAsia="Calibri" w:hAnsi="Times New Roman" w:cs="Times New Roman"/>
          <w:color w:val="000000"/>
        </w:rPr>
      </w:pPr>
      <w:r w:rsidRPr="00A3180A">
        <w:rPr>
          <w:rFonts w:ascii="Times New Roman" w:eastAsia="Calibri" w:hAnsi="Times New Roman" w:cs="Times New Roman"/>
          <w:color w:val="000000"/>
        </w:rPr>
        <w:t>1 lentelė</w:t>
      </w:r>
    </w:p>
    <w:tbl>
      <w:tblPr>
        <w:tblStyle w:val="Lentelstinklelis"/>
        <w:tblW w:w="0" w:type="auto"/>
        <w:tblLook w:val="04A0" w:firstRow="1" w:lastRow="0" w:firstColumn="1" w:lastColumn="0" w:noHBand="0" w:noVBand="1"/>
      </w:tblPr>
      <w:tblGrid>
        <w:gridCol w:w="625"/>
        <w:gridCol w:w="4500"/>
        <w:gridCol w:w="4503"/>
      </w:tblGrid>
      <w:tr w:rsidR="00A3180A" w:rsidRPr="00A3180A" w:rsidTr="002907C6">
        <w:tc>
          <w:tcPr>
            <w:tcW w:w="9628" w:type="dxa"/>
            <w:gridSpan w:val="3"/>
          </w:tcPr>
          <w:p w:rsidR="00A3180A" w:rsidRPr="00A3180A" w:rsidRDefault="00A3180A" w:rsidP="00A3180A">
            <w:pPr>
              <w:tabs>
                <w:tab w:val="left" w:pos="450"/>
              </w:tabs>
              <w:contextualSpacing/>
              <w:jc w:val="center"/>
              <w:rPr>
                <w:rFonts w:ascii="Arial" w:eastAsia="Calibri" w:hAnsi="Arial" w:cs="Arial"/>
                <w:b/>
                <w:bCs/>
                <w:color w:val="FF0000"/>
              </w:rPr>
            </w:pPr>
            <w:r w:rsidRPr="00A3180A">
              <w:rPr>
                <w:rFonts w:ascii="Arial" w:eastAsia="Calibri" w:hAnsi="Arial" w:cs="Arial"/>
                <w:b/>
                <w:bCs/>
              </w:rPr>
              <w:t>SOCIALINIAI REIKALAVIMAI</w:t>
            </w:r>
          </w:p>
        </w:tc>
      </w:tr>
      <w:tr w:rsidR="00A3180A" w:rsidRPr="00A3180A" w:rsidTr="002907C6">
        <w:tc>
          <w:tcPr>
            <w:tcW w:w="625" w:type="dxa"/>
          </w:tcPr>
          <w:p w:rsidR="00A3180A" w:rsidRPr="00A3180A" w:rsidRDefault="00A3180A" w:rsidP="00A3180A">
            <w:pPr>
              <w:tabs>
                <w:tab w:val="left" w:pos="450"/>
              </w:tabs>
              <w:contextualSpacing/>
              <w:jc w:val="center"/>
              <w:rPr>
                <w:rFonts w:ascii="Arial" w:eastAsia="Calibri" w:hAnsi="Arial" w:cs="Arial"/>
                <w:b/>
                <w:bCs/>
              </w:rPr>
            </w:pPr>
            <w:r w:rsidRPr="00A3180A">
              <w:rPr>
                <w:rFonts w:ascii="Arial" w:eastAsia="Calibri" w:hAnsi="Arial" w:cs="Arial"/>
                <w:b/>
                <w:bCs/>
              </w:rPr>
              <w:t>Eil. Nr.</w:t>
            </w:r>
          </w:p>
        </w:tc>
        <w:tc>
          <w:tcPr>
            <w:tcW w:w="4500" w:type="dxa"/>
          </w:tcPr>
          <w:p w:rsidR="00A3180A" w:rsidRPr="00A3180A" w:rsidRDefault="00A3180A" w:rsidP="00A3180A">
            <w:pPr>
              <w:tabs>
                <w:tab w:val="left" w:pos="450"/>
              </w:tabs>
              <w:contextualSpacing/>
              <w:jc w:val="center"/>
              <w:rPr>
                <w:rFonts w:ascii="Arial" w:eastAsia="Calibri" w:hAnsi="Arial" w:cs="Arial"/>
                <w:b/>
                <w:bCs/>
              </w:rPr>
            </w:pPr>
            <w:r w:rsidRPr="00A3180A">
              <w:rPr>
                <w:rFonts w:ascii="Arial" w:eastAsia="Calibri" w:hAnsi="Arial" w:cs="Arial"/>
                <w:b/>
                <w:bCs/>
              </w:rPr>
              <w:t>Reikalavimas</w:t>
            </w:r>
          </w:p>
        </w:tc>
        <w:tc>
          <w:tcPr>
            <w:tcW w:w="4503" w:type="dxa"/>
          </w:tcPr>
          <w:p w:rsidR="00A3180A" w:rsidRPr="00A3180A" w:rsidRDefault="00A3180A" w:rsidP="00A3180A">
            <w:pPr>
              <w:tabs>
                <w:tab w:val="left" w:pos="450"/>
              </w:tabs>
              <w:contextualSpacing/>
              <w:jc w:val="center"/>
              <w:rPr>
                <w:rFonts w:ascii="Arial" w:eastAsia="Calibri" w:hAnsi="Arial" w:cs="Arial"/>
                <w:b/>
                <w:bCs/>
              </w:rPr>
            </w:pPr>
            <w:r w:rsidRPr="00A3180A">
              <w:rPr>
                <w:rFonts w:ascii="Arial" w:eastAsia="Calibri" w:hAnsi="Arial" w:cs="Arial"/>
                <w:b/>
                <w:bCs/>
              </w:rPr>
              <w:t>Pateikiami dokumentai</w:t>
            </w:r>
          </w:p>
        </w:tc>
      </w:tr>
      <w:tr w:rsidR="00A3180A" w:rsidRPr="00A3180A" w:rsidTr="002907C6">
        <w:tc>
          <w:tcPr>
            <w:tcW w:w="625" w:type="dxa"/>
          </w:tcPr>
          <w:p w:rsidR="00A3180A" w:rsidRPr="00A3180A" w:rsidRDefault="00A3180A" w:rsidP="00A3180A">
            <w:pPr>
              <w:tabs>
                <w:tab w:val="left" w:pos="450"/>
              </w:tabs>
              <w:contextualSpacing/>
              <w:jc w:val="right"/>
              <w:rPr>
                <w:rFonts w:ascii="Arial" w:eastAsia="Calibri" w:hAnsi="Arial" w:cs="Arial"/>
                <w:color w:val="FF0000"/>
              </w:rPr>
            </w:pPr>
            <w:r w:rsidRPr="00A3180A">
              <w:rPr>
                <w:rFonts w:ascii="Arial" w:eastAsia="Calibri" w:hAnsi="Arial" w:cs="Arial"/>
              </w:rPr>
              <w:t>1.</w:t>
            </w:r>
          </w:p>
        </w:tc>
        <w:tc>
          <w:tcPr>
            <w:tcW w:w="4500" w:type="dxa"/>
          </w:tcPr>
          <w:p w:rsidR="00A3180A" w:rsidRPr="00A3180A" w:rsidRDefault="00A3180A" w:rsidP="00A3180A">
            <w:pPr>
              <w:ind w:right="36"/>
              <w:jc w:val="both"/>
              <w:rPr>
                <w:rFonts w:ascii="Arial" w:eastAsia="Calibri" w:hAnsi="Arial" w:cs="Arial"/>
                <w:iCs/>
              </w:rPr>
            </w:pPr>
            <w:r w:rsidRPr="00A3180A">
              <w:rPr>
                <w:rFonts w:ascii="Arial" w:eastAsia="Calibri" w:hAnsi="Arial" w:cs="Arial"/>
                <w:iCs/>
              </w:rPr>
              <w:t xml:space="preserve">Sutarties vykdymo laikotarpiu tiekėjo arba jo pasitelkto subtiekėjo, arba  ūkio subjekto, kurio </w:t>
            </w:r>
            <w:proofErr w:type="spellStart"/>
            <w:r w:rsidRPr="00A3180A">
              <w:rPr>
                <w:rFonts w:ascii="Arial" w:eastAsia="Calibri" w:hAnsi="Arial" w:cs="Arial"/>
                <w:iCs/>
              </w:rPr>
              <w:t>pajėgumais</w:t>
            </w:r>
            <w:proofErr w:type="spellEnd"/>
            <w:r w:rsidRPr="00A3180A">
              <w:rPr>
                <w:rFonts w:ascii="Arial" w:eastAsia="Calibri" w:hAnsi="Arial" w:cs="Arial"/>
                <w:iCs/>
              </w:rPr>
              <w:t xml:space="preserve"> remiamasi, darbuotojui (-</w:t>
            </w:r>
            <w:proofErr w:type="spellStart"/>
            <w:r w:rsidRPr="00A3180A">
              <w:rPr>
                <w:rFonts w:ascii="Arial" w:eastAsia="Calibri" w:hAnsi="Arial" w:cs="Arial"/>
                <w:iCs/>
              </w:rPr>
              <w:t>ams</w:t>
            </w:r>
            <w:proofErr w:type="spellEnd"/>
            <w:r w:rsidRPr="00A3180A">
              <w:rPr>
                <w:rFonts w:ascii="Arial" w:eastAsia="Calibri" w:hAnsi="Arial" w:cs="Arial"/>
                <w:iCs/>
              </w:rPr>
              <w:t xml:space="preserve">), tiesiogiai vykdantiems pirkimo sutartį, </w:t>
            </w:r>
            <w:r w:rsidRPr="00A3180A">
              <w:rPr>
                <w:rFonts w:ascii="Arial" w:eastAsia="Calibri" w:hAnsi="Arial" w:cs="Arial"/>
                <w:b/>
                <w:bCs/>
                <w:iCs/>
                <w:u w:val="single"/>
              </w:rPr>
              <w:t>taikomos bent viena iš žemiau nurodytų šeimos ir darbo įsipareigojimų derinimo priemonių</w:t>
            </w:r>
            <w:r w:rsidRPr="00A3180A">
              <w:rPr>
                <w:rFonts w:ascii="Arial" w:eastAsia="Calibri" w:hAnsi="Arial" w:cs="Arial"/>
                <w:iCs/>
              </w:rPr>
              <w:t>:</w:t>
            </w:r>
          </w:p>
          <w:p w:rsidR="00A3180A" w:rsidRPr="00A3180A" w:rsidRDefault="00A3180A" w:rsidP="00A3180A">
            <w:pPr>
              <w:ind w:right="36"/>
              <w:jc w:val="both"/>
              <w:rPr>
                <w:rFonts w:ascii="Arial" w:eastAsia="Calibri" w:hAnsi="Arial" w:cs="Arial"/>
                <w:iCs/>
              </w:rPr>
            </w:pPr>
            <w:r w:rsidRPr="00A3180A">
              <w:rPr>
                <w:rFonts w:ascii="Arial" w:eastAsia="Calibri" w:hAnsi="Arial" w:cs="Arial"/>
                <w:iCs/>
              </w:rPr>
              <w:t>1. lankstus darbo grafikas, kai darbuotojas privalo darbovietėje būti fiksuotomis darbo dienos (pamainos) valandomis, o kitas tos dienos (pamainos) valandas gali dirbti prieš ar po šių valandų*;</w:t>
            </w:r>
          </w:p>
          <w:p w:rsidR="00A3180A" w:rsidRPr="00A3180A" w:rsidRDefault="00A3180A" w:rsidP="00A3180A">
            <w:pPr>
              <w:ind w:right="36"/>
              <w:jc w:val="both"/>
              <w:rPr>
                <w:rFonts w:ascii="Arial" w:eastAsia="Calibri" w:hAnsi="Arial" w:cs="Arial"/>
                <w:iCs/>
              </w:rPr>
            </w:pPr>
            <w:r w:rsidRPr="00A3180A">
              <w:rPr>
                <w:rFonts w:ascii="Arial" w:eastAsia="Calibri" w:hAnsi="Arial" w:cs="Arial"/>
                <w:iCs/>
              </w:rPr>
              <w:t xml:space="preserve">2. individualus darbo laiko režimas**, kai individualus darbuotojo darbo laikas paskirstomas per savaitę; </w:t>
            </w:r>
          </w:p>
          <w:p w:rsidR="00A3180A" w:rsidRPr="00A3180A" w:rsidRDefault="00A3180A" w:rsidP="00A3180A">
            <w:pPr>
              <w:ind w:right="36"/>
              <w:jc w:val="both"/>
              <w:rPr>
                <w:rFonts w:ascii="Arial" w:eastAsia="Calibri" w:hAnsi="Arial" w:cs="Arial"/>
                <w:iCs/>
              </w:rPr>
            </w:pPr>
            <w:r w:rsidRPr="00A3180A">
              <w:rPr>
                <w:rFonts w:ascii="Arial" w:eastAsia="Calibri" w:hAnsi="Arial" w:cs="Arial"/>
                <w:iCs/>
              </w:rPr>
              <w:t>3. suskaidytos darbo dienos laiko režimas, kai tą pačią dieną (pamainą) dirbama su pertrauka pailsėti ir pavalgyti, kurios trukmė ilgesnė negu nustatyta maksimali pertraukos pailsėti ir pavalgyti trukmė***;</w:t>
            </w:r>
          </w:p>
          <w:p w:rsidR="00A3180A" w:rsidRPr="00A3180A" w:rsidRDefault="00A3180A" w:rsidP="00A3180A">
            <w:pPr>
              <w:ind w:right="36"/>
              <w:jc w:val="both"/>
              <w:rPr>
                <w:rFonts w:ascii="Arial" w:eastAsia="Calibri" w:hAnsi="Arial" w:cs="Arial"/>
                <w:iCs/>
              </w:rPr>
            </w:pPr>
            <w:r w:rsidRPr="00A3180A">
              <w:rPr>
                <w:rFonts w:ascii="Arial" w:eastAsia="Calibri" w:hAnsi="Arial" w:cs="Arial"/>
                <w:iCs/>
              </w:rPr>
              <w:t>4. nuotolinis darbas****;</w:t>
            </w:r>
          </w:p>
          <w:p w:rsidR="00A3180A" w:rsidRPr="00A3180A" w:rsidRDefault="00A3180A" w:rsidP="00A3180A">
            <w:pPr>
              <w:ind w:right="36"/>
              <w:jc w:val="both"/>
              <w:rPr>
                <w:rFonts w:ascii="Arial" w:eastAsia="Calibri" w:hAnsi="Arial" w:cs="Arial"/>
                <w:iCs/>
              </w:rPr>
            </w:pPr>
            <w:r w:rsidRPr="00A3180A">
              <w:rPr>
                <w:rFonts w:ascii="Arial" w:eastAsia="Calibri" w:hAnsi="Arial" w:cs="Arial"/>
                <w:iCs/>
              </w:rPr>
              <w:t>5. sutrumpinta 32 (trisdešimt dviejų) valandų per savaitę darbo laiko norma, už nedirbtą darbo laiko normos dalį paliekant nustatytą darbo užmokestį;</w:t>
            </w:r>
          </w:p>
          <w:p w:rsidR="00A3180A" w:rsidRPr="00A3180A" w:rsidRDefault="00A3180A" w:rsidP="00A3180A">
            <w:pPr>
              <w:ind w:right="36"/>
              <w:jc w:val="both"/>
              <w:rPr>
                <w:rFonts w:ascii="Arial" w:eastAsia="Calibri" w:hAnsi="Arial" w:cs="Arial"/>
                <w:iCs/>
              </w:rPr>
            </w:pPr>
            <w:r w:rsidRPr="00A3180A">
              <w:rPr>
                <w:rFonts w:ascii="Arial" w:eastAsia="Calibri" w:hAnsi="Arial" w:cs="Arial"/>
                <w:iCs/>
              </w:rPr>
              <w:t>6. galimybė, esant poreikiui, atsivesti vaiką (įvaikį, globotinį, rūpintinį) į darbovietę ar suteikiama kompensacija už vaiko (įvaikio, globotinio, rūpintinio) priežiūros paslaugas;</w:t>
            </w:r>
          </w:p>
          <w:p w:rsidR="00A3180A" w:rsidRPr="00A3180A" w:rsidRDefault="00A3180A" w:rsidP="00A3180A">
            <w:pPr>
              <w:ind w:right="36"/>
              <w:jc w:val="both"/>
              <w:rPr>
                <w:rFonts w:ascii="Arial" w:eastAsia="Calibri" w:hAnsi="Arial" w:cs="Arial"/>
                <w:iCs/>
              </w:rPr>
            </w:pPr>
            <w:r w:rsidRPr="00A3180A">
              <w:rPr>
                <w:rFonts w:ascii="Arial" w:eastAsia="Calibri" w:hAnsi="Arial" w:cs="Arial"/>
                <w:iCs/>
              </w:rPr>
              <w:t>7. bent viena papildoma laisva diena per metus, paliekant nustatytą darbo užmokestį;</w:t>
            </w:r>
          </w:p>
          <w:p w:rsidR="00A3180A" w:rsidRPr="00A3180A" w:rsidRDefault="00A3180A" w:rsidP="00A3180A">
            <w:pPr>
              <w:ind w:right="36"/>
              <w:jc w:val="both"/>
              <w:rPr>
                <w:rFonts w:ascii="Arial" w:eastAsia="Calibri" w:hAnsi="Arial" w:cs="Arial"/>
              </w:rPr>
            </w:pPr>
            <w:r w:rsidRPr="00A3180A">
              <w:rPr>
                <w:rFonts w:ascii="Arial" w:eastAsia="Calibri" w:hAnsi="Arial" w:cs="Arial"/>
                <w:iCs/>
              </w:rPr>
              <w:t xml:space="preserve">8. suteikiama kompensacija atlygiui, kurį darbuotojas moka ateinančiam slaugytojui ar individualios priežiūros darbuotojui už šeimos narių ar kartu gyvenančių asmenų, kuriems </w:t>
            </w:r>
            <w:r w:rsidRPr="00A3180A">
              <w:rPr>
                <w:rFonts w:ascii="Arial" w:eastAsia="Calibri" w:hAnsi="Arial" w:cs="Arial"/>
                <w:iCs/>
              </w:rPr>
              <w:lastRenderedPageBreak/>
              <w:t>nustatyta nuolatinė slauga ar priežiūra, slaugą / priežiūrą tuo metu, kuomet jis/ji dirba.</w:t>
            </w:r>
          </w:p>
          <w:p w:rsidR="00A3180A" w:rsidRPr="00A3180A" w:rsidRDefault="00A3180A" w:rsidP="00A3180A">
            <w:pPr>
              <w:tabs>
                <w:tab w:val="left" w:pos="567"/>
              </w:tabs>
              <w:jc w:val="both"/>
              <w:rPr>
                <w:rFonts w:ascii="Arial" w:hAnsi="Arial" w:cs="Arial"/>
              </w:rPr>
            </w:pPr>
            <w:r w:rsidRPr="00A3180A">
              <w:rPr>
                <w:rFonts w:ascii="Arial" w:hAnsi="Arial" w:cs="Arial"/>
              </w:rPr>
              <w:t xml:space="preserve">* </w:t>
            </w:r>
            <w:r w:rsidRPr="00A3180A">
              <w:rPr>
                <w:rFonts w:ascii="Arial" w:hAnsi="Arial" w:cs="Arial"/>
                <w:i/>
                <w:iCs/>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A3180A">
              <w:rPr>
                <w:rFonts w:ascii="Arial" w:hAnsi="Arial" w:cs="Arial"/>
              </w:rPr>
              <w:t xml:space="preserve"> </w:t>
            </w:r>
          </w:p>
          <w:p w:rsidR="00A3180A" w:rsidRPr="00A3180A" w:rsidRDefault="00A3180A" w:rsidP="00A3180A">
            <w:pPr>
              <w:tabs>
                <w:tab w:val="left" w:pos="567"/>
              </w:tabs>
              <w:jc w:val="both"/>
              <w:rPr>
                <w:rFonts w:ascii="Arial" w:hAnsi="Arial" w:cs="Arial"/>
              </w:rPr>
            </w:pPr>
            <w:r w:rsidRPr="00A3180A">
              <w:rPr>
                <w:rFonts w:ascii="Arial" w:hAnsi="Arial" w:cs="Arial"/>
              </w:rPr>
              <w:t xml:space="preserve">** </w:t>
            </w:r>
            <w:r w:rsidRPr="00A3180A">
              <w:rPr>
                <w:rFonts w:ascii="Arial" w:hAnsi="Arial" w:cs="Arial"/>
                <w:i/>
                <w:iCs/>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A3180A">
              <w:rPr>
                <w:rFonts w:ascii="Arial" w:hAnsi="Arial" w:cs="Arial"/>
              </w:rPr>
              <w:t xml:space="preserve"> </w:t>
            </w:r>
          </w:p>
          <w:p w:rsidR="00A3180A" w:rsidRPr="00A3180A" w:rsidRDefault="00A3180A" w:rsidP="00A3180A">
            <w:pPr>
              <w:tabs>
                <w:tab w:val="left" w:pos="567"/>
              </w:tabs>
              <w:jc w:val="both"/>
              <w:rPr>
                <w:rFonts w:ascii="Arial" w:hAnsi="Arial" w:cs="Arial"/>
              </w:rPr>
            </w:pPr>
            <w:r w:rsidRPr="00A3180A">
              <w:rPr>
                <w:rFonts w:ascii="Arial" w:hAnsi="Arial" w:cs="Arial"/>
              </w:rPr>
              <w:t xml:space="preserve">*** </w:t>
            </w:r>
            <w:r w:rsidRPr="00A3180A">
              <w:rPr>
                <w:rFonts w:ascii="Arial" w:hAnsi="Arial" w:cs="Arial"/>
                <w:i/>
                <w:iCs/>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A3180A">
              <w:rPr>
                <w:rFonts w:ascii="Arial" w:hAnsi="Arial" w:cs="Arial"/>
              </w:rPr>
              <w:t xml:space="preserve"> </w:t>
            </w:r>
          </w:p>
          <w:p w:rsidR="00A3180A" w:rsidRPr="00A3180A" w:rsidRDefault="00A3180A" w:rsidP="00A3180A">
            <w:pPr>
              <w:tabs>
                <w:tab w:val="left" w:pos="567"/>
              </w:tabs>
              <w:jc w:val="both"/>
              <w:rPr>
                <w:rFonts w:ascii="Arial" w:hAnsi="Arial" w:cs="Arial"/>
              </w:rPr>
            </w:pPr>
            <w:r w:rsidRPr="00A3180A">
              <w:rPr>
                <w:rFonts w:ascii="Arial" w:hAnsi="Arial" w:cs="Arial"/>
              </w:rPr>
              <w:t xml:space="preserve">**** </w:t>
            </w:r>
            <w:r w:rsidRPr="00A3180A">
              <w:rPr>
                <w:rFonts w:ascii="Arial" w:hAnsi="Arial" w:cs="Arial"/>
                <w:i/>
                <w:iCs/>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rsidR="00A3180A" w:rsidRPr="00A3180A" w:rsidRDefault="00A3180A" w:rsidP="00A3180A">
            <w:pPr>
              <w:suppressAutoHyphens/>
              <w:autoSpaceDN w:val="0"/>
              <w:ind w:right="36"/>
              <w:jc w:val="both"/>
              <w:rPr>
                <w:rFonts w:ascii="Arial" w:eastAsia="Calibri" w:hAnsi="Arial" w:cs="Arial"/>
                <w:kern w:val="3"/>
              </w:rPr>
            </w:pPr>
          </w:p>
          <w:p w:rsidR="00A3180A" w:rsidRPr="00A3180A" w:rsidRDefault="00A3180A" w:rsidP="00A3180A">
            <w:pPr>
              <w:suppressAutoHyphens/>
              <w:autoSpaceDN w:val="0"/>
              <w:ind w:right="36"/>
              <w:jc w:val="both"/>
              <w:rPr>
                <w:rFonts w:ascii="Arial" w:eastAsia="Calibri" w:hAnsi="Arial" w:cs="Arial"/>
                <w:kern w:val="3"/>
              </w:rPr>
            </w:pPr>
          </w:p>
          <w:p w:rsidR="00A3180A" w:rsidRPr="00A3180A" w:rsidRDefault="00A3180A" w:rsidP="00A3180A">
            <w:pPr>
              <w:suppressAutoHyphens/>
              <w:autoSpaceDN w:val="0"/>
              <w:ind w:right="36"/>
              <w:jc w:val="both"/>
              <w:rPr>
                <w:rFonts w:ascii="Arial" w:eastAsia="Calibri" w:hAnsi="Arial" w:cs="Arial"/>
                <w:kern w:val="3"/>
              </w:rPr>
            </w:pPr>
          </w:p>
          <w:p w:rsidR="00A3180A" w:rsidRPr="00A3180A" w:rsidRDefault="00A3180A" w:rsidP="00A3180A">
            <w:pPr>
              <w:tabs>
                <w:tab w:val="left" w:pos="450"/>
              </w:tabs>
              <w:contextualSpacing/>
              <w:jc w:val="right"/>
              <w:rPr>
                <w:rFonts w:ascii="Arial" w:eastAsia="Calibri" w:hAnsi="Arial" w:cs="Arial"/>
                <w:i/>
                <w:iCs/>
                <w:color w:val="FF0000"/>
              </w:rPr>
            </w:pPr>
          </w:p>
        </w:tc>
        <w:tc>
          <w:tcPr>
            <w:tcW w:w="4503" w:type="dxa"/>
          </w:tcPr>
          <w:p w:rsidR="00A3180A" w:rsidRPr="00A3180A" w:rsidRDefault="00A3180A" w:rsidP="00A3180A">
            <w:pPr>
              <w:jc w:val="both"/>
              <w:rPr>
                <w:rFonts w:ascii="Arial" w:eastAsia="Calibri" w:hAnsi="Arial" w:cs="Arial"/>
                <w:b/>
                <w:bCs/>
                <w:color w:val="000000"/>
              </w:rPr>
            </w:pPr>
            <w:r w:rsidRPr="00A3180A">
              <w:rPr>
                <w:rFonts w:ascii="Arial" w:eastAsia="Calibri" w:hAnsi="Arial" w:cs="Arial"/>
                <w:b/>
                <w:bCs/>
              </w:rPr>
              <w:lastRenderedPageBreak/>
              <w:t>Atitikimas reikalavimui turi būti deklaruojamas specialiųjų pirkimo sąlygų 6 priede „Pasiūlymo forma“</w:t>
            </w:r>
            <w:r>
              <w:rPr>
                <w:rFonts w:ascii="Arial" w:eastAsia="Calibri" w:hAnsi="Arial" w:cs="Arial"/>
                <w:b/>
                <w:bCs/>
              </w:rPr>
              <w:t>.</w:t>
            </w:r>
          </w:p>
          <w:p w:rsidR="00A3180A" w:rsidRPr="00A3180A" w:rsidRDefault="00A3180A" w:rsidP="00A3180A">
            <w:pPr>
              <w:jc w:val="both"/>
              <w:rPr>
                <w:rFonts w:ascii="Arial" w:eastAsia="Calibri" w:hAnsi="Arial" w:cs="Arial"/>
                <w:b/>
                <w:bCs/>
              </w:rPr>
            </w:pPr>
          </w:p>
          <w:p w:rsidR="00A3180A" w:rsidRPr="00A3180A" w:rsidRDefault="00A3180A" w:rsidP="00A3180A">
            <w:pPr>
              <w:jc w:val="both"/>
              <w:rPr>
                <w:rFonts w:ascii="Arial" w:eastAsia="Calibri" w:hAnsi="Arial" w:cs="Arial"/>
              </w:rPr>
            </w:pPr>
            <w:r w:rsidRPr="00A3180A">
              <w:rPr>
                <w:rFonts w:ascii="Arial" w:eastAsia="Calibri" w:hAnsi="Arial" w:cs="Arial"/>
                <w:b/>
                <w:bCs/>
              </w:rPr>
              <w:t>Kitų dokumentų bus prašoma pateikti tik iš Tiekėjo, kuris pagal sudarytą pasiūlymų eilę, pateikė ekonomiškai naudingiausią pasiūlymą:</w:t>
            </w:r>
            <w:r w:rsidRPr="00A3180A">
              <w:rPr>
                <w:rFonts w:ascii="Arial" w:eastAsia="Calibri" w:hAnsi="Arial" w:cs="Arial"/>
              </w:rPr>
              <w:t xml:space="preserve"> </w:t>
            </w:r>
          </w:p>
          <w:p w:rsidR="00A3180A" w:rsidRPr="00A3180A" w:rsidRDefault="00A3180A" w:rsidP="00A3180A">
            <w:pPr>
              <w:numPr>
                <w:ilvl w:val="0"/>
                <w:numId w:val="1"/>
              </w:numPr>
              <w:contextualSpacing/>
              <w:jc w:val="both"/>
              <w:rPr>
                <w:rFonts w:ascii="Arial" w:eastAsia="Calibri" w:hAnsi="Arial" w:cs="Arial"/>
              </w:rPr>
            </w:pPr>
            <w:r w:rsidRPr="00A3180A">
              <w:rPr>
                <w:rFonts w:ascii="Arial" w:eastAsia="Calibri" w:hAnsi="Arial" w:cs="Arial"/>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rsidR="00A3180A" w:rsidRPr="00A3180A" w:rsidRDefault="00A3180A" w:rsidP="00A3180A">
            <w:pPr>
              <w:numPr>
                <w:ilvl w:val="0"/>
                <w:numId w:val="1"/>
              </w:numPr>
              <w:contextualSpacing/>
              <w:jc w:val="both"/>
              <w:rPr>
                <w:rFonts w:ascii="Arial" w:eastAsia="Calibri" w:hAnsi="Arial" w:cs="Arial"/>
              </w:rPr>
            </w:pPr>
            <w:r w:rsidRPr="00A3180A">
              <w:rPr>
                <w:rFonts w:ascii="Arial" w:eastAsia="Calibri" w:hAnsi="Arial" w:cs="Arial"/>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rsidR="00A3180A" w:rsidRPr="00A3180A" w:rsidRDefault="00A3180A" w:rsidP="00A3180A">
            <w:pPr>
              <w:numPr>
                <w:ilvl w:val="0"/>
                <w:numId w:val="1"/>
              </w:numPr>
              <w:contextualSpacing/>
              <w:jc w:val="both"/>
              <w:rPr>
                <w:rFonts w:ascii="Arial" w:eastAsia="Calibri" w:hAnsi="Arial" w:cs="Arial"/>
              </w:rPr>
            </w:pPr>
            <w:r w:rsidRPr="00A3180A">
              <w:rPr>
                <w:rFonts w:ascii="Arial" w:eastAsia="Calibri" w:hAnsi="Arial" w:cs="Arial"/>
              </w:rPr>
              <w:t xml:space="preserve">Jeigu tiekėjas taiko 3 punkte numatytą priemonę – bent vieno asmens, kuris tiesiogiai dalyvaus vykdant pirkimo sutartį, darbo grafiką arba kitą lygiavertį įpareigojančios formos dokumentą, </w:t>
            </w:r>
            <w:r w:rsidRPr="00A3180A">
              <w:rPr>
                <w:rFonts w:ascii="Arial" w:eastAsia="Calibri" w:hAnsi="Arial" w:cs="Arial"/>
              </w:rPr>
              <w:lastRenderedPageBreak/>
              <w:t>pagal kurį tiekėjo darbuotojams, kurie tiesiogiai vykdys pirkimo sutartį, taikomos nurodytos šeimos ir darbo interesų derinimo priemonės;</w:t>
            </w:r>
          </w:p>
          <w:p w:rsidR="00A3180A" w:rsidRPr="00A3180A" w:rsidRDefault="00A3180A" w:rsidP="00A3180A">
            <w:pPr>
              <w:numPr>
                <w:ilvl w:val="0"/>
                <w:numId w:val="1"/>
              </w:numPr>
              <w:contextualSpacing/>
              <w:jc w:val="both"/>
              <w:rPr>
                <w:rFonts w:ascii="Arial" w:eastAsia="Calibri" w:hAnsi="Arial" w:cs="Arial"/>
              </w:rPr>
            </w:pPr>
            <w:r w:rsidRPr="00A3180A">
              <w:rPr>
                <w:rFonts w:ascii="Arial" w:eastAsia="Calibri" w:hAnsi="Arial" w:cs="Arial"/>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rsidR="00A3180A" w:rsidRPr="00A3180A" w:rsidRDefault="00A3180A" w:rsidP="00A3180A">
            <w:pPr>
              <w:numPr>
                <w:ilvl w:val="0"/>
                <w:numId w:val="1"/>
              </w:numPr>
              <w:contextualSpacing/>
              <w:jc w:val="both"/>
              <w:rPr>
                <w:rFonts w:ascii="Arial" w:eastAsia="Calibri" w:hAnsi="Arial" w:cs="Arial"/>
              </w:rPr>
            </w:pPr>
            <w:r w:rsidRPr="00A3180A">
              <w:rPr>
                <w:rFonts w:ascii="Arial" w:eastAsia="Calibri" w:hAnsi="Arial" w:cs="Arial"/>
              </w:rPr>
              <w:t>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rsidR="00A3180A" w:rsidRPr="00A3180A" w:rsidRDefault="00A3180A" w:rsidP="00A3180A">
            <w:pPr>
              <w:numPr>
                <w:ilvl w:val="0"/>
                <w:numId w:val="1"/>
              </w:numPr>
              <w:contextualSpacing/>
              <w:jc w:val="both"/>
              <w:rPr>
                <w:rFonts w:ascii="Arial" w:eastAsia="Calibri" w:hAnsi="Arial" w:cs="Arial"/>
              </w:rPr>
            </w:pPr>
            <w:r w:rsidRPr="00A3180A">
              <w:rPr>
                <w:rFonts w:ascii="Arial" w:eastAsia="Calibri" w:hAnsi="Arial" w:cs="Arial"/>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rsidR="00A3180A" w:rsidRPr="00A3180A" w:rsidRDefault="00A3180A" w:rsidP="00A3180A">
            <w:pPr>
              <w:numPr>
                <w:ilvl w:val="0"/>
                <w:numId w:val="1"/>
              </w:numPr>
              <w:contextualSpacing/>
              <w:jc w:val="both"/>
              <w:rPr>
                <w:rFonts w:ascii="Arial" w:eastAsia="Calibri" w:hAnsi="Arial" w:cs="Arial"/>
              </w:rPr>
            </w:pPr>
            <w:r w:rsidRPr="00A3180A">
              <w:rPr>
                <w:rFonts w:ascii="Arial" w:eastAsia="Calibri" w:hAnsi="Arial" w:cs="Arial"/>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rsidR="00A3180A" w:rsidRPr="00A3180A" w:rsidRDefault="00A3180A" w:rsidP="00A3180A">
            <w:pPr>
              <w:numPr>
                <w:ilvl w:val="0"/>
                <w:numId w:val="1"/>
              </w:numPr>
              <w:contextualSpacing/>
              <w:jc w:val="both"/>
              <w:rPr>
                <w:rFonts w:ascii="Arial" w:eastAsia="Calibri" w:hAnsi="Arial" w:cs="Arial"/>
                <w:i/>
                <w:iCs/>
                <w:color w:val="FF0000"/>
              </w:rPr>
            </w:pPr>
            <w:r w:rsidRPr="00A3180A">
              <w:rPr>
                <w:rFonts w:ascii="Arial" w:eastAsia="Calibri" w:hAnsi="Arial" w:cs="Arial"/>
              </w:rPr>
              <w:t xml:space="preserve">Jeigu tiekėjas taiko 8 punkte numatytą priemonę – </w:t>
            </w:r>
            <w:proofErr w:type="spellStart"/>
            <w:r w:rsidRPr="00A3180A">
              <w:rPr>
                <w:rFonts w:ascii="Arial" w:eastAsia="Calibri" w:hAnsi="Arial" w:cs="Arial"/>
              </w:rPr>
              <w:t>įrodymus</w:t>
            </w:r>
            <w:proofErr w:type="spellEnd"/>
            <w:r w:rsidRPr="00A3180A">
              <w:rPr>
                <w:rFonts w:ascii="Arial" w:eastAsia="Calibri" w:hAnsi="Arial" w:cs="Arial"/>
              </w:rPr>
              <w:t xml:space="preserve"> dėl suteikiamos kompensacijos už vaikų priežiūros paslaugas, už asmenų, kuriems nustatyta nuolatinė slauga ar priežiūra, slaugą / priežiūrą, pateikiant sutarties su teikiančiu vaiko priežiūros paslaugas / slaugos, priežiūros paslaugas asmeniu </w:t>
            </w:r>
            <w:r w:rsidRPr="00A3180A">
              <w:rPr>
                <w:rFonts w:ascii="Arial" w:eastAsia="Calibri" w:hAnsi="Arial" w:cs="Arial"/>
              </w:rPr>
              <w:lastRenderedPageBreak/>
              <w:t>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A3180A" w:rsidRPr="00A3180A" w:rsidTr="002907C6">
        <w:tc>
          <w:tcPr>
            <w:tcW w:w="625" w:type="dxa"/>
          </w:tcPr>
          <w:p w:rsidR="00A3180A" w:rsidRPr="00A3180A" w:rsidRDefault="00A3180A" w:rsidP="00A3180A">
            <w:pPr>
              <w:tabs>
                <w:tab w:val="left" w:pos="450"/>
              </w:tabs>
              <w:contextualSpacing/>
              <w:jc w:val="right"/>
              <w:rPr>
                <w:rFonts w:ascii="Arial" w:eastAsia="Calibri" w:hAnsi="Arial" w:cs="Arial"/>
                <w:color w:val="FF0000"/>
              </w:rPr>
            </w:pPr>
            <w:r w:rsidRPr="00A3180A">
              <w:rPr>
                <w:rFonts w:ascii="Arial" w:eastAsia="Calibri" w:hAnsi="Arial" w:cs="Arial"/>
              </w:rPr>
              <w:lastRenderedPageBreak/>
              <w:t>2.</w:t>
            </w:r>
          </w:p>
        </w:tc>
        <w:tc>
          <w:tcPr>
            <w:tcW w:w="4500" w:type="dxa"/>
          </w:tcPr>
          <w:p w:rsidR="00A3180A" w:rsidRPr="00A3180A" w:rsidRDefault="00A3180A" w:rsidP="00A3180A">
            <w:pPr>
              <w:jc w:val="both"/>
              <w:rPr>
                <w:rFonts w:ascii="Arial" w:hAnsi="Arial" w:cs="Arial"/>
              </w:rPr>
            </w:pPr>
            <w:r w:rsidRPr="00A3180A">
              <w:rPr>
                <w:rFonts w:ascii="Arial" w:hAnsi="Arial" w:cs="Arial"/>
              </w:rPr>
              <w:t xml:space="preserve">Sutarties vykdymo laikotarpiu tiekėjas arba subtiekėjas, arba ūkio subjektas, kurio </w:t>
            </w:r>
            <w:proofErr w:type="spellStart"/>
            <w:r w:rsidRPr="00A3180A">
              <w:rPr>
                <w:rFonts w:ascii="Arial" w:hAnsi="Arial" w:cs="Arial"/>
              </w:rPr>
              <w:t>pajėgumais</w:t>
            </w:r>
            <w:proofErr w:type="spellEnd"/>
            <w:r w:rsidRPr="00A3180A">
              <w:rPr>
                <w:rFonts w:ascii="Arial" w:hAnsi="Arial" w:cs="Arial"/>
              </w:rPr>
              <w:t xml:space="preserve"> remiamasi,  savo darbuotojui (-</w:t>
            </w:r>
            <w:proofErr w:type="spellStart"/>
            <w:r w:rsidRPr="00A3180A">
              <w:rPr>
                <w:rFonts w:ascii="Arial" w:hAnsi="Arial" w:cs="Arial"/>
              </w:rPr>
              <w:t>ams</w:t>
            </w:r>
            <w:proofErr w:type="spellEnd"/>
            <w:r w:rsidRPr="00A3180A">
              <w:rPr>
                <w:rFonts w:ascii="Arial" w:hAnsi="Arial" w:cs="Arial"/>
              </w:rPr>
              <w:t xml:space="preserve">), tiesiogiai vykdantiems pirkimo sutartį, </w:t>
            </w:r>
            <w:r w:rsidRPr="00A3180A">
              <w:rPr>
                <w:rFonts w:ascii="Arial" w:hAnsi="Arial" w:cs="Arial"/>
                <w:b/>
                <w:bCs/>
                <w:u w:val="single"/>
              </w:rPr>
              <w:t>taiko bent vieną  priemonę, skirtą psichologinio smurto prevencijai užtikrinti ir aktyvių veiksmų pagalbai asmenims, patyrusiems psichologinį smurtą, suteikti:</w:t>
            </w:r>
          </w:p>
          <w:p w:rsidR="00A3180A" w:rsidRPr="00A3180A" w:rsidRDefault="00A3180A" w:rsidP="00A3180A">
            <w:pPr>
              <w:jc w:val="both"/>
              <w:rPr>
                <w:rFonts w:ascii="Arial" w:hAnsi="Arial" w:cs="Arial"/>
              </w:rPr>
            </w:pPr>
            <w:r w:rsidRPr="00A3180A">
              <w:rPr>
                <w:rFonts w:ascii="Arial" w:hAnsi="Arial" w:cs="Arial"/>
              </w:rPr>
              <w:t>1. tiekėjas tiesiogiai pirkimo sutartį vykdančius darbuotojus draudžia papildomu sveikatos draudimu, kuris apima ir individualių konsultacijų su psichiatru bei psichoterapeutu paslaugas;</w:t>
            </w:r>
          </w:p>
          <w:p w:rsidR="00A3180A" w:rsidRPr="00A3180A" w:rsidRDefault="00A3180A" w:rsidP="00A3180A">
            <w:pPr>
              <w:tabs>
                <w:tab w:val="left" w:pos="450"/>
              </w:tabs>
              <w:contextualSpacing/>
              <w:jc w:val="both"/>
              <w:rPr>
                <w:rFonts w:ascii="Arial" w:eastAsia="Calibri" w:hAnsi="Arial" w:cs="Arial"/>
                <w:i/>
                <w:iCs/>
                <w:color w:val="FF0000"/>
              </w:rPr>
            </w:pPr>
            <w:r w:rsidRPr="00A3180A">
              <w:rPr>
                <w:rFonts w:ascii="Arial" w:hAnsi="Arial" w:cs="Arial"/>
              </w:rPr>
              <w:t>2. tiekėjas yra sudaręs sutartį su psichologines paslaugas teikiančia įmone, kuri teikia konsultacijas darbuotojams, tiesiogiai vykdantiems pirkimo sutartį.</w:t>
            </w:r>
          </w:p>
        </w:tc>
        <w:tc>
          <w:tcPr>
            <w:tcW w:w="4503" w:type="dxa"/>
          </w:tcPr>
          <w:p w:rsidR="00A3180A" w:rsidRPr="00A3180A" w:rsidRDefault="00A3180A" w:rsidP="00A3180A">
            <w:pPr>
              <w:jc w:val="both"/>
              <w:rPr>
                <w:rFonts w:ascii="Arial" w:eastAsia="Calibri" w:hAnsi="Arial" w:cs="Arial"/>
                <w:b/>
                <w:bCs/>
                <w:color w:val="000000"/>
              </w:rPr>
            </w:pPr>
            <w:r w:rsidRPr="00A3180A">
              <w:rPr>
                <w:rFonts w:ascii="Arial" w:eastAsia="Calibri" w:hAnsi="Arial" w:cs="Arial"/>
                <w:b/>
                <w:bCs/>
              </w:rPr>
              <w:t xml:space="preserve">Atitikimas reikalavimui turi būti deklaruojamas </w:t>
            </w:r>
            <w:r w:rsidR="001E20F7" w:rsidRPr="001E20F7">
              <w:rPr>
                <w:rFonts w:ascii="Arial" w:eastAsia="Calibri" w:hAnsi="Arial" w:cs="Arial"/>
                <w:b/>
                <w:bCs/>
                <w:color w:val="000000"/>
              </w:rPr>
              <w:t>specialiųjų pirkimo sąlygų 6 priede „Pasiūlymo forma“</w:t>
            </w:r>
            <w:r w:rsidR="001E20F7">
              <w:rPr>
                <w:rFonts w:ascii="Arial" w:eastAsia="Calibri" w:hAnsi="Arial" w:cs="Arial"/>
                <w:b/>
                <w:bCs/>
                <w:color w:val="000000"/>
              </w:rPr>
              <w:t>,</w:t>
            </w:r>
          </w:p>
          <w:p w:rsidR="00A3180A" w:rsidRPr="00A3180A" w:rsidRDefault="00A3180A" w:rsidP="00A3180A">
            <w:pPr>
              <w:jc w:val="both"/>
              <w:rPr>
                <w:rFonts w:ascii="Arial" w:eastAsia="Calibri" w:hAnsi="Arial" w:cs="Arial"/>
                <w:b/>
                <w:bCs/>
              </w:rPr>
            </w:pPr>
          </w:p>
          <w:p w:rsidR="00A3180A" w:rsidRPr="00A3180A" w:rsidRDefault="00A3180A" w:rsidP="00A3180A">
            <w:pPr>
              <w:jc w:val="both"/>
              <w:rPr>
                <w:rFonts w:ascii="Arial" w:eastAsia="Calibri" w:hAnsi="Arial" w:cs="Arial"/>
                <w:b/>
                <w:bCs/>
              </w:rPr>
            </w:pPr>
            <w:r w:rsidRPr="00A3180A">
              <w:rPr>
                <w:rFonts w:ascii="Arial" w:eastAsia="Calibri" w:hAnsi="Arial" w:cs="Arial"/>
                <w:b/>
                <w:bCs/>
              </w:rPr>
              <w:t>Kitų dokumentų (vieno ar kelių) bus prašoma pateikti tik iš Tiekėjo, kuris pagal sudarytą pasiūlymų eilę, pateikė ekonomiškai naudingiausią pasiūlymą:</w:t>
            </w:r>
          </w:p>
          <w:p w:rsidR="00A3180A" w:rsidRPr="00A3180A" w:rsidRDefault="00A3180A" w:rsidP="00A3180A">
            <w:pPr>
              <w:jc w:val="both"/>
              <w:rPr>
                <w:rFonts w:ascii="Arial" w:hAnsi="Arial" w:cs="Arial"/>
              </w:rPr>
            </w:pPr>
          </w:p>
          <w:p w:rsidR="00A3180A" w:rsidRPr="00A3180A" w:rsidRDefault="00A3180A" w:rsidP="00A3180A">
            <w:pPr>
              <w:jc w:val="both"/>
              <w:rPr>
                <w:rFonts w:ascii="Arial" w:hAnsi="Arial" w:cs="Arial"/>
                <w:b/>
                <w:bCs/>
              </w:rPr>
            </w:pPr>
            <w:r w:rsidRPr="00A3180A">
              <w:rPr>
                <w:rFonts w:ascii="Arial" w:hAnsi="Arial" w:cs="Arial"/>
                <w:b/>
                <w:bCs/>
              </w:rPr>
              <w:t>Tiekėjas turi pateikti:</w:t>
            </w:r>
          </w:p>
          <w:p w:rsidR="00A3180A" w:rsidRPr="00A3180A" w:rsidRDefault="00A3180A" w:rsidP="00A3180A">
            <w:pPr>
              <w:numPr>
                <w:ilvl w:val="0"/>
                <w:numId w:val="2"/>
              </w:numPr>
              <w:contextualSpacing/>
              <w:jc w:val="both"/>
              <w:rPr>
                <w:rFonts w:ascii="Arial" w:hAnsi="Arial" w:cs="Arial"/>
              </w:rPr>
            </w:pPr>
            <w:r w:rsidRPr="00A3180A">
              <w:rPr>
                <w:rFonts w:ascii="Arial" w:hAnsi="Arial" w:cs="Arial"/>
              </w:rPr>
              <w:t xml:space="preserve">galiojančią sutartį dėl papildomo sveikatos draudimo, arba psichologinės pagalbos teikimo. Jei minėtų sutarčių galiojimas neapima viso Pirkimo sutarties galiojimo, pateikti rašytinį įsipareigojimą, kad sutartys bus pratęsiamos atitinkamam laikotarpiui.  </w:t>
            </w:r>
          </w:p>
        </w:tc>
      </w:tr>
    </w:tbl>
    <w:p w:rsidR="00A3180A" w:rsidRDefault="00A3180A" w:rsidP="00A3180A">
      <w:pPr>
        <w:ind w:firstLine="1296"/>
        <w:jc w:val="both"/>
        <w:rPr>
          <w:rFonts w:ascii="Times New Roman" w:eastAsia="Calibri" w:hAnsi="Times New Roman" w:cs="Times New Roman"/>
          <w:color w:val="000000"/>
          <w:sz w:val="24"/>
          <w:szCs w:val="24"/>
        </w:rPr>
      </w:pPr>
    </w:p>
    <w:p w:rsidR="001E20F7" w:rsidRPr="001E20F7" w:rsidRDefault="001E20F7" w:rsidP="001E20F7">
      <w:pPr>
        <w:tabs>
          <w:tab w:val="left" w:pos="5400"/>
        </w:tabs>
        <w:spacing w:after="0" w:line="240" w:lineRule="auto"/>
        <w:jc w:val="center"/>
        <w:textAlignment w:val="center"/>
        <w:rPr>
          <w:rFonts w:ascii="Times New Roman" w:eastAsia="Times New Roman" w:hAnsi="Times New Roman" w:cs="Times New Roman"/>
          <w:sz w:val="24"/>
          <w:szCs w:val="20"/>
        </w:rPr>
      </w:pPr>
      <w:r w:rsidRPr="001E20F7">
        <w:rPr>
          <w:rFonts w:ascii="Times New Roman" w:eastAsia="Times New Roman" w:hAnsi="Times New Roman" w:cs="Times New Roman"/>
          <w:b/>
          <w:bCs/>
          <w:sz w:val="24"/>
          <w:szCs w:val="20"/>
        </w:rPr>
        <w:t>_______________</w:t>
      </w:r>
    </w:p>
    <w:p w:rsidR="00A3180A" w:rsidRPr="00A3180A" w:rsidRDefault="00A3180A" w:rsidP="00A3180A">
      <w:pPr>
        <w:ind w:firstLine="1296"/>
        <w:jc w:val="both"/>
        <w:rPr>
          <w:rFonts w:ascii="Times New Roman" w:hAnsi="Times New Roman" w:cs="Times New Roman"/>
          <w:b/>
          <w:sz w:val="24"/>
          <w:szCs w:val="24"/>
        </w:rPr>
      </w:pPr>
    </w:p>
    <w:sectPr w:rsidR="00A3180A" w:rsidRPr="00A318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0A"/>
    <w:rsid w:val="001E20F7"/>
    <w:rsid w:val="00A10DE7"/>
    <w:rsid w:val="00A3180A"/>
    <w:rsid w:val="00AB56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9861"/>
  <w15:chartTrackingRefBased/>
  <w15:docId w15:val="{08646AF6-9FB9-49A6-9509-D89B35A7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180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5606</Words>
  <Characters>3196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2</cp:revision>
  <dcterms:created xsi:type="dcterms:W3CDTF">2026-05-06T11:33:00Z</dcterms:created>
  <dcterms:modified xsi:type="dcterms:W3CDTF">2026-05-08T12:22:00Z</dcterms:modified>
</cp:coreProperties>
</file>