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4B8AD" w14:textId="3D776D75" w:rsidR="0088360B" w:rsidRPr="0088360B" w:rsidRDefault="0088360B">
      <w:pPr>
        <w:rPr>
          <w:rFonts w:ascii="Times New Roman" w:hAnsi="Times New Roman" w:cs="Times New Roman"/>
        </w:rPr>
      </w:pPr>
      <w:r w:rsidRPr="0088360B">
        <w:rPr>
          <w:rFonts w:ascii="Times New Roman" w:hAnsi="Times New Roman" w:cs="Times New Roman"/>
        </w:rPr>
        <w:t>Atsakymas į gautus klausimus.</w:t>
      </w:r>
    </w:p>
    <w:tbl>
      <w:tblPr>
        <w:tblStyle w:val="Lentelstinklelis"/>
        <w:tblW w:w="0" w:type="auto"/>
        <w:tblLook w:val="04A0" w:firstRow="1" w:lastRow="0" w:firstColumn="1" w:lastColumn="0" w:noHBand="0" w:noVBand="1"/>
      </w:tblPr>
      <w:tblGrid>
        <w:gridCol w:w="9628"/>
      </w:tblGrid>
      <w:tr w:rsidR="009D3F15" w:rsidRPr="005A7924" w14:paraId="5ABDA3DA" w14:textId="77777777" w:rsidTr="00527FBF">
        <w:tc>
          <w:tcPr>
            <w:tcW w:w="9628" w:type="dxa"/>
          </w:tcPr>
          <w:p w14:paraId="50F14371" w14:textId="77777777" w:rsidR="009D3F15" w:rsidRPr="001F0ED6" w:rsidRDefault="009D3F15" w:rsidP="009D3F15">
            <w:pPr>
              <w:tabs>
                <w:tab w:val="left" w:pos="630"/>
              </w:tabs>
              <w:rPr>
                <w:rFonts w:ascii="Times New Roman" w:hAnsi="Times New Roman"/>
                <w:b/>
                <w:bCs/>
              </w:rPr>
            </w:pPr>
            <w:r w:rsidRPr="001F0ED6">
              <w:rPr>
                <w:rFonts w:ascii="Times New Roman" w:hAnsi="Times New Roman"/>
                <w:b/>
                <w:bCs/>
              </w:rPr>
              <w:t xml:space="preserve">1. Tiekėjo klausimas/prašymas </w:t>
            </w:r>
            <w:r w:rsidRPr="001F0ED6">
              <w:rPr>
                <w:rFonts w:ascii="Times New Roman" w:hAnsi="Times New Roman"/>
              </w:rPr>
              <w:t>(kalba netaisyta)</w:t>
            </w:r>
            <w:r w:rsidRPr="001F0ED6">
              <w:rPr>
                <w:rFonts w:ascii="Times New Roman" w:hAnsi="Times New Roman"/>
                <w:b/>
                <w:bCs/>
              </w:rPr>
              <w:t>:</w:t>
            </w:r>
          </w:p>
          <w:p w14:paraId="52B52CED" w14:textId="77777777" w:rsidR="009D3F15" w:rsidRPr="001F0ED6" w:rsidRDefault="009D3F15" w:rsidP="009D3F15">
            <w:pPr>
              <w:tabs>
                <w:tab w:val="left" w:pos="630"/>
              </w:tabs>
              <w:jc w:val="both"/>
              <w:rPr>
                <w:rFonts w:ascii="Times New Roman" w:hAnsi="Times New Roman"/>
              </w:rPr>
            </w:pPr>
            <w:r w:rsidRPr="001F0ED6">
              <w:rPr>
                <w:rFonts w:ascii="Times New Roman" w:hAnsi="Times New Roman"/>
              </w:rPr>
              <w:t xml:space="preserve">Tiekėjas anksčiau teiktais klausimais siekė išsiaiškinti, ar Perkančioji organizacija sudarys sąlygas atlikti sąsają / integraciją su trečiųjų šalių sistemomis. </w:t>
            </w:r>
          </w:p>
          <w:p w14:paraId="0B896900" w14:textId="77777777" w:rsidR="009D3F15" w:rsidRPr="001F0ED6" w:rsidRDefault="009D3F15" w:rsidP="009D3F15">
            <w:pPr>
              <w:tabs>
                <w:tab w:val="left" w:pos="630"/>
              </w:tabs>
              <w:jc w:val="both"/>
              <w:rPr>
                <w:rFonts w:ascii="Times New Roman" w:hAnsi="Times New Roman"/>
              </w:rPr>
            </w:pPr>
            <w:r w:rsidRPr="001F0ED6">
              <w:rPr>
                <w:rFonts w:ascii="Times New Roman" w:hAnsi="Times New Roman"/>
              </w:rPr>
              <w:t>Perkančioji organizacija nurodė, kad nereikalauja konkretaus integracijos techninio sprendimo ar jo įgyvendinimo pasiūlymo pateikimo metu, o Tiekėjas turi užtikrinti, kad siūloma įranga būtų techniškai parengta integracijai su tokiomis sistemomis.</w:t>
            </w:r>
          </w:p>
          <w:p w14:paraId="318DE3DE" w14:textId="77777777" w:rsidR="009D3F15" w:rsidRPr="001F0ED6" w:rsidRDefault="009D3F15" w:rsidP="009D3F15">
            <w:pPr>
              <w:tabs>
                <w:tab w:val="left" w:pos="630"/>
              </w:tabs>
              <w:jc w:val="both"/>
              <w:rPr>
                <w:rFonts w:ascii="Times New Roman" w:hAnsi="Times New Roman"/>
              </w:rPr>
            </w:pPr>
            <w:r w:rsidRPr="001F0ED6">
              <w:rPr>
                <w:rFonts w:ascii="Times New Roman" w:hAnsi="Times New Roman"/>
              </w:rPr>
              <w:t>Šį reikalavimą Tiekėjas gali visiškai užtikrinti, o jo planuojama Pirkime siūlyti įranga yra techniškai parengta integracijoms su kitomis sistemomis.</w:t>
            </w:r>
          </w:p>
          <w:p w14:paraId="2B6B7E56" w14:textId="77777777" w:rsidR="009D3F15" w:rsidRPr="001F0ED6" w:rsidRDefault="009D3F15" w:rsidP="009D3F15">
            <w:pPr>
              <w:tabs>
                <w:tab w:val="left" w:pos="630"/>
              </w:tabs>
              <w:jc w:val="both"/>
              <w:rPr>
                <w:rFonts w:ascii="Times New Roman" w:hAnsi="Times New Roman"/>
              </w:rPr>
            </w:pPr>
            <w:r w:rsidRPr="001F0ED6">
              <w:rPr>
                <w:rFonts w:ascii="Times New Roman" w:hAnsi="Times New Roman"/>
              </w:rPr>
              <w:t>Tačiau tokiai integracijai atlikti yra reikalinga papildoma informacija apie sistemas, su kuriomis atliekama įrangos integracija. Tokie dokumentai apima techninius duomenis, įskaitant, bet neapsiribojant: API sąsajų aprašymą, duomenų perdavimo protokolus, autentifikacijos ir autorizacijos reikalavimus, duomenų struktūras ir formatus, testavimo aplinką bei kitus techninius prisijungimo parametrus. Turint šiuos duomenis apie sistemą, su kuria norima atlikti įrangos integraciją, Tiekėjas gali visapusiškai užtikrinti sklandžią integraciją.</w:t>
            </w:r>
          </w:p>
          <w:p w14:paraId="55DA760B" w14:textId="77777777" w:rsidR="009D3F15" w:rsidRPr="001F0ED6" w:rsidRDefault="009D3F15" w:rsidP="009D3F15">
            <w:pPr>
              <w:tabs>
                <w:tab w:val="left" w:pos="630"/>
              </w:tabs>
              <w:jc w:val="both"/>
              <w:rPr>
                <w:rFonts w:ascii="Times New Roman" w:hAnsi="Times New Roman"/>
              </w:rPr>
            </w:pPr>
            <w:r w:rsidRPr="001F0ED6">
              <w:rPr>
                <w:rFonts w:ascii="Times New Roman" w:hAnsi="Times New Roman"/>
              </w:rPr>
              <w:t>Būtent 2026-05-04 atsakyme Perkančioji organizacija pateikė naują ir Pirkimo dokumentuose nesančią informaciją, kad konkrečių techninių sąsajų (API, protokolų, prisijungimų ir pan.) įgyvendinimas yra tiekėjo atsakomybė, bendradarbiaujant su atitinkamos sistemos valdytoju ar paslaugos teikėju: „Konkrečių techninių sąsajų (API, protokolų, prisijungimų ir pan.) įgyvendinimas yra tiekėjo atsakomybė, bendradarbiaujant su atitinkamos sistemos valdytoju ar paslaugos teikėju“.</w:t>
            </w:r>
          </w:p>
          <w:p w14:paraId="38EF64CE" w14:textId="77777777" w:rsidR="009D3F15" w:rsidRPr="001F0ED6" w:rsidRDefault="009D3F15" w:rsidP="009D3F15">
            <w:pPr>
              <w:tabs>
                <w:tab w:val="left" w:pos="630"/>
              </w:tabs>
              <w:jc w:val="both"/>
              <w:rPr>
                <w:rFonts w:ascii="Times New Roman" w:hAnsi="Times New Roman"/>
              </w:rPr>
            </w:pPr>
            <w:r w:rsidRPr="001F0ED6">
              <w:rPr>
                <w:rFonts w:ascii="Times New Roman" w:hAnsi="Times New Roman"/>
              </w:rPr>
              <w:t>Kitaip tariant, Perkančioji organizacija nurodė, kad ji nesuteiks integracijoms su trečiųjų šalių sistemomis reikalingų duomenų ir kad atsakomybė už tokių duomenų gavimą yra perkeliama Tiekėjui, t. y. Tiekėjas turi pasirūpinti integracijai su trečiosiomis šalimis reikalingais duomenimis.</w:t>
            </w:r>
          </w:p>
          <w:p w14:paraId="52FB0063" w14:textId="77777777" w:rsidR="009D3F15" w:rsidRPr="001F0ED6" w:rsidRDefault="009D3F15" w:rsidP="009D3F15">
            <w:pPr>
              <w:tabs>
                <w:tab w:val="left" w:pos="630"/>
              </w:tabs>
              <w:jc w:val="both"/>
              <w:rPr>
                <w:rFonts w:ascii="Times New Roman" w:hAnsi="Times New Roman"/>
              </w:rPr>
            </w:pPr>
            <w:r w:rsidRPr="001F0ED6">
              <w:rPr>
                <w:rFonts w:ascii="Times New Roman" w:hAnsi="Times New Roman"/>
              </w:rPr>
              <w:t>Atsižvelgiant į nurodomus argumentus, šiuo paklausimu Tiekėjas papildomai prašo Perkančiosios organizacijos paaiškinti, kas būtų tokiu atveju, jei Pirkimo sutarties vykdymo metu trečiosios šalys (atitinkamos sistemos valdytojai ar paslaugų teikėjai) atsisakytų Pirkimo sutartį sudariusiam tiekėjui suteikti technines sąsajas (API protokolus, prisijungimus ir pan.)? Ar tokiu atveju atitinkamas technines sąsajas suteiks pati Perkančioji organizacija?</w:t>
            </w:r>
          </w:p>
          <w:p w14:paraId="024AAFBC" w14:textId="77777777" w:rsidR="009D3F15" w:rsidRPr="001F0ED6" w:rsidRDefault="009D3F15" w:rsidP="009D3F15">
            <w:pPr>
              <w:tabs>
                <w:tab w:val="left" w:pos="630"/>
              </w:tabs>
              <w:jc w:val="both"/>
              <w:rPr>
                <w:rFonts w:ascii="Times New Roman" w:hAnsi="Times New Roman"/>
              </w:rPr>
            </w:pPr>
            <w:r w:rsidRPr="001F0ED6">
              <w:rPr>
                <w:rFonts w:ascii="Times New Roman" w:hAnsi="Times New Roman"/>
              </w:rPr>
              <w:t>Atkreiptinas dėmesys, kad nei Pirkimo sąlygose, nei Pirkimo sutarties projekte nėra sureguliuota tokia situacija ir nėra išspręstos tokios situacijos teisinės pasekmės. Todėl Perkančioji organizacija negali reikalauti to, kas nėra nustatyta Pirkimo dokumentuose.</w:t>
            </w:r>
          </w:p>
          <w:p w14:paraId="064463A4" w14:textId="77777777" w:rsidR="009D3F15" w:rsidRPr="001F0ED6" w:rsidRDefault="009D3F15" w:rsidP="009D3F15">
            <w:pPr>
              <w:tabs>
                <w:tab w:val="left" w:pos="630"/>
              </w:tabs>
              <w:jc w:val="both"/>
              <w:rPr>
                <w:rFonts w:ascii="Times New Roman" w:hAnsi="Times New Roman"/>
              </w:rPr>
            </w:pPr>
            <w:r w:rsidRPr="001F0ED6">
              <w:rPr>
                <w:rFonts w:ascii="Times New Roman" w:hAnsi="Times New Roman"/>
              </w:rPr>
              <w:t>Nei pati sistema, su kuria integracijų reikalauja Perkančioji organizacija, nei jos aptarnavimo ar kitos susijusios paslaugos nepatenka į Pirkimo objektą. Pirkimu Perkančioji organizacija įsigyja išimtinai tik druskos barstymo ir laistymo įrangą. Tuo tarpu sistemos, su kuriomis integracijų reikalauja Perkančioji organizacija, yra valdomos privačių trečiųjų subjektų. Tai reiškia, kad Pirkime Perkančioji organizacija reikalauja tiekėjų užsitikrinti į Pirkimo objektą nepatenkančios ir trečiosioms privačioms šalims priklausančios sistemos duomenis.</w:t>
            </w:r>
          </w:p>
          <w:p w14:paraId="08AF41BB" w14:textId="77777777" w:rsidR="009D3F15" w:rsidRPr="001F0ED6" w:rsidRDefault="009D3F15" w:rsidP="009D3F15">
            <w:pPr>
              <w:tabs>
                <w:tab w:val="left" w:pos="630"/>
              </w:tabs>
              <w:jc w:val="both"/>
              <w:rPr>
                <w:rFonts w:ascii="Times New Roman" w:hAnsi="Times New Roman"/>
              </w:rPr>
            </w:pPr>
            <w:r w:rsidRPr="001F0ED6">
              <w:rPr>
                <w:rFonts w:ascii="Times New Roman" w:hAnsi="Times New Roman"/>
              </w:rPr>
              <w:t xml:space="preserve">Kadangi </w:t>
            </w:r>
            <w:proofErr w:type="spellStart"/>
            <w:r w:rsidRPr="001F0ED6">
              <w:rPr>
                <w:rFonts w:ascii="Times New Roman" w:hAnsi="Times New Roman"/>
              </w:rPr>
              <w:t>Klimator</w:t>
            </w:r>
            <w:proofErr w:type="spellEnd"/>
            <w:r w:rsidRPr="001F0ED6">
              <w:rPr>
                <w:rFonts w:ascii="Times New Roman" w:hAnsi="Times New Roman"/>
              </w:rPr>
              <w:t xml:space="preserve"> sistemą, su kuria turės būti atliktos integracijos, valdo ir naudoja pati Perkančioji organizacija, sudariusi sutartį su tokios sistemos tiekėju, neabejotinai galėjo (ir turėjo) numatyti ir sąlygas sistemos integracijai su kitomis Perkančiosios organizacijos valdomomis sistemomis / įranga (pavyzdžiui, sutartyje numatyti sąlygą dėl integracijai reikalingų duomenų suteikimo tretiesiems asmenims ar pan.). Jeigu Perkančioji organizacija to nepadarė, to neigiami padariniai negali būti perkeliami Tiekėjui.</w:t>
            </w:r>
          </w:p>
          <w:p w14:paraId="4679616A" w14:textId="77777777" w:rsidR="009D3F15" w:rsidRPr="001F0ED6" w:rsidRDefault="009D3F15" w:rsidP="009D3F15">
            <w:pPr>
              <w:tabs>
                <w:tab w:val="left" w:pos="630"/>
              </w:tabs>
              <w:jc w:val="both"/>
              <w:rPr>
                <w:rFonts w:ascii="Times New Roman" w:hAnsi="Times New Roman"/>
              </w:rPr>
            </w:pPr>
            <w:r w:rsidRPr="001F0ED6">
              <w:rPr>
                <w:rFonts w:ascii="Times New Roman" w:hAnsi="Times New Roman"/>
              </w:rPr>
              <w:t xml:space="preserve">Dėl </w:t>
            </w:r>
            <w:proofErr w:type="spellStart"/>
            <w:r w:rsidRPr="001F0ED6">
              <w:rPr>
                <w:rFonts w:ascii="Times New Roman" w:hAnsi="Times New Roman"/>
              </w:rPr>
              <w:t>Klimator</w:t>
            </w:r>
            <w:proofErr w:type="spellEnd"/>
            <w:r w:rsidRPr="001F0ED6">
              <w:rPr>
                <w:rFonts w:ascii="Times New Roman" w:hAnsi="Times New Roman"/>
              </w:rPr>
              <w:t xml:space="preserve"> sistemos ar kitų lygiaverčių sistemų, su kuriomis taip pat yra leidžiamos integracijos, Perkančioji organizacija nurodo, kad atitinkami integracijai reikalingi duomenys turėtų būti gauti bendradarbiaujant su atitinkamų sistemų valdytojais ar paslaugos teikėjais. Tačiau toks valdytojas gali atsisakyti Tiekėjui suteikti duomenis apie sistemą, kurios atitinkamas Tiekėjas nei įsigyja, nei teikia jos priežiūros ar kitas paslaugas, t. y. niekaip nėra susijęs su sistema ar jos valdytoju. Tokie sistemų valdytojai nėra valstybės institucijos ar kiti įpareigoti bendradarbiauti subjektai, kurie turėtų pareigą suteikti visiems rinkoje veikiantiems subjektams duomenis, reikalingus integracijai su jų sistemomis, o juo labiau – suteikti tokius duomenis visiems lygiomis sąlygomis.</w:t>
            </w:r>
          </w:p>
          <w:p w14:paraId="399AFCD3" w14:textId="77777777" w:rsidR="009D3F15" w:rsidRPr="001F0ED6" w:rsidRDefault="009D3F15" w:rsidP="009D3F15">
            <w:pPr>
              <w:tabs>
                <w:tab w:val="left" w:pos="630"/>
              </w:tabs>
              <w:jc w:val="both"/>
              <w:rPr>
                <w:rFonts w:ascii="Times New Roman" w:hAnsi="Times New Roman"/>
              </w:rPr>
            </w:pPr>
            <w:r w:rsidRPr="001F0ED6">
              <w:rPr>
                <w:rFonts w:ascii="Times New Roman" w:hAnsi="Times New Roman"/>
              </w:rPr>
              <w:t>Nurodant, kad atitinkami Pirkimo sutarties vykdymui reikalingi duomenys turi būti gauti iš trečiosios šalies (sistemos valdytojo), sudaroma situacija, kai būtent nuo sistemos valdytojo priklauso, kuriam subjektui atitinkami integracijos duomenys būtų suteikti – sistemos valdytojas gali nustatyti papildomus reikalavimus tiekėjams arba atsisakyti suteikti duomenis remdamasis vien subjektyviais argumentais ar verslo logika.</w:t>
            </w:r>
          </w:p>
          <w:p w14:paraId="09E1EB05" w14:textId="77777777" w:rsidR="009D3F15" w:rsidRPr="001F0ED6" w:rsidRDefault="009D3F15" w:rsidP="009D3F15">
            <w:pPr>
              <w:tabs>
                <w:tab w:val="left" w:pos="630"/>
              </w:tabs>
              <w:jc w:val="both"/>
              <w:rPr>
                <w:rFonts w:ascii="Times New Roman" w:hAnsi="Times New Roman"/>
              </w:rPr>
            </w:pPr>
            <w:r w:rsidRPr="001F0ED6">
              <w:rPr>
                <w:rFonts w:ascii="Times New Roman" w:hAnsi="Times New Roman"/>
              </w:rPr>
              <w:t xml:space="preserve">Pavyzdžiui, </w:t>
            </w:r>
            <w:proofErr w:type="spellStart"/>
            <w:r w:rsidRPr="001F0ED6">
              <w:rPr>
                <w:rFonts w:ascii="Times New Roman" w:hAnsi="Times New Roman"/>
              </w:rPr>
              <w:t>Klimator</w:t>
            </w:r>
            <w:proofErr w:type="spellEnd"/>
            <w:r w:rsidRPr="001F0ED6">
              <w:rPr>
                <w:rFonts w:ascii="Times New Roman" w:hAnsi="Times New Roman"/>
              </w:rPr>
              <w:t xml:space="preserve"> sistemos atveju, Tiekėjo žiniomis, sistemos valdytojas bendradarbiauja ir atitinkamus sistemos integracijai reikalingus duomenis teikia tik vienam potencialiam tiekėjui – savo partneriui, kuris </w:t>
            </w:r>
            <w:r w:rsidRPr="001F0ED6">
              <w:rPr>
                <w:rFonts w:ascii="Times New Roman" w:hAnsi="Times New Roman"/>
              </w:rPr>
              <w:lastRenderedPageBreak/>
              <w:t xml:space="preserve">yra susijusi įmonė. Natūralu, kad esant tokiai situacijai, </w:t>
            </w:r>
            <w:proofErr w:type="spellStart"/>
            <w:r w:rsidRPr="001F0ED6">
              <w:rPr>
                <w:rFonts w:ascii="Times New Roman" w:hAnsi="Times New Roman"/>
              </w:rPr>
              <w:t>Klimator</w:t>
            </w:r>
            <w:proofErr w:type="spellEnd"/>
            <w:r w:rsidRPr="001F0ED6">
              <w:rPr>
                <w:rFonts w:ascii="Times New Roman" w:hAnsi="Times New Roman"/>
              </w:rPr>
              <w:t xml:space="preserve"> sistemos savininkui nėra jokios verslo logikos papildomai reikalingus duomenis teikti ir kitiems tiekėjams, taip sukuriant papildomą konkurenciją.</w:t>
            </w:r>
          </w:p>
          <w:p w14:paraId="3B01D36B" w14:textId="77777777" w:rsidR="009D3F15" w:rsidRPr="001F0ED6" w:rsidRDefault="009D3F15" w:rsidP="009D3F15">
            <w:pPr>
              <w:tabs>
                <w:tab w:val="left" w:pos="630"/>
              </w:tabs>
              <w:jc w:val="both"/>
              <w:rPr>
                <w:rFonts w:ascii="Times New Roman" w:hAnsi="Times New Roman"/>
              </w:rPr>
            </w:pPr>
            <w:r w:rsidRPr="001F0ED6">
              <w:rPr>
                <w:rFonts w:ascii="Times New Roman" w:hAnsi="Times New Roman"/>
              </w:rPr>
              <w:t>Visos šios aplinkybės leidžia spręsti, kad atsakomybės tiekėjams perkėlimas dėl konkrečių techninių sąsajų gavimo būtų laikomas neteisingu ir neteisėtu.</w:t>
            </w:r>
          </w:p>
          <w:p w14:paraId="501876FA" w14:textId="77777777" w:rsidR="009D3F15" w:rsidRPr="001F0ED6" w:rsidRDefault="009D3F15" w:rsidP="009D3F15">
            <w:pPr>
              <w:tabs>
                <w:tab w:val="left" w:pos="630"/>
              </w:tabs>
              <w:jc w:val="both"/>
              <w:rPr>
                <w:rFonts w:ascii="Times New Roman" w:hAnsi="Times New Roman"/>
              </w:rPr>
            </w:pPr>
            <w:r w:rsidRPr="001F0ED6">
              <w:rPr>
                <w:rFonts w:ascii="Times New Roman" w:hAnsi="Times New Roman"/>
              </w:rPr>
              <w:t>Pastebėtina, kad itin panaši situacija jau buvo nagrinėta Lietuvos Aukščiausiojo Teismo praktikoje, kurioje buvo sprendžiama dėl viešojo pirkimo dokumentų reikalavimo, pagal kurį tiekėjai patys turi užsitikrinti API sąsajų (reikalingų integruojant viešojo pirkimo objekto su kita, perkančiosios organizacijos naudojama, bet į pirkimo objektą nepatenkančia programine įranga), teisėtumo. Lietuvos Aukščiausiasis Teismas 2023-02-02 nutartyje civilinėje byloje Nr. e3K-3-10-469/2023 nurodė, kad tokia situacija nėra galima.</w:t>
            </w:r>
          </w:p>
          <w:p w14:paraId="55993D1F" w14:textId="77777777" w:rsidR="009D3F15" w:rsidRPr="001F0ED6" w:rsidRDefault="009D3F15" w:rsidP="009D3F15">
            <w:pPr>
              <w:tabs>
                <w:tab w:val="left" w:pos="630"/>
              </w:tabs>
              <w:jc w:val="both"/>
              <w:rPr>
                <w:rFonts w:ascii="Times New Roman" w:hAnsi="Times New Roman"/>
              </w:rPr>
            </w:pPr>
            <w:r w:rsidRPr="001F0ED6">
              <w:rPr>
                <w:rFonts w:ascii="Times New Roman" w:hAnsi="Times New Roman"/>
              </w:rPr>
              <w:t>Nurodomi teismų praktikos išaiškinimai šiuo atveju akivaizdžiai patvirtina, kad Perkančioji organizacija pati turėtų užsitikrinti savo valdomos sistemos ar lygiaverčių sistemų duomenis, kurie reikalingi šią sistemą integruojant su kitomis Perkančiosios organizacijos įsigyjamomis sistemomis ar įranga. To nepadarius, neigiami padariniai negali būti perkeliami Pirkimo dalyviams, t. y. šiuo atveju Perkančioji organizacija negali reikalauti, kad patys tiekėjai užsitikrintų reikalingų techninių duomenų gavimą, kaip tai nurodė Perkančioji organizacija 2026-05-04 atsakyme.</w:t>
            </w:r>
          </w:p>
          <w:p w14:paraId="72CAA21B" w14:textId="77777777" w:rsidR="009D3F15" w:rsidRPr="001F0ED6" w:rsidRDefault="009D3F15" w:rsidP="009D3F15">
            <w:pPr>
              <w:tabs>
                <w:tab w:val="left" w:pos="630"/>
              </w:tabs>
              <w:jc w:val="both"/>
              <w:rPr>
                <w:rFonts w:ascii="Times New Roman" w:hAnsi="Times New Roman"/>
              </w:rPr>
            </w:pPr>
            <w:r w:rsidRPr="001F0ED6">
              <w:rPr>
                <w:rFonts w:ascii="Times New Roman" w:hAnsi="Times New Roman"/>
              </w:rPr>
              <w:t xml:space="preserve">Papildomai Tiekėjas atkreipia dėmesį, kad situacijos nekeičia ir tai, kad reikalavimas dėl integracijos Pirkimo dokumentuose yra nustatytas kaip ekonominio naudingumo vertinimo kriterijus. Lietuvos Aukščiausiojo Teismo praktikoje pažymima, kad konkurencijos užtikrinimo ir tiekėjų nediskriminavimo imperatyvas gali būti pažeistas tiek </w:t>
            </w:r>
            <w:proofErr w:type="spellStart"/>
            <w:r w:rsidRPr="001F0ED6">
              <w:rPr>
                <w:rFonts w:ascii="Times New Roman" w:hAnsi="Times New Roman"/>
              </w:rPr>
              <w:t>expressis</w:t>
            </w:r>
            <w:proofErr w:type="spellEnd"/>
            <w:r w:rsidRPr="001F0ED6">
              <w:rPr>
                <w:rFonts w:ascii="Times New Roman" w:hAnsi="Times New Roman"/>
              </w:rPr>
              <w:t xml:space="preserve"> </w:t>
            </w:r>
            <w:proofErr w:type="spellStart"/>
            <w:r w:rsidRPr="001F0ED6">
              <w:rPr>
                <w:rFonts w:ascii="Times New Roman" w:hAnsi="Times New Roman"/>
              </w:rPr>
              <w:t>verbis</w:t>
            </w:r>
            <w:proofErr w:type="spellEnd"/>
            <w:r w:rsidRPr="001F0ED6">
              <w:rPr>
                <w:rFonts w:ascii="Times New Roman" w:hAnsi="Times New Roman"/>
              </w:rPr>
              <w:t xml:space="preserve"> įtvirtinant nepagrįstas, perteklines ar kitais būdais konkurenciją ribojančias sąlygas, tiek įtvirtinant VPĮ nuostatas dėl techninės specifikacijos formaliai atitinkančius reikalavimus, kurių deriniu (sąlygų grupe) ar jų visuma viešojo pirkimo sąlygos pritaikomos vienam tiekėjui ar gamintojui (ar labai siauram jų ratui).</w:t>
            </w:r>
          </w:p>
          <w:p w14:paraId="62B9C976" w14:textId="77777777" w:rsidR="009D3F15" w:rsidRPr="001F0ED6" w:rsidRDefault="009D3F15" w:rsidP="009D3F15">
            <w:pPr>
              <w:tabs>
                <w:tab w:val="left" w:pos="630"/>
              </w:tabs>
              <w:jc w:val="both"/>
              <w:rPr>
                <w:rFonts w:ascii="Times New Roman" w:hAnsi="Times New Roman"/>
              </w:rPr>
            </w:pPr>
            <w:r w:rsidRPr="001F0ED6">
              <w:rPr>
                <w:rFonts w:ascii="Times New Roman" w:hAnsi="Times New Roman"/>
              </w:rPr>
              <w:t>Tuo tarpu konkrečiai „ekonominio naudingumo vertinimo kriterijai yra esminės pirkimo sąlygos. Vertinant ekonomiškai naudingiausią pasiūlymą pagal kainos ir kokybės santykį, kainai ir kokybei suteikiama atskira, nuo individualaus pirkimo ir perkančiosios organizacijos poreikių bei pirkimo tikslo priklausanti reikšmė (vertingumas, naudingumas). Taikant kainos ir kokybės santykį, tiekėjai konkuruoja tiek kaina, tiek kokybe, todėl perkančiosios organizacijos nustatyti kokybės reikalavimai (naudingumo kriterijai) ir jiems priskiriama reikšmė (balai) turi tiesioginę įtaką tiekėjų galimybei pateikti konkurencingą pasiūlymą“.</w:t>
            </w:r>
          </w:p>
          <w:p w14:paraId="69C236CF" w14:textId="0C72A430" w:rsidR="009D3F15" w:rsidRPr="00763C8D" w:rsidRDefault="009D3F15" w:rsidP="009D3F15">
            <w:pPr>
              <w:tabs>
                <w:tab w:val="left" w:pos="630"/>
              </w:tabs>
              <w:jc w:val="both"/>
              <w:rPr>
                <w:rFonts w:ascii="Times New Roman" w:hAnsi="Times New Roman"/>
              </w:rPr>
            </w:pPr>
            <w:r w:rsidRPr="001F0ED6">
              <w:rPr>
                <w:rFonts w:ascii="Times New Roman" w:hAnsi="Times New Roman"/>
              </w:rPr>
              <w:t>Nurodomos aplinkybės patvirtina, kad Perkančioji organizacija neturi teisinio pagrindo nustatyti pareigos tiekėjams užsitikrinti techninius duomenis, reikalingus integracijai su Perkančiosios organizacijos naudojama trečiųjų privačių subjektų sistema ar lygiavertėmis sistemomis. Todėl trečiosioms šalims atsisakant suteikti integracijai reikalingus duomenis, tuo turėtų pasirūpinti Perkančioji organizacija ir tai turėtų būti būtent Perkančiosios organizacijos atsakomybėje.</w:t>
            </w:r>
          </w:p>
        </w:tc>
      </w:tr>
      <w:tr w:rsidR="009D3F15" w:rsidRPr="005A7924" w14:paraId="781B2E3A" w14:textId="77777777" w:rsidTr="00527FBF">
        <w:tc>
          <w:tcPr>
            <w:tcW w:w="9628" w:type="dxa"/>
          </w:tcPr>
          <w:p w14:paraId="71D76F72" w14:textId="77777777" w:rsidR="009D3F15" w:rsidRPr="001F0ED6" w:rsidRDefault="009D3F15" w:rsidP="009D3F15">
            <w:pPr>
              <w:tabs>
                <w:tab w:val="left" w:pos="630"/>
              </w:tabs>
              <w:jc w:val="both"/>
              <w:rPr>
                <w:rFonts w:ascii="Times New Roman" w:hAnsi="Times New Roman"/>
                <w:b/>
                <w:bCs/>
              </w:rPr>
            </w:pPr>
            <w:r w:rsidRPr="001F0ED6">
              <w:rPr>
                <w:rFonts w:ascii="Times New Roman" w:hAnsi="Times New Roman"/>
                <w:b/>
                <w:bCs/>
              </w:rPr>
              <w:lastRenderedPageBreak/>
              <w:t>Atsakymas:</w:t>
            </w:r>
          </w:p>
          <w:p w14:paraId="70DB62C5" w14:textId="77777777" w:rsidR="009D3F15" w:rsidRPr="00E10949" w:rsidRDefault="009D3F15" w:rsidP="009D3F15">
            <w:pPr>
              <w:tabs>
                <w:tab w:val="left" w:pos="630"/>
              </w:tabs>
              <w:jc w:val="both"/>
              <w:rPr>
                <w:rFonts w:ascii="Times New Roman" w:hAnsi="Times New Roman"/>
              </w:rPr>
            </w:pPr>
            <w:r w:rsidRPr="00E10949">
              <w:rPr>
                <w:rFonts w:ascii="Times New Roman" w:hAnsi="Times New Roman"/>
              </w:rPr>
              <w:t>Perkančioji organizacija, įvertinusi Tiekėjo pateiktą paklausimą ir argumentus, pažymi šiuos esminius aspektus.</w:t>
            </w:r>
          </w:p>
          <w:p w14:paraId="2B69113C" w14:textId="11DA29C4" w:rsidR="009D3F15" w:rsidRPr="00E10949" w:rsidRDefault="009D3F15" w:rsidP="009D3F15">
            <w:pPr>
              <w:tabs>
                <w:tab w:val="left" w:pos="176"/>
              </w:tabs>
              <w:jc w:val="both"/>
              <w:rPr>
                <w:rFonts w:ascii="Times New Roman" w:hAnsi="Times New Roman"/>
              </w:rPr>
            </w:pPr>
            <w:r w:rsidRPr="00E10949">
              <w:rPr>
                <w:rFonts w:ascii="Times New Roman" w:hAnsi="Times New Roman"/>
              </w:rPr>
              <w:t>1.</w:t>
            </w:r>
            <w:r w:rsidRPr="00E10949">
              <w:rPr>
                <w:rFonts w:ascii="Times New Roman" w:hAnsi="Times New Roman"/>
              </w:rPr>
              <w:tab/>
              <w:t>Pirkimo dokumentuose nustatyti reikalavimai dėl integracijos yra funkcinio pobūdžio. Jais siekiama įvertinti, ar siūloma įranga turi reikiamas technines galimybes ir yra parengta integracijai su kitomis sistemomis (pvz., palaiko standartinius ryšio sprendimus, duomenų perdavimą, integracijos architektūrą). Šie reikalavimai nuo Pirkimo pradžios nebuvo keičiami ir nebuvo išplečiami, nepriklausomai nuo to, kaip Tiekėjas aiškina 2026</w:t>
            </w:r>
            <w:r w:rsidR="00DA312C">
              <w:rPr>
                <w:rFonts w:ascii="Times New Roman" w:hAnsi="Times New Roman"/>
              </w:rPr>
              <w:t>-</w:t>
            </w:r>
            <w:r w:rsidRPr="00E10949">
              <w:rPr>
                <w:rFonts w:ascii="Times New Roman" w:hAnsi="Times New Roman"/>
              </w:rPr>
              <w:t>05</w:t>
            </w:r>
            <w:r w:rsidR="00DA312C">
              <w:rPr>
                <w:rFonts w:ascii="Times New Roman" w:hAnsi="Times New Roman"/>
              </w:rPr>
              <w:t>-</w:t>
            </w:r>
            <w:r w:rsidRPr="00E10949">
              <w:rPr>
                <w:rFonts w:ascii="Times New Roman" w:hAnsi="Times New Roman"/>
              </w:rPr>
              <w:t>04 pateiktą atsakymą.</w:t>
            </w:r>
          </w:p>
          <w:p w14:paraId="78C6F366" w14:textId="77777777" w:rsidR="009D3F15" w:rsidRPr="00E10949" w:rsidRDefault="009D3F15" w:rsidP="009D3F15">
            <w:pPr>
              <w:tabs>
                <w:tab w:val="left" w:pos="176"/>
              </w:tabs>
              <w:jc w:val="both"/>
              <w:rPr>
                <w:rFonts w:ascii="Times New Roman" w:hAnsi="Times New Roman"/>
              </w:rPr>
            </w:pPr>
            <w:r w:rsidRPr="00E10949">
              <w:rPr>
                <w:rFonts w:ascii="Times New Roman" w:hAnsi="Times New Roman"/>
              </w:rPr>
              <w:t>2.</w:t>
            </w:r>
            <w:r w:rsidRPr="00E10949">
              <w:rPr>
                <w:rFonts w:ascii="Times New Roman" w:hAnsi="Times New Roman"/>
              </w:rPr>
              <w:tab/>
              <w:t>Tiekėjo pateikiami argumentai daugiausia susiję su įrangos naudojimo (eksploatavimo) etapu, t. y. iš kur ir kokie konkretūs duomenys bus faktiškai gaunami įrangą naudojant. Perkančioji organizacija pažymi, kad eksploatavimo metu reikalingus duomenis teiks pats Pirkėjas, laikydamasis savo turimų teisių, sudarytų sutarčių ir galiojančių teisės aktų. Duomenų šaltinių valdymas ir prieiga nėra laikomi Pirkimo objektu.</w:t>
            </w:r>
          </w:p>
          <w:p w14:paraId="037490A3" w14:textId="77777777" w:rsidR="009D3F15" w:rsidRPr="00E10949" w:rsidRDefault="009D3F15" w:rsidP="009D3F15">
            <w:pPr>
              <w:tabs>
                <w:tab w:val="left" w:pos="176"/>
              </w:tabs>
              <w:jc w:val="both"/>
              <w:rPr>
                <w:rFonts w:ascii="Times New Roman" w:hAnsi="Times New Roman"/>
              </w:rPr>
            </w:pPr>
            <w:r w:rsidRPr="00E10949">
              <w:rPr>
                <w:rFonts w:ascii="Times New Roman" w:hAnsi="Times New Roman"/>
              </w:rPr>
              <w:t>3.</w:t>
            </w:r>
            <w:r w:rsidRPr="00E10949">
              <w:rPr>
                <w:rFonts w:ascii="Times New Roman" w:hAnsi="Times New Roman"/>
              </w:rPr>
              <w:tab/>
              <w:t>2026</w:t>
            </w:r>
            <w:r>
              <w:rPr>
                <w:rFonts w:ascii="Times New Roman" w:hAnsi="Times New Roman"/>
              </w:rPr>
              <w:t>-</w:t>
            </w:r>
            <w:r w:rsidRPr="00E10949">
              <w:rPr>
                <w:rFonts w:ascii="Times New Roman" w:hAnsi="Times New Roman"/>
              </w:rPr>
              <w:t>05</w:t>
            </w:r>
            <w:r>
              <w:rPr>
                <w:rFonts w:ascii="Times New Roman" w:hAnsi="Times New Roman"/>
              </w:rPr>
              <w:t>-</w:t>
            </w:r>
            <w:r w:rsidRPr="00E10949">
              <w:rPr>
                <w:rFonts w:ascii="Times New Roman" w:hAnsi="Times New Roman"/>
              </w:rPr>
              <w:t>04 pateiktas Perkančiosios organizacijos atsakymas buvo skirtas paaiškinti techninio suderinamumo aspektus, o ne perkelti Tiekėjui papildomas pareigas. Juo buvo siekta nurodyti, kad tuo atveju, jei kyla klausimų dėl to, kaip techniškai realizuoti funkcionalumą (pvz., koks API formatas, koks protokolas ar koks techninis sprendimas tinkamiausias), tai yra Tiekėjo, kaip technologinio sprendimo teikėjo, atsakomybės sritis. Tokiais atvejais Tiekėjas pasirenka techninį sprendimą ir, jei reikia, bendradarbiauja su atitinkamų sistemų valdytojais ar paslaugų teikėjais.</w:t>
            </w:r>
          </w:p>
          <w:p w14:paraId="0C5370CD" w14:textId="29DD6501" w:rsidR="009D3F15" w:rsidRPr="005A7924" w:rsidRDefault="009D3F15" w:rsidP="009D3F15">
            <w:pPr>
              <w:tabs>
                <w:tab w:val="left" w:pos="176"/>
              </w:tabs>
              <w:jc w:val="both"/>
              <w:rPr>
                <w:rFonts w:ascii="Times New Roman" w:hAnsi="Times New Roman"/>
              </w:rPr>
            </w:pPr>
            <w:r w:rsidRPr="00E10949">
              <w:rPr>
                <w:rFonts w:ascii="Times New Roman" w:hAnsi="Times New Roman"/>
              </w:rPr>
              <w:t>4.</w:t>
            </w:r>
            <w:r w:rsidRPr="00E10949">
              <w:rPr>
                <w:rFonts w:ascii="Times New Roman" w:hAnsi="Times New Roman"/>
              </w:rPr>
              <w:tab/>
              <w:t>Perkančioji organizacija aiškiai pažymi, kad Tiekėjui nėra perkeliama pareiga savarankiškai gauti ar užsitikrinti trečiųjų šalių valdomų sistemų duomenis, jeigu tokių duomenų suteikimas nepriklauso nuo Tiekėjo valios ar nėra tiesiogiai nustatytas Pirkimo dokumentuose. Tiekėjo atsakomybė apsiriboja tuo, kad siūloma įranga būtų techniškai parengta integracijai, tačiau ji neapima trečiųjų asmenų sprendimų, veiksmų ar atsisakymo bendradarbiauti.</w:t>
            </w:r>
          </w:p>
        </w:tc>
      </w:tr>
    </w:tbl>
    <w:p w14:paraId="362FD032" w14:textId="77777777" w:rsidR="0088360B" w:rsidRDefault="0088360B"/>
    <w:tbl>
      <w:tblPr>
        <w:tblStyle w:val="Lentelstinklelis"/>
        <w:tblW w:w="0" w:type="auto"/>
        <w:tblLook w:val="04A0" w:firstRow="1" w:lastRow="0" w:firstColumn="1" w:lastColumn="0" w:noHBand="0" w:noVBand="1"/>
      </w:tblPr>
      <w:tblGrid>
        <w:gridCol w:w="9628"/>
      </w:tblGrid>
      <w:tr w:rsidR="009D3F15" w:rsidRPr="005A7924" w14:paraId="1B280CB3" w14:textId="77777777" w:rsidTr="00527FBF">
        <w:tc>
          <w:tcPr>
            <w:tcW w:w="9628" w:type="dxa"/>
          </w:tcPr>
          <w:p w14:paraId="0DAB7C90" w14:textId="77777777" w:rsidR="009D3F15" w:rsidRPr="00E10949" w:rsidRDefault="009D3F15" w:rsidP="009D3F15">
            <w:pPr>
              <w:tabs>
                <w:tab w:val="left" w:pos="630"/>
              </w:tabs>
              <w:rPr>
                <w:rFonts w:ascii="Times New Roman" w:hAnsi="Times New Roman"/>
                <w:b/>
                <w:bCs/>
              </w:rPr>
            </w:pPr>
            <w:r w:rsidRPr="00E10949">
              <w:rPr>
                <w:rFonts w:ascii="Times New Roman" w:hAnsi="Times New Roman"/>
                <w:b/>
                <w:bCs/>
              </w:rPr>
              <w:lastRenderedPageBreak/>
              <w:t xml:space="preserve">2. Tiekėjo klausimas/prašymas </w:t>
            </w:r>
            <w:r w:rsidRPr="00E10949">
              <w:rPr>
                <w:rFonts w:ascii="Times New Roman" w:hAnsi="Times New Roman"/>
              </w:rPr>
              <w:t>(kalba netaisyta)</w:t>
            </w:r>
            <w:r w:rsidRPr="00E10949">
              <w:rPr>
                <w:rFonts w:ascii="Times New Roman" w:hAnsi="Times New Roman"/>
                <w:b/>
                <w:bCs/>
              </w:rPr>
              <w:t>:</w:t>
            </w:r>
          </w:p>
          <w:p w14:paraId="06D66B19" w14:textId="77777777" w:rsidR="009D3F15" w:rsidRPr="00E10949" w:rsidRDefault="009D3F15" w:rsidP="009D3F15">
            <w:pPr>
              <w:tabs>
                <w:tab w:val="left" w:pos="630"/>
              </w:tabs>
              <w:jc w:val="both"/>
              <w:rPr>
                <w:rFonts w:ascii="Times New Roman" w:hAnsi="Times New Roman"/>
              </w:rPr>
            </w:pPr>
            <w:r w:rsidRPr="00E10949">
              <w:rPr>
                <w:rFonts w:ascii="Times New Roman" w:hAnsi="Times New Roman"/>
              </w:rPr>
              <w:t>Nors Perkančioji organizacija 2026-05-04 atsakymu nusprendė atsisakyti pratęsti pasiūlymų pateikimo terminą, Tiekėjas dar kartą akcentuoja tokio pratęsimo neišvengiamą poreikį.</w:t>
            </w:r>
          </w:p>
          <w:p w14:paraId="6AD74155" w14:textId="77777777" w:rsidR="009D3F15" w:rsidRPr="00E10949" w:rsidRDefault="009D3F15" w:rsidP="009D3F15">
            <w:pPr>
              <w:tabs>
                <w:tab w:val="left" w:pos="630"/>
              </w:tabs>
              <w:jc w:val="both"/>
              <w:rPr>
                <w:rFonts w:ascii="Times New Roman" w:hAnsi="Times New Roman"/>
              </w:rPr>
            </w:pPr>
            <w:r w:rsidRPr="00E10949">
              <w:rPr>
                <w:rFonts w:ascii="Times New Roman" w:hAnsi="Times New Roman"/>
              </w:rPr>
              <w:t>VPĮ 60 str. 1 d. nustatyta, kad perkančioji organizacija pasiūlymų pateikimo terminą nustato vadovaudamasi VPĮ 40 str. nuostatomis. Pagal šias nuostatas perkančioji organizacija privalo atsižvelgti į pirkimo sudėtingumą, laiką, reikalingą pasiūlymui parengti, pasiūlymų pateikimo būdą ir į kitas reikšmingas aplinkybes. Ši pareiga kyla iš VPĮ 17 str. 1 d. įtvirtintų lygiateisiškumo, nediskriminavimo, proporcingumo, abipusio pripažinimo ir skaidrumo principų.</w:t>
            </w:r>
          </w:p>
          <w:p w14:paraId="5EF2589E" w14:textId="77777777" w:rsidR="009D3F15" w:rsidRPr="00E10949" w:rsidRDefault="009D3F15" w:rsidP="009D3F15">
            <w:pPr>
              <w:tabs>
                <w:tab w:val="left" w:pos="630"/>
              </w:tabs>
              <w:jc w:val="both"/>
              <w:rPr>
                <w:rFonts w:ascii="Times New Roman" w:hAnsi="Times New Roman"/>
              </w:rPr>
            </w:pPr>
            <w:r w:rsidRPr="00E10949">
              <w:rPr>
                <w:rFonts w:ascii="Times New Roman" w:hAnsi="Times New Roman"/>
              </w:rPr>
              <w:t>Pasiūlymų pateikimo termino tikslas – užtikrinti, kad tiekėjai turėtų realią ir pakankamą galimybę visapusiškai susipažinti su Perkančiosios organizacijos reikalavimais, įtvirtintais pirkimo dokumentuose, tinkamai įvertinti pirkimo objekto specifiką bei parengti kokybišką ir konkurencingą pasiūlymą. Nepakankamas terminas ne tik pažeidžia tiekėjų teisėtus lūkesčius, bet ir kelia grėsmę efektyvios konkurencijos bei racionalaus lėšų panaudojimo principų įgyvendinimui.</w:t>
            </w:r>
          </w:p>
          <w:p w14:paraId="123E9BDD" w14:textId="77777777" w:rsidR="009D3F15" w:rsidRPr="00E10949" w:rsidRDefault="009D3F15" w:rsidP="009D3F15">
            <w:pPr>
              <w:tabs>
                <w:tab w:val="left" w:pos="630"/>
              </w:tabs>
              <w:jc w:val="both"/>
              <w:rPr>
                <w:rFonts w:ascii="Times New Roman" w:hAnsi="Times New Roman"/>
              </w:rPr>
            </w:pPr>
            <w:r w:rsidRPr="00E10949">
              <w:rPr>
                <w:rFonts w:ascii="Times New Roman" w:hAnsi="Times New Roman"/>
              </w:rPr>
              <w:t>Pagrindas pratęsti pasiūlymų pateikimo terminą kyla būtent iš poreikio detaliai įsivertinti visus Pirkimo dokumentų reikalavimus ir ypatingai tuos reikalavimus, dėl kurių anksčiau ir šiuo raštu Tiekėjas pateikė klausimus. Perkančioji organizacija 2026-05-04 atsakymu nurodė, kad „techninių sąsajų (API, protokolų, prisijungimų ir pan.) įgyvendinimas yra tiekėjo atsakomybė, bendradarbiaujant su atitinkamos sistemos valdytoju ar paslaugos teikėju“. Natūralu, kad galimybę užsitikrinti reikalingas sąsajas tiekėjai turėtų įvertinti prieš pateikiant pasiūlymus Pirkime. Bet kaip nurodo pati Perkančioji organizacija, toks užsitikrinimas reikalauja bendradarbiavimo su sistemos valdytoju, kuris yra užsienio subjektas. Neabejotina, kad tai reikalauja papildomo laiko.</w:t>
            </w:r>
          </w:p>
          <w:p w14:paraId="06EE276F" w14:textId="77777777" w:rsidR="009D3F15" w:rsidRPr="00E10949" w:rsidRDefault="009D3F15" w:rsidP="009D3F15">
            <w:pPr>
              <w:tabs>
                <w:tab w:val="left" w:pos="630"/>
              </w:tabs>
              <w:jc w:val="both"/>
              <w:rPr>
                <w:rFonts w:ascii="Times New Roman" w:hAnsi="Times New Roman"/>
              </w:rPr>
            </w:pPr>
            <w:r w:rsidRPr="00E10949">
              <w:rPr>
                <w:rFonts w:ascii="Times New Roman" w:hAnsi="Times New Roman"/>
              </w:rPr>
              <w:t xml:space="preserve">Tuo labiau, kad iki Perkančiosios organizacijos 2026-05-04 atsakymo pateikimo, ši informacija apie poreikį patiems tiekėjams užsitikrinti technines sąsajas, nebuvo nurodoma, t. y. Pirkimo dokumentai nenustato jokių reikalavimų dėl tokių sąsajų užsitikrinimo patiems tiekėjams. </w:t>
            </w:r>
          </w:p>
          <w:p w14:paraId="796B7F00" w14:textId="77777777" w:rsidR="009D3F15" w:rsidRPr="00E10949" w:rsidRDefault="009D3F15" w:rsidP="009D3F15">
            <w:pPr>
              <w:tabs>
                <w:tab w:val="left" w:pos="630"/>
              </w:tabs>
              <w:jc w:val="both"/>
              <w:rPr>
                <w:rFonts w:ascii="Times New Roman" w:hAnsi="Times New Roman"/>
              </w:rPr>
            </w:pPr>
            <w:r w:rsidRPr="00E10949">
              <w:rPr>
                <w:rFonts w:ascii="Times New Roman" w:hAnsi="Times New Roman"/>
              </w:rPr>
              <w:t xml:space="preserve">Atitinkamai, priešingai nei teigia Perkančioji organizacija, poreikis pratęsti pasiūlymų pateikimo terminą yra nulemtas ne Tiekėjo netinkamo ar neefektyvaus laiko planavimo, o objektyvių aplinkybių – papildomų Perkančiosios organizacijos nustatytų reikalavimų, kurių tinkamas įvertinimas reikalauja tiek papildomų laiko sąnaudų, tiek gali turėti tiesioginės įtakos rengiant pasiūlymą ir nustatant pasiūlymo kainą. </w:t>
            </w:r>
          </w:p>
          <w:p w14:paraId="2BF40D40" w14:textId="77777777" w:rsidR="009D3F15" w:rsidRPr="00E10949" w:rsidRDefault="009D3F15" w:rsidP="009D3F15">
            <w:pPr>
              <w:tabs>
                <w:tab w:val="left" w:pos="630"/>
              </w:tabs>
              <w:jc w:val="both"/>
              <w:rPr>
                <w:rFonts w:ascii="Times New Roman" w:hAnsi="Times New Roman"/>
              </w:rPr>
            </w:pPr>
            <w:r w:rsidRPr="00E10949">
              <w:rPr>
                <w:rFonts w:ascii="Times New Roman" w:hAnsi="Times New Roman"/>
              </w:rPr>
              <w:t xml:space="preserve">Tiekėjo įsitikinimu, termino nepratęsimas šiomis aplinkybėmis galėtų nepagrįstai apriboti potencialių tiekėjų ratą, sumažinti gaunamų konkurencingų pasiūlymų skaičių ir taip pažeisti VPĮ 17 str. 1 d. įtvirtintus lygiateisiškumo bei proporcingumo principus, kartu pakenkiant racionaliam viešųjų lėšų panaudojimui. </w:t>
            </w:r>
          </w:p>
          <w:p w14:paraId="62B6D576" w14:textId="4CAD199B" w:rsidR="009D3F15" w:rsidRPr="00763C8D" w:rsidRDefault="009D3F15" w:rsidP="009D3F15">
            <w:pPr>
              <w:tabs>
                <w:tab w:val="left" w:pos="630"/>
              </w:tabs>
              <w:jc w:val="both"/>
              <w:rPr>
                <w:rFonts w:ascii="Times New Roman" w:hAnsi="Times New Roman"/>
              </w:rPr>
            </w:pPr>
            <w:r w:rsidRPr="00E10949">
              <w:rPr>
                <w:rFonts w:ascii="Times New Roman" w:hAnsi="Times New Roman"/>
              </w:rPr>
              <w:t>Atsižvelgiant į nurodomas aplinkybes, Tiekėjas prašo Perkančiosios organizacijos pratęsti terminą pasiūlymams pateikti iki 2026-05-25 arba trumpesniu, Perkančiosios organizacijos pagrįstu laikytinu, terminu.</w:t>
            </w:r>
          </w:p>
        </w:tc>
      </w:tr>
      <w:tr w:rsidR="009D3F15" w:rsidRPr="005A7924" w14:paraId="2A708737" w14:textId="77777777" w:rsidTr="00527FBF">
        <w:tc>
          <w:tcPr>
            <w:tcW w:w="9628" w:type="dxa"/>
          </w:tcPr>
          <w:p w14:paraId="5FC820CF" w14:textId="77777777" w:rsidR="009D3F15" w:rsidRPr="00E10949" w:rsidRDefault="009D3F15" w:rsidP="009D3F15">
            <w:pPr>
              <w:tabs>
                <w:tab w:val="left" w:pos="630"/>
              </w:tabs>
              <w:jc w:val="both"/>
              <w:rPr>
                <w:rFonts w:ascii="Times New Roman" w:hAnsi="Times New Roman"/>
                <w:b/>
                <w:bCs/>
              </w:rPr>
            </w:pPr>
            <w:r w:rsidRPr="00E10949">
              <w:rPr>
                <w:rFonts w:ascii="Times New Roman" w:hAnsi="Times New Roman"/>
                <w:b/>
                <w:bCs/>
              </w:rPr>
              <w:t>Atsakymas:</w:t>
            </w:r>
          </w:p>
          <w:p w14:paraId="6E7F7320" w14:textId="1B9F9D63" w:rsidR="009D3F15" w:rsidRPr="005A7924" w:rsidRDefault="009D3F15" w:rsidP="009D3F15">
            <w:pPr>
              <w:tabs>
                <w:tab w:val="left" w:pos="630"/>
              </w:tabs>
              <w:jc w:val="both"/>
              <w:rPr>
                <w:rFonts w:ascii="Times New Roman" w:hAnsi="Times New Roman"/>
              </w:rPr>
            </w:pPr>
            <w:r w:rsidRPr="003D19D4">
              <w:rPr>
                <w:rFonts w:ascii="Times New Roman" w:hAnsi="Times New Roman"/>
              </w:rPr>
              <w:t xml:space="preserve">Įvertinus tai, kad buvo gauti keli prašymai nukelti pasiūlymų pateikimo terminą, ir atsižvelgiant į pirkimo dokumentuose nustatytus maksimalius pristatymo terminus bei būtinybę užtikrinti barstytuvų gavimą iki ateinančio žiemos sezono pradžios, priimtas sprendimas nukelti pasiūlymų pateikimo terminą </w:t>
            </w:r>
            <w:r w:rsidRPr="00E10949">
              <w:rPr>
                <w:rFonts w:ascii="Times New Roman" w:hAnsi="Times New Roman"/>
              </w:rPr>
              <w:t>iki 2026-05-18 10 val.</w:t>
            </w:r>
          </w:p>
        </w:tc>
      </w:tr>
    </w:tbl>
    <w:p w14:paraId="5B29D323" w14:textId="77777777" w:rsidR="0088360B" w:rsidRDefault="0088360B"/>
    <w:tbl>
      <w:tblPr>
        <w:tblStyle w:val="Lentelstinklelis"/>
        <w:tblW w:w="0" w:type="auto"/>
        <w:tblLook w:val="04A0" w:firstRow="1" w:lastRow="0" w:firstColumn="1" w:lastColumn="0" w:noHBand="0" w:noVBand="1"/>
      </w:tblPr>
      <w:tblGrid>
        <w:gridCol w:w="9628"/>
      </w:tblGrid>
      <w:tr w:rsidR="009D3F15" w:rsidRPr="005A7924" w14:paraId="3486008A" w14:textId="77777777" w:rsidTr="00527FBF">
        <w:tc>
          <w:tcPr>
            <w:tcW w:w="9628" w:type="dxa"/>
          </w:tcPr>
          <w:p w14:paraId="216D7F24" w14:textId="17B1F7A8" w:rsidR="009D3F15" w:rsidRPr="005A7924" w:rsidRDefault="009D3F15" w:rsidP="009D3F15">
            <w:pPr>
              <w:tabs>
                <w:tab w:val="left" w:pos="630"/>
              </w:tabs>
              <w:rPr>
                <w:rFonts w:ascii="Times New Roman" w:hAnsi="Times New Roman"/>
                <w:b/>
                <w:bCs/>
              </w:rPr>
            </w:pPr>
            <w:r>
              <w:rPr>
                <w:rFonts w:ascii="Times New Roman" w:hAnsi="Times New Roman"/>
                <w:b/>
                <w:bCs/>
              </w:rPr>
              <w:t>3</w:t>
            </w:r>
            <w:r w:rsidRPr="005A7924">
              <w:rPr>
                <w:rFonts w:ascii="Times New Roman" w:hAnsi="Times New Roman"/>
                <w:b/>
                <w:bCs/>
              </w:rPr>
              <w:t xml:space="preserve">. Tiekėjo klausimas/prašymas </w:t>
            </w:r>
            <w:r w:rsidRPr="005A7924">
              <w:rPr>
                <w:rFonts w:ascii="Times New Roman" w:hAnsi="Times New Roman"/>
              </w:rPr>
              <w:t>(kalba netaisyta)</w:t>
            </w:r>
            <w:r w:rsidRPr="005A7924">
              <w:rPr>
                <w:rFonts w:ascii="Times New Roman" w:hAnsi="Times New Roman"/>
                <w:b/>
                <w:bCs/>
              </w:rPr>
              <w:t>:</w:t>
            </w:r>
          </w:p>
          <w:p w14:paraId="00B34B5E" w14:textId="77777777" w:rsidR="009D3F15" w:rsidRPr="00E10949" w:rsidRDefault="009D3F15" w:rsidP="009D3F15">
            <w:pPr>
              <w:tabs>
                <w:tab w:val="left" w:pos="630"/>
              </w:tabs>
              <w:jc w:val="both"/>
              <w:rPr>
                <w:rFonts w:ascii="Times New Roman" w:hAnsi="Times New Roman"/>
              </w:rPr>
            </w:pPr>
            <w:r w:rsidRPr="00E10949">
              <w:rPr>
                <w:rFonts w:ascii="Times New Roman" w:hAnsi="Times New Roman"/>
              </w:rPr>
              <w:t>Prašome perkančiosios organizacijos pratęsti terminą pasiūlymams pateikti iki 2026-05-25 remiantis žemiau nurodytais argumentais:</w:t>
            </w:r>
          </w:p>
          <w:p w14:paraId="795F0CF8" w14:textId="77777777" w:rsidR="009D3F15" w:rsidRPr="00E10949" w:rsidRDefault="009D3F15" w:rsidP="009D3F15">
            <w:pPr>
              <w:tabs>
                <w:tab w:val="left" w:pos="630"/>
              </w:tabs>
              <w:jc w:val="both"/>
              <w:rPr>
                <w:rFonts w:ascii="Times New Roman" w:hAnsi="Times New Roman"/>
              </w:rPr>
            </w:pPr>
            <w:r w:rsidRPr="00E10949">
              <w:rPr>
                <w:rFonts w:ascii="Times New Roman" w:hAnsi="Times New Roman"/>
              </w:rPr>
              <w:t>- Pirkimo objektas yra kompleksinis, reikalaujantis didelės apimties pagrindžiančių dokumentų ir brėžinių, kuriuos nėra galimybės greitai ir nevaržomai gauti dėl šiuo metu Vokietijos mieste Miunchene vykstančios parodos IFAT 2026, kur dalyvauja visi Europos žiemos tarnybos įrangos gamintojai;</w:t>
            </w:r>
          </w:p>
          <w:p w14:paraId="4E816C4C" w14:textId="77777777" w:rsidR="009D3F15" w:rsidRPr="00E10949" w:rsidRDefault="009D3F15" w:rsidP="009D3F15">
            <w:pPr>
              <w:tabs>
                <w:tab w:val="left" w:pos="630"/>
              </w:tabs>
              <w:jc w:val="both"/>
              <w:rPr>
                <w:rFonts w:ascii="Times New Roman" w:hAnsi="Times New Roman"/>
              </w:rPr>
            </w:pPr>
            <w:r w:rsidRPr="00E10949">
              <w:rPr>
                <w:rFonts w:ascii="Times New Roman" w:hAnsi="Times New Roman"/>
              </w:rPr>
              <w:t>- Pirkimo objektas vertinamas pagal kainos ir kokybės santykį ir tiekėjai turi parengti pasiūlymų vertinimo kriterijų pagrindimą, kurių šiame pirkime iš viso yra 26;</w:t>
            </w:r>
          </w:p>
          <w:p w14:paraId="56247BB2" w14:textId="77777777" w:rsidR="009D3F15" w:rsidRPr="00E10949" w:rsidRDefault="009D3F15" w:rsidP="009D3F15">
            <w:pPr>
              <w:tabs>
                <w:tab w:val="left" w:pos="630"/>
              </w:tabs>
              <w:jc w:val="both"/>
              <w:rPr>
                <w:rFonts w:ascii="Times New Roman" w:hAnsi="Times New Roman"/>
              </w:rPr>
            </w:pPr>
            <w:r w:rsidRPr="00E10949">
              <w:rPr>
                <w:rFonts w:ascii="Times New Roman" w:hAnsi="Times New Roman"/>
              </w:rPr>
              <w:t>- Perkančioji organizacija šiam pirkimui nustatė tik minimalų viešųjų pirkimų įstatymo (toliau – VPĮ) 60 straipsnyje nurodyta terminą paraiškoms ir pasiūlymams parengti, tačiau neatsižvelgė į techninių reikalavimų sudėtingumą, pirkimo dokumentų apimtis ir techninių specifikacijų neaiškumus, kaip su realaus laiko sąsaja / integracija su kelio būklės informacinėmis sistemomis ir KOS stotelėmis, kai atsakomybė už konkrečių techninių sąsajų (API, protokolų, prisijungimų ir pan.) įgyvendinimą, bendradarbiaujant su atitinkamos sistemos valdytoju ar paslaugos teikėju yra perkeliama tiekėjui;</w:t>
            </w:r>
          </w:p>
          <w:p w14:paraId="50AA3E92" w14:textId="77777777" w:rsidR="009D3F15" w:rsidRPr="00E10949" w:rsidRDefault="009D3F15" w:rsidP="009D3F15">
            <w:pPr>
              <w:tabs>
                <w:tab w:val="left" w:pos="630"/>
              </w:tabs>
              <w:jc w:val="both"/>
              <w:rPr>
                <w:rFonts w:ascii="Times New Roman" w:hAnsi="Times New Roman"/>
              </w:rPr>
            </w:pPr>
          </w:p>
          <w:p w14:paraId="7F568054" w14:textId="2E2F37E3" w:rsidR="009D3F15" w:rsidRPr="00910F02" w:rsidRDefault="009D3F15" w:rsidP="009D3F15">
            <w:pPr>
              <w:tabs>
                <w:tab w:val="left" w:pos="630"/>
              </w:tabs>
              <w:jc w:val="both"/>
              <w:rPr>
                <w:rFonts w:ascii="Times New Roman" w:hAnsi="Times New Roman"/>
              </w:rPr>
            </w:pPr>
            <w:r w:rsidRPr="00E10949">
              <w:rPr>
                <w:rFonts w:ascii="Times New Roman" w:hAnsi="Times New Roman"/>
              </w:rPr>
              <w:t xml:space="preserve">Taip pat galima konstatuoti, kad dėl aukščiau išvardintų aplinkybių pratęsus terminą pasiūlymams pateikti, perkančioji organizacija tik praplėstų potencialių tiekėjų ratą ir padidintų galimų konkurencingų pasiūlymų </w:t>
            </w:r>
            <w:r w:rsidRPr="00E10949">
              <w:rPr>
                <w:rFonts w:ascii="Times New Roman" w:hAnsi="Times New Roman"/>
              </w:rPr>
              <w:lastRenderedPageBreak/>
              <w:t>skaičių. Tokiu būdu būtų įgyvendinti VPĮ įtvirtinti lygiateisiškumo bei proporcingumo principai, užtikrinant racionalų viešųjų lėšų panaudojimą.</w:t>
            </w:r>
          </w:p>
        </w:tc>
      </w:tr>
      <w:tr w:rsidR="009D3F15" w:rsidRPr="005A7924" w14:paraId="6FA19869" w14:textId="77777777" w:rsidTr="00527FBF">
        <w:tc>
          <w:tcPr>
            <w:tcW w:w="9628" w:type="dxa"/>
          </w:tcPr>
          <w:p w14:paraId="2DFFFA6B" w14:textId="77777777" w:rsidR="009D3F15" w:rsidRPr="00E10949" w:rsidRDefault="009D3F15" w:rsidP="009D3F15">
            <w:pPr>
              <w:tabs>
                <w:tab w:val="left" w:pos="630"/>
              </w:tabs>
              <w:jc w:val="both"/>
              <w:rPr>
                <w:rFonts w:ascii="Times New Roman" w:hAnsi="Times New Roman"/>
                <w:b/>
                <w:bCs/>
              </w:rPr>
            </w:pPr>
            <w:r w:rsidRPr="00E10949">
              <w:rPr>
                <w:rFonts w:ascii="Times New Roman" w:hAnsi="Times New Roman"/>
                <w:b/>
                <w:bCs/>
              </w:rPr>
              <w:lastRenderedPageBreak/>
              <w:t>Atsakymas:</w:t>
            </w:r>
          </w:p>
          <w:p w14:paraId="41442DE6" w14:textId="5036A37A" w:rsidR="009D3F15" w:rsidRPr="005A7924" w:rsidRDefault="009D3F15" w:rsidP="009D3F15">
            <w:pPr>
              <w:tabs>
                <w:tab w:val="left" w:pos="630"/>
              </w:tabs>
              <w:jc w:val="both"/>
              <w:rPr>
                <w:rFonts w:ascii="Times New Roman" w:hAnsi="Times New Roman"/>
              </w:rPr>
            </w:pPr>
            <w:r w:rsidRPr="003D19D4">
              <w:rPr>
                <w:rFonts w:ascii="Times New Roman" w:hAnsi="Times New Roman"/>
              </w:rPr>
              <w:t xml:space="preserve">Įvertinus tai, kad buvo gauti keli prašymai nukelti pasiūlymų pateikimo terminą, ir atsižvelgiant į pirkimo dokumentuose nustatytus maksimalius pristatymo terminus bei būtinybę užtikrinti barstytuvų gavimą iki ateinančio žiemos sezono pradžios, priimtas sprendimas nukelti pasiūlymų pateikimo terminą </w:t>
            </w:r>
            <w:r w:rsidRPr="00E10949">
              <w:rPr>
                <w:rFonts w:ascii="Times New Roman" w:hAnsi="Times New Roman"/>
              </w:rPr>
              <w:t>iki 2026-05-18 10 val.</w:t>
            </w:r>
          </w:p>
        </w:tc>
      </w:tr>
    </w:tbl>
    <w:p w14:paraId="038B7AAE" w14:textId="77777777" w:rsidR="0088360B" w:rsidRDefault="0088360B"/>
    <w:sectPr w:rsidR="0088360B" w:rsidSect="0088360B">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C1C5D"/>
    <w:multiLevelType w:val="multilevel"/>
    <w:tmpl w:val="89CE3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88599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60B"/>
    <w:rsid w:val="001E64B8"/>
    <w:rsid w:val="0088360B"/>
    <w:rsid w:val="009D3F15"/>
    <w:rsid w:val="00DA312C"/>
    <w:rsid w:val="00DE39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C7B07"/>
  <w15:chartTrackingRefBased/>
  <w15:docId w15:val="{ACD0D73E-836B-4860-A7EA-77D54936B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836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836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8360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8360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8360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8360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8360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8360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8360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8360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8360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8360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8360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8360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8360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8360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8360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8360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83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8360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8360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8360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8360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8360B"/>
    <w:rPr>
      <w:i/>
      <w:iCs/>
      <w:color w:val="404040" w:themeColor="text1" w:themeTint="BF"/>
    </w:rPr>
  </w:style>
  <w:style w:type="paragraph" w:styleId="Sraopastraipa">
    <w:name w:val="List Paragraph"/>
    <w:basedOn w:val="prastasis"/>
    <w:uiPriority w:val="34"/>
    <w:qFormat/>
    <w:rsid w:val="0088360B"/>
    <w:pPr>
      <w:ind w:left="720"/>
      <w:contextualSpacing/>
    </w:pPr>
  </w:style>
  <w:style w:type="character" w:styleId="Rykuspabraukimas">
    <w:name w:val="Intense Emphasis"/>
    <w:basedOn w:val="Numatytasispastraiposriftas"/>
    <w:uiPriority w:val="21"/>
    <w:qFormat/>
    <w:rsid w:val="0088360B"/>
    <w:rPr>
      <w:i/>
      <w:iCs/>
      <w:color w:val="2F5496" w:themeColor="accent1" w:themeShade="BF"/>
    </w:rPr>
  </w:style>
  <w:style w:type="paragraph" w:styleId="Iskirtacitata">
    <w:name w:val="Intense Quote"/>
    <w:basedOn w:val="prastasis"/>
    <w:next w:val="prastasis"/>
    <w:link w:val="IskirtacitataDiagrama"/>
    <w:uiPriority w:val="30"/>
    <w:qFormat/>
    <w:rsid w:val="008836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8360B"/>
    <w:rPr>
      <w:i/>
      <w:iCs/>
      <w:color w:val="2F5496" w:themeColor="accent1" w:themeShade="BF"/>
    </w:rPr>
  </w:style>
  <w:style w:type="character" w:styleId="Rykinuoroda">
    <w:name w:val="Intense Reference"/>
    <w:basedOn w:val="Numatytasispastraiposriftas"/>
    <w:uiPriority w:val="32"/>
    <w:qFormat/>
    <w:rsid w:val="0088360B"/>
    <w:rPr>
      <w:b/>
      <w:bCs/>
      <w:smallCaps/>
      <w:color w:val="2F5496" w:themeColor="accent1" w:themeShade="BF"/>
      <w:spacing w:val="5"/>
    </w:rPr>
  </w:style>
  <w:style w:type="table" w:styleId="Lentelstinklelis">
    <w:name w:val="Table Grid"/>
    <w:basedOn w:val="prastojilentel"/>
    <w:uiPriority w:val="59"/>
    <w:rsid w:val="0088360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10088</Words>
  <Characters>5751</Characters>
  <Application>Microsoft Office Word</Application>
  <DocSecurity>0</DocSecurity>
  <Lines>47</Lines>
  <Paragraphs>31</Paragraphs>
  <ScaleCrop>false</ScaleCrop>
  <Company/>
  <LinksUpToDate>false</LinksUpToDate>
  <CharactersWithSpaces>15808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Trasikienė</dc:creator>
  <cp:keywords/>
  <dc:description/>
  <cp:lastModifiedBy>Vaida Trasikienė</cp:lastModifiedBy>
  <cp:revision>3</cp:revision>
  <dcterms:created xsi:type="dcterms:W3CDTF">2026-05-04T10:00:00Z</dcterms:created>
  <dcterms:modified xsi:type="dcterms:W3CDTF">2026-05-08T11:17:00Z</dcterms:modified>
</cp:coreProperties>
</file>