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0EDCC180" w:rsidR="00D14114" w:rsidRPr="00175622" w:rsidRDefault="00D14114" w:rsidP="00D14114">
      <w:pPr>
        <w:jc w:val="center"/>
        <w:rPr>
          <w:b/>
          <w:color w:val="FF0000"/>
        </w:rPr>
      </w:pPr>
      <w:r>
        <w:rPr>
          <w:b/>
        </w:rPr>
        <w:t xml:space="preserve">PASLAUGŲ VIEŠOJO PIRKIMO-PARDAVIMO </w:t>
      </w:r>
      <w:r w:rsidRPr="00175622">
        <w:rPr>
          <w:b/>
        </w:rPr>
        <w:t>SUTARTIS</w:t>
      </w:r>
      <w:r w:rsidRPr="00175622">
        <w:rPr>
          <w:b/>
          <w:color w:val="FF0000"/>
        </w:rPr>
        <w:t xml:space="preserve"> </w:t>
      </w:r>
      <w:r w:rsidR="00175622" w:rsidRPr="00175622">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0E246523" w:rsidR="00D14114" w:rsidRDefault="00511F14" w:rsidP="00D14114">
      <w:pPr>
        <w:ind w:left="2880" w:firstLine="720"/>
        <w:jc w:val="both"/>
      </w:pPr>
      <w:r>
        <w:t>2026 m</w:t>
      </w:r>
      <w:r w:rsidR="00D14114">
        <w:t>.</w:t>
      </w:r>
      <w:r>
        <w:t xml:space="preserve"> </w:t>
      </w:r>
      <w:r w:rsidR="00D14114">
        <w:t>......................... Nr.</w:t>
      </w:r>
    </w:p>
    <w:p w14:paraId="6063F144" w14:textId="253DC600"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511F14">
        <w:rPr>
          <w:sz w:val="22"/>
          <w:szCs w:val="22"/>
        </w:rPr>
        <w:t xml:space="preserve">      </w:t>
      </w:r>
      <w:r>
        <w:rPr>
          <w:sz w:val="22"/>
          <w:szCs w:val="22"/>
        </w:rPr>
        <w:t xml:space="preserve">    </w:t>
      </w:r>
      <w:r w:rsidR="006928AC" w:rsidRPr="006928AC">
        <w:t>Klaipėda</w:t>
      </w:r>
      <w:bookmarkStart w:id="0" w:name="_GoBack"/>
      <w:bookmarkEnd w:id="0"/>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32782399" w14:textId="77777777" w:rsidTr="001A3760">
        <w:tc>
          <w:tcPr>
            <w:tcW w:w="10368"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07DB5672"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175622">
              <w:t xml:space="preserve">laivo </w:t>
            </w:r>
            <w:r w:rsidR="00906F19">
              <w:t>suspausto oro sistemos ir vamzdyno</w:t>
            </w:r>
            <w:r w:rsidR="003A2585">
              <w:t xml:space="preserve"> remonto</w:t>
            </w:r>
            <w:r w:rsidR="007148B9">
              <w:t xml:space="preserve"> paslaug</w:t>
            </w:r>
            <w:r w:rsidR="00EA0EDC">
              <w:t>as</w:t>
            </w:r>
            <w:r w:rsidR="00D14114" w:rsidRPr="002728C6">
              <w:t xml:space="preserve"> (toliau – Paslaugo</w:t>
            </w:r>
            <w:r w:rsidR="006928AC">
              <w:t>s), atitinkančias Sutarties 1</w:t>
            </w:r>
            <w:r w:rsidR="00D14114" w:rsidRPr="002728C6">
              <w:t xml:space="preserve"> priede </w:t>
            </w:r>
            <w:r w:rsidR="00A76C9B">
              <w:t>„</w:t>
            </w:r>
            <w:r w:rsidR="00906F19" w:rsidRPr="00906F19">
              <w:t>Suspausto oro sistem</w:t>
            </w:r>
            <w:r w:rsidR="00906F19">
              <w:t>os ir vamzdyno remonto</w:t>
            </w:r>
            <w:r w:rsidR="00511F14" w:rsidRPr="00511F14">
              <w:t xml:space="preserve"> paslaugos</w:t>
            </w:r>
            <w:r w:rsidR="00511F14">
              <w:t xml:space="preserve"> </w:t>
            </w:r>
            <w:r w:rsidR="00D14114" w:rsidRPr="002728C6">
              <w:t>tech</w:t>
            </w:r>
            <w:r w:rsidR="006928AC">
              <w:t>ninė specifikacij</w:t>
            </w:r>
            <w:r w:rsidR="000C56CF">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2D3ED82"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1A3760">
        <w:tc>
          <w:tcPr>
            <w:tcW w:w="10368" w:type="dxa"/>
            <w:shd w:val="clear" w:color="auto" w:fill="auto"/>
          </w:tcPr>
          <w:p w14:paraId="45FA7607" w14:textId="77777777" w:rsidR="00D14114" w:rsidRDefault="00D14114" w:rsidP="001A3760">
            <w:pPr>
              <w:rPr>
                <w:b/>
                <w:color w:val="000000"/>
              </w:rPr>
            </w:pPr>
            <w:r w:rsidRPr="007A4D14">
              <w:rPr>
                <w:b/>
              </w:rPr>
              <w:t xml:space="preserve">2. </w:t>
            </w:r>
            <w:r w:rsidR="006928AC">
              <w:rPr>
                <w:b/>
                <w:color w:val="000000"/>
              </w:rPr>
              <w:t>Sutarties kaina</w:t>
            </w:r>
            <w:r w:rsidRPr="007A4D14">
              <w:rPr>
                <w:b/>
                <w:color w:val="000000"/>
              </w:rPr>
              <w:t>/kainodaros taisyklės</w:t>
            </w:r>
          </w:p>
          <w:p w14:paraId="348ED564" w14:textId="77ABBC0A" w:rsidR="00656B7D" w:rsidRDefault="00656B7D" w:rsidP="00656B7D">
            <w:r w:rsidRPr="004C1DC9">
              <w:t xml:space="preserve">2.1. </w:t>
            </w:r>
            <w:r w:rsidR="00EA0EDC">
              <w:t>Sutarties kaina</w:t>
            </w:r>
            <w:r w:rsidR="00D452EC">
              <w:t xml:space="preserve"> </w:t>
            </w:r>
            <w:r>
              <w:t>-</w:t>
            </w:r>
          </w:p>
          <w:p w14:paraId="669D37EA" w14:textId="77777777" w:rsidR="00656B7D" w:rsidRDefault="00656B7D" w:rsidP="00656B7D">
            <w:pPr>
              <w:jc w:val="both"/>
            </w:pPr>
            <w:r>
              <w:t>2.2. Sutarčiai taiko</w:t>
            </w:r>
            <w:r w:rsidR="006928AC">
              <w:t xml:space="preserve">ma fiksuotos kainos </w:t>
            </w:r>
            <w:r>
              <w:t xml:space="preserve">kainodara. </w:t>
            </w:r>
          </w:p>
          <w:p w14:paraId="3876FD00" w14:textId="122F775B" w:rsidR="003E3689" w:rsidRPr="00511F14" w:rsidRDefault="00656B7D" w:rsidP="00033407">
            <w:r>
              <w:t>2.3. Peržiūros atvejis numatytas Sutarties bendrosios dalies 2.2</w:t>
            </w:r>
            <w:r w:rsidR="00796BED">
              <w:t xml:space="preserve"> </w:t>
            </w:r>
            <w:r w:rsidR="00D452EC">
              <w:t>papunktyje</w:t>
            </w:r>
            <w:r w:rsidR="000C56CF">
              <w:t>.</w:t>
            </w:r>
          </w:p>
        </w:tc>
      </w:tr>
      <w:tr w:rsidR="00D14114" w14:paraId="740AB871" w14:textId="77777777" w:rsidTr="001A3760">
        <w:tc>
          <w:tcPr>
            <w:tcW w:w="10368"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1D2858A0" w:rsidR="00B041F9" w:rsidRDefault="00B041F9" w:rsidP="00B041F9">
            <w:pPr>
              <w:rPr>
                <w:color w:val="000000"/>
                <w:lang w:eastAsia="en-US"/>
              </w:rPr>
            </w:pPr>
            <w:r>
              <w:rPr>
                <w:color w:val="000000"/>
                <w:lang w:eastAsia="en-US"/>
              </w:rPr>
              <w:t>3.</w:t>
            </w:r>
            <w:r w:rsidR="006928AC">
              <w:rPr>
                <w:color w:val="000000"/>
                <w:lang w:eastAsia="en-US"/>
              </w:rPr>
              <w:t xml:space="preserve">1. </w:t>
            </w:r>
            <w:r w:rsidR="00220E4A">
              <w:rPr>
                <w:color w:val="000000"/>
                <w:lang w:eastAsia="en-US"/>
              </w:rPr>
              <w:t>Paslaugų suteikimo terminas</w:t>
            </w:r>
            <w:r w:rsidR="006928AC">
              <w:rPr>
                <w:color w:val="000000"/>
                <w:lang w:eastAsia="en-US"/>
              </w:rPr>
              <w:t xml:space="preserve"> </w:t>
            </w:r>
            <w:r w:rsidR="00572DB8">
              <w:rPr>
                <w:color w:val="000000"/>
                <w:lang w:eastAsia="en-US"/>
              </w:rPr>
              <w:t>–</w:t>
            </w:r>
            <w:r w:rsidR="006928AC">
              <w:rPr>
                <w:color w:val="000000"/>
                <w:lang w:eastAsia="en-US"/>
              </w:rPr>
              <w:t xml:space="preserve"> ne ilgi</w:t>
            </w:r>
            <w:r w:rsidR="00572DB8">
              <w:rPr>
                <w:color w:val="000000"/>
                <w:lang w:eastAsia="en-US"/>
              </w:rPr>
              <w:t>au</w:t>
            </w:r>
            <w:r w:rsidR="006928AC">
              <w:rPr>
                <w:color w:val="000000"/>
                <w:lang w:eastAsia="en-US"/>
              </w:rPr>
              <w:t xml:space="preserve"> nei </w:t>
            </w:r>
            <w:r w:rsidR="00906F19">
              <w:rPr>
                <w:color w:val="000000"/>
                <w:lang w:eastAsia="en-US"/>
              </w:rPr>
              <w:t>6</w:t>
            </w:r>
            <w:r w:rsidR="007573FC">
              <w:rPr>
                <w:color w:val="000000"/>
                <w:lang w:eastAsia="en-US"/>
              </w:rPr>
              <w:t xml:space="preserve"> (</w:t>
            </w:r>
            <w:r w:rsidR="00906F19">
              <w:rPr>
                <w:color w:val="000000"/>
                <w:lang w:eastAsia="en-US"/>
              </w:rPr>
              <w:t>šeši</w:t>
            </w:r>
            <w:r w:rsidR="006928AC">
              <w:rPr>
                <w:color w:val="000000"/>
                <w:lang w:eastAsia="en-US"/>
              </w:rPr>
              <w:t xml:space="preserve">) mėnesiai nuo </w:t>
            </w:r>
            <w:r w:rsidR="00572DB8">
              <w:rPr>
                <w:color w:val="000000"/>
                <w:lang w:eastAsia="en-US"/>
              </w:rPr>
              <w:t>P</w:t>
            </w:r>
            <w:r w:rsidR="006928AC">
              <w:rPr>
                <w:color w:val="000000"/>
                <w:lang w:eastAsia="en-US"/>
              </w:rPr>
              <w:t>aslaugų užsakymo pateikimo d</w:t>
            </w:r>
            <w:r w:rsidR="00F33B53">
              <w:rPr>
                <w:color w:val="000000"/>
                <w:lang w:eastAsia="en-US"/>
              </w:rPr>
              <w:t>ienos</w:t>
            </w:r>
            <w:r w:rsidR="006928AC">
              <w:rPr>
                <w:color w:val="000000"/>
                <w:lang w:eastAsia="en-US"/>
              </w:rPr>
              <w:t>.</w:t>
            </w:r>
          </w:p>
          <w:p w14:paraId="0FA438E2" w14:textId="1E31072B" w:rsidR="00B041F9" w:rsidRDefault="00B041F9" w:rsidP="00B041F9">
            <w:pPr>
              <w:rPr>
                <w:lang w:eastAsia="en-US"/>
              </w:rPr>
            </w:pPr>
            <w:r>
              <w:rPr>
                <w:color w:val="000000"/>
                <w:lang w:eastAsia="en-US"/>
              </w:rPr>
              <w:t>3</w:t>
            </w:r>
            <w:r>
              <w:rPr>
                <w:lang w:eastAsia="en-US"/>
              </w:rPr>
              <w:t xml:space="preserve">.2. Paslaugų teikimo vieta – </w:t>
            </w:r>
            <w:r w:rsidR="006928AC">
              <w:rPr>
                <w:lang w:eastAsia="en-US"/>
              </w:rPr>
              <w:t>Klaipėdos</w:t>
            </w:r>
            <w:r w:rsidR="003E3689">
              <w:rPr>
                <w:lang w:eastAsia="en-US"/>
              </w:rPr>
              <w:t xml:space="preserve"> valstybinis jūrų</w:t>
            </w:r>
            <w:r w:rsidR="006928AC">
              <w:rPr>
                <w:lang w:eastAsia="en-US"/>
              </w:rPr>
              <w:t xml:space="preserve"> uostas.</w:t>
            </w:r>
            <w:r w:rsidR="00363786">
              <w:rPr>
                <w:lang w:eastAsia="en-US"/>
              </w:rPr>
              <w:t xml:space="preserve"> </w:t>
            </w:r>
            <w:r w:rsidR="00363786">
              <w:t>Tiksli paslaugų teikimo vieta bus nurodoma</w:t>
            </w:r>
            <w:r w:rsidR="009E11FA">
              <w:t xml:space="preserve"> Paslaugų</w:t>
            </w:r>
            <w:r w:rsidR="00363786">
              <w:t xml:space="preserve"> užsakymo pateikimo metu.</w:t>
            </w:r>
          </w:p>
          <w:p w14:paraId="2A26DCFE" w14:textId="5C3E2F30"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00805E3F">
              <w:rPr>
                <w:lang w:eastAsia="en-US"/>
              </w:rPr>
              <w:t xml:space="preserve"> Tinkamai suteiktos</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805E3F">
              <w:rPr>
                <w:rFonts w:eastAsia="Calibri"/>
              </w:rPr>
              <w:t xml:space="preserve"> suteiktos kokybiškai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2FF8BA2A" w14:textId="6184FEF8" w:rsidR="003E3689" w:rsidRPr="00511F14" w:rsidRDefault="005D2FD7" w:rsidP="00E749E1">
            <w:pPr>
              <w:rPr>
                <w:bCs/>
              </w:rPr>
            </w:pPr>
            <w:r>
              <w:rPr>
                <w:lang w:eastAsia="en-US"/>
              </w:rPr>
              <w:t>3.4</w:t>
            </w:r>
            <w:r w:rsidR="00B041F9">
              <w:rPr>
                <w:lang w:eastAsia="en-US"/>
              </w:rPr>
              <w:t xml:space="preserve">. </w:t>
            </w:r>
            <w:r w:rsidR="00363786">
              <w:rPr>
                <w:lang w:eastAsia="en-US"/>
              </w:rPr>
              <w:t xml:space="preserve">Užsakymo </w:t>
            </w:r>
            <w:r w:rsidR="00B041F9">
              <w:rPr>
                <w:lang w:eastAsia="en-US"/>
              </w:rPr>
              <w:t>pateiki</w:t>
            </w:r>
            <w:r w:rsidR="00D452EC">
              <w:rPr>
                <w:lang w:eastAsia="en-US"/>
              </w:rPr>
              <w:t>mai</w:t>
            </w:r>
            <w:r w:rsidRPr="001B7E9D">
              <w:rPr>
                <w:bCs/>
              </w:rPr>
              <w:t xml:space="preserve"> </w:t>
            </w:r>
            <w:r w:rsidR="009563D4">
              <w:rPr>
                <w:bCs/>
              </w:rPr>
              <w:t>–</w:t>
            </w:r>
            <w:r w:rsidR="00D452EC">
              <w:rPr>
                <w:bCs/>
              </w:rPr>
              <w:t xml:space="preserve"> </w:t>
            </w:r>
            <w:r w:rsidR="00D452EC" w:rsidRPr="00E749E1">
              <w:rPr>
                <w:b/>
              </w:rPr>
              <w:t>Pirkėjo</w:t>
            </w:r>
            <w:r w:rsidR="00D452EC" w:rsidRPr="00E90A1B">
              <w:t xml:space="preserve"> atstovas </w:t>
            </w:r>
            <w:r w:rsidR="00D452EC" w:rsidRPr="00E749E1">
              <w:rPr>
                <w:b/>
              </w:rPr>
              <w:t>Teikėjo</w:t>
            </w:r>
            <w:r w:rsidR="00D452EC">
              <w:t xml:space="preserve"> atstovui teiks</w:t>
            </w:r>
            <w:r w:rsidR="00D452EC" w:rsidRPr="00E90A1B">
              <w:t xml:space="preserve"> </w:t>
            </w:r>
            <w:r w:rsidR="00220E4A">
              <w:t>P</w:t>
            </w:r>
            <w:r w:rsidR="00D452EC">
              <w:t>aslaugų</w:t>
            </w:r>
            <w:r w:rsidR="00D452EC" w:rsidRPr="00E90A1B">
              <w:t xml:space="preserve"> užsakymą</w:t>
            </w:r>
            <w:r w:rsidR="00D452EC">
              <w:t xml:space="preserve"> raštu, el. paštu, </w:t>
            </w:r>
            <w:r w:rsidR="00D452EC" w:rsidRPr="00462FCB">
              <w:rPr>
                <w:b/>
              </w:rPr>
              <w:t>Teikėjo</w:t>
            </w:r>
            <w:r w:rsidR="00D452EC">
              <w:t xml:space="preserve"> rekvizituose nurodytais adresais (rekvizituose nurodytu el. pašto adresu)</w:t>
            </w:r>
            <w:r>
              <w:rPr>
                <w:bCs/>
              </w:rPr>
              <w:t>.</w:t>
            </w:r>
          </w:p>
        </w:tc>
      </w:tr>
      <w:tr w:rsidR="00D14114" w14:paraId="0CEC8778" w14:textId="77777777" w:rsidTr="001A3760">
        <w:tc>
          <w:tcPr>
            <w:tcW w:w="10368"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1C7758F4" w:rsidR="003E3689"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1A3760">
        <w:tc>
          <w:tcPr>
            <w:tcW w:w="10368"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70BEFEAF" w14:textId="72508381" w:rsidR="003E3689" w:rsidRPr="003E3689" w:rsidRDefault="003E3689" w:rsidP="003E3689">
            <w:pPr>
              <w:rPr>
                <w:color w:val="000000"/>
                <w:lang w:eastAsia="en-US"/>
              </w:rPr>
            </w:pPr>
            <w:r>
              <w:t>5.</w:t>
            </w:r>
            <w:r w:rsidR="00774617">
              <w:t>1</w:t>
            </w:r>
            <w:r>
              <w:t xml:space="preserve">. </w:t>
            </w:r>
            <w:r w:rsidRPr="00E749E1">
              <w:rPr>
                <w:b/>
              </w:rPr>
              <w:t>Teikėjui</w:t>
            </w:r>
            <w:r w:rsidRPr="00631F23">
              <w:t xml:space="preserve"> vėluojant teikti pasl</w:t>
            </w:r>
            <w:r>
              <w:t xml:space="preserve">augas daugiau kaip </w:t>
            </w:r>
            <w:r w:rsidR="003D3C4A">
              <w:t>10 (dešimt) darbo dienų</w:t>
            </w:r>
            <w:r w:rsidRPr="00631F23">
              <w:t xml:space="preserve">, </w:t>
            </w:r>
            <w:r w:rsidRPr="00E749E1">
              <w:rPr>
                <w:b/>
              </w:rPr>
              <w:t>Pirkėjas</w:t>
            </w:r>
            <w:r w:rsidRPr="00631F23">
              <w:t xml:space="preserve"> turi teisę </w:t>
            </w:r>
            <w:r>
              <w:t xml:space="preserve">Sutarties bendrosios dalies 9.2 papunktyje </w:t>
            </w:r>
            <w:r w:rsidRPr="00631F23">
              <w:t>nustatyta tvarka Sutartį nutraukti.</w:t>
            </w:r>
          </w:p>
          <w:p w14:paraId="587E2B82" w14:textId="41E9AE67" w:rsidR="00D14114" w:rsidRPr="005D2FD7" w:rsidRDefault="00D14114" w:rsidP="001A3760">
            <w:pPr>
              <w:jc w:val="both"/>
            </w:pPr>
            <w:r w:rsidRPr="00D14114">
              <w:lastRenderedPageBreak/>
              <w:t>5.3. Kiti vienašalio Sutarties nutraukimo atvejai numatyti Sutarties bendrosi</w:t>
            </w:r>
            <w:r w:rsidR="005D2FD7">
              <w:t>os dalies 9.2 p</w:t>
            </w:r>
            <w:r w:rsidR="00631F23">
              <w:t>apunktyje</w:t>
            </w:r>
            <w:r w:rsidR="005D2FD7">
              <w:t>.</w:t>
            </w:r>
          </w:p>
        </w:tc>
      </w:tr>
      <w:tr w:rsidR="00D14114" w14:paraId="3A899532" w14:textId="77777777" w:rsidTr="001A3760">
        <w:tc>
          <w:tcPr>
            <w:tcW w:w="10368" w:type="dxa"/>
            <w:shd w:val="clear" w:color="auto" w:fill="auto"/>
          </w:tcPr>
          <w:p w14:paraId="78497833" w14:textId="77777777" w:rsidR="00D14114" w:rsidRPr="007A4D14" w:rsidRDefault="00D14114" w:rsidP="001A3760">
            <w:pPr>
              <w:rPr>
                <w:b/>
              </w:rPr>
            </w:pPr>
            <w:r w:rsidRPr="007A4D14">
              <w:rPr>
                <w:b/>
              </w:rPr>
              <w:lastRenderedPageBreak/>
              <w:t xml:space="preserve">6. Paslaugų kokybė </w:t>
            </w:r>
          </w:p>
          <w:p w14:paraId="3595451F" w14:textId="77777777" w:rsidR="00D14114" w:rsidRPr="005D2FD7" w:rsidRDefault="00BE3144" w:rsidP="001A3760">
            <w:pPr>
              <w:jc w:val="both"/>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rsidRPr="00CE5D32" w14:paraId="5B5F3AB6" w14:textId="77777777" w:rsidTr="001A3760">
        <w:tc>
          <w:tcPr>
            <w:tcW w:w="10368" w:type="dxa"/>
            <w:shd w:val="clear" w:color="auto" w:fill="auto"/>
          </w:tcPr>
          <w:p w14:paraId="4B2D7E53" w14:textId="77777777" w:rsidR="00D14114" w:rsidRPr="00D14114" w:rsidRDefault="00D14114" w:rsidP="001A3760">
            <w:pPr>
              <w:jc w:val="both"/>
              <w:rPr>
                <w:b/>
              </w:rPr>
            </w:pPr>
            <w:r w:rsidRPr="00D14114">
              <w:rPr>
                <w:b/>
              </w:rPr>
              <w:t>7. Garantiniai įsipareigojimai</w:t>
            </w:r>
          </w:p>
          <w:p w14:paraId="5917AFD7" w14:textId="0313B3BB" w:rsidR="00A76C9B" w:rsidRDefault="00D14114" w:rsidP="001A3760">
            <w:pPr>
              <w:jc w:val="both"/>
              <w:rPr>
                <w:lang w:eastAsia="en-US"/>
              </w:rPr>
            </w:pPr>
            <w:r w:rsidRPr="00D14114">
              <w:t>7.1.</w:t>
            </w:r>
            <w:r w:rsidR="00A76C9B">
              <w:t xml:space="preserve"> </w:t>
            </w:r>
            <w:r w:rsidR="005E6BEF">
              <w:t xml:space="preserve">Kokybės garantijos terminas - </w:t>
            </w:r>
            <w:r w:rsidR="0060411F" w:rsidRPr="00B1534E">
              <w:rPr>
                <w:b/>
              </w:rPr>
              <w:t>Teikėjo</w:t>
            </w:r>
            <w:r w:rsidR="0060411F" w:rsidRPr="00484F75">
              <w:t xml:space="preserve"> paslaugų teikimo metu perduotų </w:t>
            </w:r>
            <w:r w:rsidR="0060411F">
              <w:t xml:space="preserve">paslaugų ir </w:t>
            </w:r>
            <w:r w:rsidR="0060411F" w:rsidRPr="00484F75">
              <w:t>prekių</w:t>
            </w:r>
            <w:r w:rsidR="0060411F">
              <w:t xml:space="preserve"> kokybės</w:t>
            </w:r>
            <w:r w:rsidR="0060411F" w:rsidRPr="00484F75">
              <w:t xml:space="preserve"> garantijos terminas –</w:t>
            </w:r>
            <w:r w:rsidR="0060411F">
              <w:t xml:space="preserve"> ne trumpesnis kaip</w:t>
            </w:r>
            <w:r w:rsidR="0060411F" w:rsidRPr="00484F75">
              <w:t xml:space="preserve"> </w:t>
            </w:r>
            <w:r w:rsidR="0060411F">
              <w:t>12 mėnesių</w:t>
            </w:r>
            <w:r w:rsidR="0060411F" w:rsidRPr="00484F75">
              <w:t>, skaičiuojant nuo Akto pasirašymo dienos</w:t>
            </w:r>
            <w:r w:rsidR="00462FCB">
              <w:t>.</w:t>
            </w:r>
          </w:p>
          <w:p w14:paraId="06969F05" w14:textId="07C3E429" w:rsidR="00D14114" w:rsidRPr="005D2FD7" w:rsidRDefault="00D14114" w:rsidP="00A76C9B">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w:t>
            </w:r>
            <w:r w:rsidR="003E3689">
              <w:t xml:space="preserve"> darbo</w:t>
            </w:r>
            <w:r w:rsidR="005D2FD7">
              <w:t xml:space="preserve"> dienas</w:t>
            </w:r>
            <w:r w:rsidRPr="00D14114">
              <w:t xml:space="preserve"> turi pašalinti </w:t>
            </w:r>
            <w:r w:rsidR="00F33B53">
              <w:t>P</w:t>
            </w:r>
            <w:r w:rsidRPr="00D14114">
              <w:t xml:space="preserve">aslaugų teikimo trūkumus bei kompensuoti </w:t>
            </w:r>
            <w:r w:rsidRPr="00F91255">
              <w:rPr>
                <w:b/>
              </w:rPr>
              <w:t>Pirkėjo</w:t>
            </w:r>
            <w:r w:rsidRPr="00D14114">
              <w:t xml:space="preserve"> patirtus nuostolius (jeigu tokie buvo).</w:t>
            </w:r>
          </w:p>
        </w:tc>
      </w:tr>
      <w:tr w:rsidR="00D14114" w14:paraId="07DB5F08" w14:textId="77777777" w:rsidTr="005D2FD7">
        <w:trPr>
          <w:trHeight w:val="918"/>
        </w:trPr>
        <w:tc>
          <w:tcPr>
            <w:tcW w:w="10368"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1343E4">
        <w:trPr>
          <w:trHeight w:val="851"/>
        </w:trPr>
        <w:tc>
          <w:tcPr>
            <w:tcW w:w="10368"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0114B54A" w:rsidR="00D14114" w:rsidRPr="00D14114" w:rsidRDefault="00D14114" w:rsidP="001A3760">
            <w:pPr>
              <w:jc w:val="both"/>
            </w:pPr>
            <w:r w:rsidRPr="00D14114">
              <w:t>9.1. Sutarties bendrosios dalies 11.1 p</w:t>
            </w:r>
            <w:r w:rsidR="00F33B53">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4C4F3F56" w:rsidR="00D14114" w:rsidRPr="00D14114" w:rsidRDefault="00D14114" w:rsidP="001A3760">
            <w:pPr>
              <w:jc w:val="both"/>
            </w:pPr>
            <w:r w:rsidRPr="00D14114">
              <w:t>9.2. Sutarties bendrosios dalies 11.2 p</w:t>
            </w:r>
            <w:r w:rsidR="00F33B53">
              <w:t>apunktyje</w:t>
            </w:r>
            <w:r w:rsidRPr="00D14114">
              <w:t xml:space="preserve"> nurodytų Šalių iš anksto sutartų minimalių nuostolių dydis yra</w:t>
            </w:r>
            <w:r w:rsidR="005D2FD7">
              <w:t xml:space="preserve"> 5 (penki)</w:t>
            </w:r>
            <w:r w:rsidR="00EA1B44">
              <w:t xml:space="preserve"> </w:t>
            </w:r>
            <w:r w:rsidR="00F33B53">
              <w:rPr>
                <w:lang w:val="en-US"/>
              </w:rPr>
              <w:t>%</w:t>
            </w:r>
            <w:r w:rsidR="00F33B53">
              <w:t xml:space="preserve"> </w:t>
            </w:r>
            <w:r w:rsidRPr="00D14114">
              <w:rPr>
                <w:bCs/>
              </w:rPr>
              <w:t>nuo Sutarties kainos</w:t>
            </w:r>
            <w:r w:rsidR="001E58A3" w:rsidRPr="001E58A3">
              <w:rPr>
                <w:b/>
                <w:bCs/>
              </w:rPr>
              <w:t xml:space="preserve"> </w:t>
            </w:r>
            <w:r w:rsidR="001E58A3" w:rsidRPr="001E58A3">
              <w:rPr>
                <w:bCs/>
              </w:rPr>
              <w:t>be PVM</w:t>
            </w:r>
            <w:r w:rsidR="00F33B53">
              <w:rPr>
                <w:bCs/>
              </w:rPr>
              <w:t>;</w:t>
            </w:r>
          </w:p>
          <w:p w14:paraId="2F9DA106" w14:textId="0D6C9A52"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3E3689">
              <w:rPr>
                <w:bCs/>
                <w:color w:val="000000"/>
              </w:rPr>
              <w:t>Sutarties bendros kainos</w:t>
            </w:r>
            <w:r w:rsidR="005D2FD7" w:rsidRPr="001B7E9D">
              <w:rPr>
                <w:bCs/>
                <w:color w:val="000000"/>
              </w:rPr>
              <w:t xml:space="preserve"> be PVM</w:t>
            </w:r>
            <w:r w:rsidR="005D2FD7">
              <w:t>.</w:t>
            </w:r>
          </w:p>
          <w:p w14:paraId="4D373EAB" w14:textId="1A68E50A"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w:t>
            </w:r>
            <w:r w:rsidR="00FE6883">
              <w:t xml:space="preserve"> papunkčio</w:t>
            </w:r>
            <w:r w:rsidR="00D14114" w:rsidRPr="00D14114">
              <w:t xml:space="preserve"> sąlygas.</w:t>
            </w:r>
          </w:p>
          <w:p w14:paraId="5B6BF7A4" w14:textId="43109C74" w:rsidR="003F755B"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w:t>
            </w:r>
            <w:r w:rsidR="00FE6883">
              <w:t>apunktyje</w:t>
            </w:r>
            <w:r>
              <w:t>.</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6F4EDCE3" w14:textId="4F16E5EB" w:rsidR="00511F14" w:rsidRPr="00D14114" w:rsidRDefault="00511F14" w:rsidP="001A3760">
            <w:pPr>
              <w:jc w:val="both"/>
            </w:pPr>
            <w:r>
              <w:t xml:space="preserve">9.6.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w:t>
            </w:r>
            <w:r>
              <w:t>S</w:t>
            </w:r>
            <w:r w:rsidRPr="007A206E">
              <w:t>utartį vykdys tik tokią teisę turintys asmenys</w:t>
            </w:r>
            <w:r>
              <w:t>.</w:t>
            </w:r>
          </w:p>
          <w:p w14:paraId="58084065" w14:textId="61C77596" w:rsidR="00D14114" w:rsidRPr="00D14114" w:rsidRDefault="00E6390D" w:rsidP="001A3760">
            <w:pPr>
              <w:jc w:val="both"/>
            </w:pPr>
            <w:r>
              <w:t>9.</w:t>
            </w:r>
            <w:r w:rsidR="00511F14">
              <w:t>7</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34DADD05" w:rsidR="00D14114" w:rsidRDefault="00E6390D" w:rsidP="001A3760">
            <w:pPr>
              <w:jc w:val="both"/>
            </w:pPr>
            <w:r>
              <w:t>9.</w:t>
            </w:r>
            <w:r w:rsidR="00511F14">
              <w:t>8</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446FEC69" w:rsidR="005D2FD7" w:rsidRDefault="00511F14" w:rsidP="001A3760">
            <w:pPr>
              <w:jc w:val="both"/>
            </w:pPr>
            <w:r>
              <w:t>9.9</w:t>
            </w:r>
            <w:r w:rsidR="0044016F">
              <w:t xml:space="preserve">. </w:t>
            </w:r>
            <w:r w:rsidR="007573FC">
              <w:t xml:space="preserve">Sutarties priedai - </w:t>
            </w:r>
            <w:r w:rsidR="005D2FD7">
              <w:t xml:space="preserve">1 Priedas – </w:t>
            </w:r>
            <w:r w:rsidR="003A492D">
              <w:t>„</w:t>
            </w:r>
            <w:r w:rsidR="00906F19" w:rsidRPr="00906F19">
              <w:t>Suspausto oro sistem</w:t>
            </w:r>
            <w:r w:rsidR="00906F19">
              <w:t>os ir vamzdyno remonto</w:t>
            </w:r>
            <w:r w:rsidR="00906F19" w:rsidRPr="00511F14">
              <w:t xml:space="preserve"> paslaugos</w:t>
            </w:r>
            <w:r w:rsidR="00906F19" w:rsidRPr="00FE6883">
              <w:t xml:space="preserve"> </w:t>
            </w:r>
            <w:r w:rsidR="00FE6883" w:rsidRPr="00FE6883">
              <w:t>techninė specifikacija</w:t>
            </w:r>
            <w:r w:rsidR="003A492D">
              <w:t>“</w:t>
            </w:r>
            <w:r w:rsidR="005433D8">
              <w:t xml:space="preserve"> – </w:t>
            </w:r>
            <w:r w:rsidR="00906F19">
              <w:t>2</w:t>
            </w:r>
            <w:r w:rsidR="005433D8">
              <w:t xml:space="preserve"> lap</w:t>
            </w:r>
            <w:r w:rsidR="00FE6883">
              <w:t>ai</w:t>
            </w:r>
            <w:r w:rsidR="007573FC">
              <w:t>.</w:t>
            </w:r>
          </w:p>
          <w:p w14:paraId="6A76E3E8" w14:textId="01ACEC88" w:rsidR="001343E4" w:rsidRDefault="00511F14" w:rsidP="001A3760">
            <w:pPr>
              <w:jc w:val="both"/>
            </w:pPr>
            <w:r>
              <w:t>9.10</w:t>
            </w:r>
            <w:r w:rsidR="005D2FD7">
              <w:t xml:space="preserve">.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10F0DE8F" w:rsidR="006956D6" w:rsidRPr="001B7E9D" w:rsidRDefault="00511F14" w:rsidP="006956D6">
            <w:pPr>
              <w:jc w:val="both"/>
            </w:pPr>
            <w:r>
              <w:t>9</w:t>
            </w:r>
            <w:r w:rsidR="001343E4">
              <w:t>.14</w:t>
            </w:r>
            <w:r w:rsidR="006956D6" w:rsidRPr="001B7E9D">
              <w:t xml:space="preserve">. Siekiant prisidėti prie „žaliųjų pirkimų“, </w:t>
            </w:r>
            <w:r w:rsidR="006956D6" w:rsidRPr="001B7E9D">
              <w:rPr>
                <w:spacing w:val="2"/>
                <w:shd w:val="clear" w:color="auto" w:fill="FFFFFF"/>
              </w:rPr>
              <w:t>susijusių su aplinkosaugos problemų sprendimu</w:t>
            </w:r>
            <w:r w:rsidR="006956D6" w:rsidRPr="001B7E9D">
              <w:t xml:space="preserve"> – </w:t>
            </w:r>
            <w:r w:rsidR="006956D6" w:rsidRPr="001B7E9D">
              <w:rPr>
                <w:spacing w:val="2"/>
              </w:rPr>
              <w:t xml:space="preserve">darančių kuo mažesnį neigiamą poveikį aplinkai, t. y. </w:t>
            </w:r>
            <w:r w:rsidR="006956D6" w:rsidRPr="001B7E9D">
              <w:rPr>
                <w:spacing w:val="2"/>
                <w:shd w:val="clear" w:color="auto" w:fill="FFFFFF"/>
              </w:rPr>
              <w:t>tvaraus išteklių naudojimo, mažesnio poveikio klimatui, skatinant ekologines inovacijas ir pan.</w:t>
            </w:r>
            <w:r w:rsidR="006956D6" w:rsidRPr="001B7E9D">
              <w:rPr>
                <w:spacing w:val="2"/>
              </w:rPr>
              <w:t xml:space="preserve"> </w:t>
            </w:r>
            <w:r w:rsidR="006956D6" w:rsidRPr="001B7E9D">
              <w:t xml:space="preserve">įgyvendinimo, Šalys susitaria ir </w:t>
            </w:r>
            <w:r w:rsidR="006956D6" w:rsidRPr="001B7E9D">
              <w:rPr>
                <w:b/>
              </w:rPr>
              <w:t xml:space="preserve">Teikėjas </w:t>
            </w:r>
            <w:r w:rsidR="006956D6" w:rsidRPr="001B7E9D">
              <w:t xml:space="preserve">sutinka, kad šalia kitų Sutartyje nustatytų įsipareigojimų </w:t>
            </w:r>
            <w:r w:rsidR="006956D6" w:rsidRPr="001B7E9D">
              <w:rPr>
                <w:b/>
              </w:rPr>
              <w:t>Teikėjas</w:t>
            </w:r>
            <w:r w:rsidR="006956D6" w:rsidRPr="001B7E9D">
              <w:t xml:space="preserve"> įsipareigoja:</w:t>
            </w:r>
          </w:p>
          <w:p w14:paraId="02FD1C20" w14:textId="4D5ADDE1" w:rsidR="006956D6" w:rsidRPr="005D2FD7" w:rsidRDefault="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tc>
      </w:tr>
      <w:tr w:rsidR="00D14114" w14:paraId="678F6524" w14:textId="77777777" w:rsidTr="001A3760">
        <w:trPr>
          <w:trHeight w:val="573"/>
        </w:trPr>
        <w:tc>
          <w:tcPr>
            <w:tcW w:w="10368"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320719C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iki 202</w:t>
            </w:r>
            <w:r w:rsidR="00511F14">
              <w:rPr>
                <w:bCs/>
              </w:rPr>
              <w:t>6</w:t>
            </w:r>
            <w:r w:rsidR="006956D6">
              <w:rPr>
                <w:bCs/>
              </w:rPr>
              <w:t xml:space="preserve"> m. gruodžio 31 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1A3760">
        <w:trPr>
          <w:trHeight w:val="695"/>
        </w:trPr>
        <w:tc>
          <w:tcPr>
            <w:tcW w:w="10368"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1A3760">
        <w:trPr>
          <w:trHeight w:val="695"/>
        </w:trPr>
        <w:tc>
          <w:tcPr>
            <w:tcW w:w="10368" w:type="dxa"/>
            <w:shd w:val="clear" w:color="auto" w:fill="auto"/>
          </w:tcPr>
          <w:p w14:paraId="073F736A" w14:textId="77777777" w:rsidR="00D14114" w:rsidRPr="007A4D14" w:rsidRDefault="00D14114" w:rsidP="001A3760">
            <w:pPr>
              <w:rPr>
                <w:b/>
              </w:rPr>
            </w:pPr>
            <w:r w:rsidRPr="007A4D14">
              <w:rPr>
                <w:b/>
              </w:rPr>
              <w:lastRenderedPageBreak/>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4200FF25" w:rsidR="00D14114" w:rsidRPr="005A167F" w:rsidRDefault="007A7C48" w:rsidP="00D14114">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D14114" w:rsidRPr="005A167F">
        <w:rPr>
          <w:rFonts w:ascii="Times New Roman" w:hAnsi="Times New Roman"/>
          <w:b/>
          <w:sz w:val="24"/>
          <w:szCs w:val="24"/>
          <w:lang w:val="lt-LT"/>
        </w:rPr>
        <w:t>TEIKĖJAS</w:t>
      </w:r>
    </w:p>
    <w:p w14:paraId="057B25EF" w14:textId="5E13AF1A" w:rsidR="00056A9A" w:rsidRDefault="00056A9A" w:rsidP="00D14114">
      <w:pPr>
        <w:rPr>
          <w:b/>
        </w:rPr>
      </w:pPr>
    </w:p>
    <w:p w14:paraId="34315429" w14:textId="77777777" w:rsidR="007A7C48" w:rsidRDefault="007A7C48"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lastRenderedPageBreak/>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lastRenderedPageBreak/>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lastRenderedPageBreak/>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lastRenderedPageBreak/>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lastRenderedPageBreak/>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20183D2D" w:rsidR="0013714B" w:rsidRPr="007A7C48" w:rsidRDefault="0013714B" w:rsidP="0013714B">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7A7C48" w:rsidRPr="007A7C48">
        <w:rPr>
          <w:rFonts w:ascii="Times New Roman" w:hAnsi="Times New Roman"/>
          <w:b/>
          <w:sz w:val="24"/>
          <w:szCs w:val="24"/>
          <w:lang w:val="lt-LT"/>
        </w:rPr>
        <w:tab/>
      </w:r>
      <w:r w:rsidRPr="007A7C48">
        <w:rPr>
          <w:rFonts w:ascii="Times New Roman" w:hAnsi="Times New Roman"/>
          <w:b/>
          <w:sz w:val="24"/>
          <w:szCs w:val="24"/>
          <w:lang w:val="lt-LT"/>
        </w:rPr>
        <w:t>TEIKĖJAS</w:t>
      </w:r>
    </w:p>
    <w:p w14:paraId="6085F140" w14:textId="7B29E833"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214135B4" w:rsidR="006956D6" w:rsidRPr="00C3328F" w:rsidRDefault="006956D6" w:rsidP="006956D6">
      <w:pPr>
        <w:ind w:left="5954"/>
      </w:pPr>
      <w:r>
        <w:br w:type="page"/>
      </w:r>
      <w:r>
        <w:lastRenderedPageBreak/>
        <w:t>202</w:t>
      </w:r>
      <w:r w:rsidR="00511F14">
        <w:t>6</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0ABE336F" w14:textId="77777777" w:rsidR="006956D6" w:rsidRDefault="006956D6" w:rsidP="0013714B"/>
    <w:tbl>
      <w:tblPr>
        <w:tblW w:w="10759" w:type="dxa"/>
        <w:tblLook w:val="04A0" w:firstRow="1" w:lastRow="0" w:firstColumn="1" w:lastColumn="0" w:noHBand="0" w:noVBand="1"/>
      </w:tblPr>
      <w:tblGrid>
        <w:gridCol w:w="10"/>
        <w:gridCol w:w="699"/>
        <w:gridCol w:w="5670"/>
        <w:gridCol w:w="3402"/>
        <w:gridCol w:w="978"/>
      </w:tblGrid>
      <w:tr w:rsidR="00A76C9B" w:rsidRPr="00A76C9B" w14:paraId="04440E01" w14:textId="77777777" w:rsidTr="001343E4">
        <w:trPr>
          <w:trHeight w:val="645"/>
        </w:trPr>
        <w:tc>
          <w:tcPr>
            <w:tcW w:w="10759" w:type="dxa"/>
            <w:gridSpan w:val="5"/>
            <w:tcBorders>
              <w:top w:val="nil"/>
              <w:left w:val="nil"/>
              <w:bottom w:val="nil"/>
              <w:right w:val="nil"/>
            </w:tcBorders>
            <w:shd w:val="clear" w:color="000000" w:fill="FFFFFF"/>
            <w:vAlign w:val="center"/>
            <w:hideMark/>
          </w:tcPr>
          <w:p w14:paraId="49E8D519" w14:textId="35B88D3D" w:rsidR="00A76C9B" w:rsidRPr="007A7C48" w:rsidRDefault="001343E4" w:rsidP="00A76C9B">
            <w:pPr>
              <w:jc w:val="center"/>
              <w:rPr>
                <w:b/>
                <w:bCs/>
                <w:lang w:eastAsia="en-US"/>
              </w:rPr>
            </w:pPr>
            <w:r w:rsidRPr="001343E4">
              <w:rPr>
                <w:b/>
                <w:bCs/>
                <w:lang w:eastAsia="en-US"/>
              </w:rPr>
              <w:t>Suspausto oro sistemos ir vamzdyno remonto paslaugos</w:t>
            </w:r>
          </w:p>
        </w:tc>
      </w:tr>
      <w:tr w:rsidR="00A76C9B" w:rsidRPr="00A76C9B" w14:paraId="6381DDDE" w14:textId="77777777" w:rsidTr="001343E4">
        <w:trPr>
          <w:trHeight w:val="315"/>
        </w:trPr>
        <w:tc>
          <w:tcPr>
            <w:tcW w:w="10759" w:type="dxa"/>
            <w:gridSpan w:val="5"/>
            <w:tcBorders>
              <w:top w:val="nil"/>
              <w:left w:val="nil"/>
              <w:bottom w:val="nil"/>
              <w:right w:val="nil"/>
            </w:tcBorders>
            <w:shd w:val="clear" w:color="auto" w:fill="auto"/>
            <w:vAlign w:val="center"/>
            <w:hideMark/>
          </w:tcPr>
          <w:p w14:paraId="12AE4614" w14:textId="77777777" w:rsidR="00A76C9B" w:rsidRPr="007A7C48" w:rsidRDefault="00A76C9B" w:rsidP="00A76C9B">
            <w:pPr>
              <w:jc w:val="center"/>
              <w:rPr>
                <w:u w:val="single"/>
                <w:lang w:eastAsia="en-US"/>
              </w:rPr>
            </w:pPr>
            <w:r w:rsidRPr="007A7C48">
              <w:rPr>
                <w:u w:val="single"/>
                <w:lang w:eastAsia="en-US"/>
              </w:rPr>
              <w:t>Techninė specifikacija</w:t>
            </w:r>
          </w:p>
          <w:p w14:paraId="21C70825" w14:textId="77777777" w:rsidR="00BE2504" w:rsidRPr="007A7C48" w:rsidRDefault="00BE2504" w:rsidP="00A76C9B">
            <w:pPr>
              <w:jc w:val="center"/>
              <w:rPr>
                <w:u w:val="single"/>
                <w:lang w:eastAsia="en-US"/>
              </w:rPr>
            </w:pPr>
          </w:p>
          <w:p w14:paraId="41DA01BF" w14:textId="48B34E13" w:rsidR="00BE2504" w:rsidRPr="007A7C48" w:rsidRDefault="00BE2504" w:rsidP="00A76C9B">
            <w:pPr>
              <w:jc w:val="center"/>
              <w:rPr>
                <w:u w:val="single"/>
                <w:lang w:eastAsia="en-US"/>
              </w:rPr>
            </w:pPr>
          </w:p>
        </w:tc>
      </w:tr>
      <w:tr w:rsidR="00511F14" w:rsidRPr="00511F14" w14:paraId="42182E84" w14:textId="77777777" w:rsidTr="001343E4">
        <w:trPr>
          <w:gridAfter w:val="1"/>
          <w:wAfter w:w="978" w:type="dxa"/>
          <w:trHeight w:val="660"/>
        </w:trPr>
        <w:tc>
          <w:tcPr>
            <w:tcW w:w="9781" w:type="dxa"/>
            <w:gridSpan w:val="4"/>
            <w:tcBorders>
              <w:top w:val="nil"/>
              <w:left w:val="nil"/>
              <w:bottom w:val="single" w:sz="4" w:space="0" w:color="auto"/>
              <w:right w:val="nil"/>
            </w:tcBorders>
            <w:shd w:val="clear" w:color="000000" w:fill="FFFFFF"/>
            <w:vAlign w:val="center"/>
            <w:hideMark/>
          </w:tcPr>
          <w:p w14:paraId="2648635A" w14:textId="5E3EA73F" w:rsidR="00511F14" w:rsidRPr="007A7C48" w:rsidRDefault="00511F14" w:rsidP="00511F14">
            <w:pPr>
              <w:rPr>
                <w:color w:val="000000"/>
                <w:lang w:eastAsia="en-US"/>
              </w:rPr>
            </w:pPr>
            <w:r w:rsidRPr="001343E4">
              <w:rPr>
                <w:b/>
                <w:color w:val="000000"/>
                <w:lang w:eastAsia="en-US"/>
              </w:rPr>
              <w:t>Siektinas tikslas:</w:t>
            </w:r>
            <w:r w:rsidRPr="007A7C48">
              <w:rPr>
                <w:color w:val="000000"/>
                <w:lang w:eastAsia="en-US"/>
              </w:rPr>
              <w:t xml:space="preserve"> </w:t>
            </w:r>
            <w:r w:rsidR="001343E4" w:rsidRPr="001343E4">
              <w:rPr>
                <w:color w:val="000000"/>
                <w:lang w:eastAsia="en-US"/>
              </w:rPr>
              <w:t>Atlikti suspausto oro vamzdyno remonto darbus laive, užtikrinant patikimumą, sandarumą ir eksploatacijos saugumą.</w:t>
            </w:r>
          </w:p>
        </w:tc>
      </w:tr>
      <w:tr w:rsidR="001343E4" w:rsidRPr="001343E4" w14:paraId="36285B9D" w14:textId="77777777" w:rsidTr="001343E4">
        <w:trPr>
          <w:gridBefore w:val="1"/>
          <w:gridAfter w:val="1"/>
          <w:wBefore w:w="10" w:type="dxa"/>
          <w:wAfter w:w="978" w:type="dxa"/>
          <w:trHeight w:val="330"/>
        </w:trPr>
        <w:tc>
          <w:tcPr>
            <w:tcW w:w="69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A5C807C" w14:textId="77777777" w:rsidR="001343E4" w:rsidRPr="001343E4" w:rsidRDefault="001343E4" w:rsidP="001343E4">
            <w:pPr>
              <w:jc w:val="center"/>
              <w:rPr>
                <w:b/>
                <w:bCs/>
                <w:lang w:eastAsia="en-US"/>
              </w:rPr>
            </w:pPr>
            <w:r w:rsidRPr="001343E4">
              <w:rPr>
                <w:b/>
                <w:bCs/>
                <w:lang w:eastAsia="en-US"/>
              </w:rPr>
              <w:t>Eil. Nr.</w:t>
            </w:r>
          </w:p>
        </w:tc>
        <w:tc>
          <w:tcPr>
            <w:tcW w:w="5670" w:type="dxa"/>
            <w:tcBorders>
              <w:top w:val="single" w:sz="8" w:space="0" w:color="auto"/>
              <w:left w:val="nil"/>
              <w:bottom w:val="single" w:sz="8" w:space="0" w:color="auto"/>
              <w:right w:val="single" w:sz="4" w:space="0" w:color="auto"/>
            </w:tcBorders>
            <w:shd w:val="clear" w:color="auto" w:fill="auto"/>
            <w:noWrap/>
            <w:vAlign w:val="center"/>
            <w:hideMark/>
          </w:tcPr>
          <w:p w14:paraId="59B9FFAB" w14:textId="77777777" w:rsidR="001343E4" w:rsidRPr="001343E4" w:rsidRDefault="001343E4" w:rsidP="001343E4">
            <w:pPr>
              <w:jc w:val="center"/>
              <w:rPr>
                <w:b/>
                <w:bCs/>
                <w:lang w:eastAsia="en-US"/>
              </w:rPr>
            </w:pPr>
            <w:r w:rsidRPr="001343E4">
              <w:rPr>
                <w:b/>
                <w:bCs/>
                <w:lang w:eastAsia="en-US"/>
              </w:rPr>
              <w:t>Reikalavimai</w:t>
            </w:r>
          </w:p>
        </w:tc>
        <w:tc>
          <w:tcPr>
            <w:tcW w:w="3402" w:type="dxa"/>
            <w:tcBorders>
              <w:top w:val="single" w:sz="8" w:space="0" w:color="auto"/>
              <w:left w:val="nil"/>
              <w:bottom w:val="single" w:sz="8" w:space="0" w:color="auto"/>
              <w:right w:val="single" w:sz="8" w:space="0" w:color="auto"/>
            </w:tcBorders>
            <w:shd w:val="clear" w:color="auto" w:fill="auto"/>
            <w:hideMark/>
          </w:tcPr>
          <w:p w14:paraId="4F922F2B" w14:textId="77777777" w:rsidR="001343E4" w:rsidRPr="001343E4" w:rsidRDefault="001343E4" w:rsidP="001343E4">
            <w:pPr>
              <w:jc w:val="center"/>
              <w:rPr>
                <w:b/>
                <w:bCs/>
                <w:lang w:eastAsia="en-US"/>
              </w:rPr>
            </w:pPr>
            <w:r w:rsidRPr="001343E4">
              <w:rPr>
                <w:b/>
                <w:bCs/>
                <w:lang w:eastAsia="en-US"/>
              </w:rPr>
              <w:t>Pastabos</w:t>
            </w:r>
          </w:p>
        </w:tc>
      </w:tr>
      <w:tr w:rsidR="001343E4" w:rsidRPr="001343E4" w14:paraId="332AEF03" w14:textId="77777777" w:rsidTr="001343E4">
        <w:trPr>
          <w:gridBefore w:val="1"/>
          <w:gridAfter w:val="1"/>
          <w:wBefore w:w="10" w:type="dxa"/>
          <w:wAfter w:w="978" w:type="dxa"/>
          <w:trHeight w:val="63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454F6B74" w14:textId="171C4D12" w:rsidR="001343E4" w:rsidRPr="001343E4" w:rsidRDefault="001343E4" w:rsidP="001343E4">
            <w:pPr>
              <w:jc w:val="center"/>
              <w:rPr>
                <w:lang w:eastAsia="en-US"/>
              </w:rPr>
            </w:pPr>
            <w:r w:rsidRPr="001343E4">
              <w:rPr>
                <w:lang w:eastAsia="en-US"/>
              </w:rPr>
              <w:t>1</w:t>
            </w:r>
            <w:r>
              <w:rPr>
                <w:lang w:eastAsia="en-US"/>
              </w:rPr>
              <w:t>.</w:t>
            </w:r>
          </w:p>
        </w:tc>
        <w:tc>
          <w:tcPr>
            <w:tcW w:w="5670" w:type="dxa"/>
            <w:tcBorders>
              <w:top w:val="nil"/>
              <w:left w:val="nil"/>
              <w:bottom w:val="single" w:sz="4" w:space="0" w:color="auto"/>
              <w:right w:val="single" w:sz="4" w:space="0" w:color="auto"/>
            </w:tcBorders>
            <w:shd w:val="clear" w:color="000000" w:fill="FFFFFF"/>
            <w:hideMark/>
          </w:tcPr>
          <w:p w14:paraId="12DA1DAE" w14:textId="77777777" w:rsidR="001343E4" w:rsidRPr="001343E4" w:rsidRDefault="001343E4" w:rsidP="001343E4">
            <w:pPr>
              <w:rPr>
                <w:lang w:eastAsia="en-US"/>
              </w:rPr>
            </w:pPr>
            <w:r w:rsidRPr="001343E4">
              <w:rPr>
                <w:lang w:eastAsia="en-US"/>
              </w:rPr>
              <w:t>Vamzdynas skirtas suspausto oro tiekimui ir paskirstymui laivo sistemoje, užtikrinant įvairių įrenginių ir įrankių efektyvų veikimą.</w:t>
            </w:r>
          </w:p>
        </w:tc>
        <w:tc>
          <w:tcPr>
            <w:tcW w:w="3402" w:type="dxa"/>
            <w:tcBorders>
              <w:top w:val="nil"/>
              <w:left w:val="nil"/>
              <w:bottom w:val="single" w:sz="4" w:space="0" w:color="auto"/>
              <w:right w:val="single" w:sz="8" w:space="0" w:color="auto"/>
            </w:tcBorders>
            <w:shd w:val="clear" w:color="000000" w:fill="FFFFFF"/>
            <w:hideMark/>
          </w:tcPr>
          <w:p w14:paraId="54B15C33" w14:textId="77777777" w:rsidR="001343E4" w:rsidRPr="001343E4" w:rsidRDefault="001343E4" w:rsidP="001343E4">
            <w:pPr>
              <w:rPr>
                <w:lang w:eastAsia="en-US"/>
              </w:rPr>
            </w:pPr>
            <w:r w:rsidRPr="001343E4">
              <w:rPr>
                <w:lang w:eastAsia="en-US"/>
              </w:rPr>
              <w:t>Darbinis slėgis sistemoje ne mažesnis nei 50 Bar.</w:t>
            </w:r>
          </w:p>
        </w:tc>
      </w:tr>
      <w:tr w:rsidR="001343E4" w:rsidRPr="001343E4" w14:paraId="105DA052" w14:textId="77777777" w:rsidTr="001343E4">
        <w:trPr>
          <w:gridBefore w:val="1"/>
          <w:gridAfter w:val="1"/>
          <w:wBefore w:w="10" w:type="dxa"/>
          <w:wAfter w:w="978" w:type="dxa"/>
          <w:trHeight w:val="51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112021CE" w14:textId="6912AE3A" w:rsidR="001343E4" w:rsidRPr="001343E4" w:rsidRDefault="001343E4" w:rsidP="001343E4">
            <w:pPr>
              <w:jc w:val="center"/>
              <w:rPr>
                <w:lang w:eastAsia="en-US"/>
              </w:rPr>
            </w:pPr>
            <w:r w:rsidRPr="001343E4">
              <w:rPr>
                <w:lang w:eastAsia="en-US"/>
              </w:rPr>
              <w:t>2</w:t>
            </w:r>
            <w:r>
              <w:rPr>
                <w:lang w:eastAsia="en-US"/>
              </w:rPr>
              <w:t>.</w:t>
            </w:r>
          </w:p>
        </w:tc>
        <w:tc>
          <w:tcPr>
            <w:tcW w:w="5670" w:type="dxa"/>
            <w:tcBorders>
              <w:top w:val="nil"/>
              <w:left w:val="nil"/>
              <w:bottom w:val="single" w:sz="4" w:space="0" w:color="auto"/>
              <w:right w:val="single" w:sz="4" w:space="0" w:color="auto"/>
            </w:tcBorders>
            <w:shd w:val="clear" w:color="000000" w:fill="A6A6A6"/>
            <w:vAlign w:val="center"/>
            <w:hideMark/>
          </w:tcPr>
          <w:p w14:paraId="18BD9BE7" w14:textId="77777777" w:rsidR="001343E4" w:rsidRPr="001343E4" w:rsidRDefault="001343E4" w:rsidP="001343E4">
            <w:pPr>
              <w:jc w:val="center"/>
              <w:rPr>
                <w:b/>
                <w:bCs/>
                <w:lang w:eastAsia="en-US"/>
              </w:rPr>
            </w:pPr>
            <w:r w:rsidRPr="001343E4">
              <w:rPr>
                <w:b/>
                <w:bCs/>
                <w:lang w:eastAsia="en-US"/>
              </w:rPr>
              <w:t>Oro sistemos vamzdyno remontas</w:t>
            </w:r>
          </w:p>
        </w:tc>
        <w:tc>
          <w:tcPr>
            <w:tcW w:w="3402" w:type="dxa"/>
            <w:tcBorders>
              <w:top w:val="nil"/>
              <w:left w:val="nil"/>
              <w:bottom w:val="single" w:sz="4" w:space="0" w:color="auto"/>
              <w:right w:val="single" w:sz="8" w:space="0" w:color="auto"/>
            </w:tcBorders>
            <w:shd w:val="clear" w:color="000000" w:fill="FFFFFF"/>
            <w:hideMark/>
          </w:tcPr>
          <w:p w14:paraId="3D12AC02" w14:textId="77777777" w:rsidR="001343E4" w:rsidRPr="001343E4" w:rsidRDefault="001343E4" w:rsidP="001343E4">
            <w:pPr>
              <w:rPr>
                <w:lang w:eastAsia="en-US"/>
              </w:rPr>
            </w:pPr>
            <w:r w:rsidRPr="001343E4">
              <w:rPr>
                <w:lang w:eastAsia="en-US"/>
              </w:rPr>
              <w:t> </w:t>
            </w:r>
          </w:p>
        </w:tc>
      </w:tr>
      <w:tr w:rsidR="001343E4" w:rsidRPr="001343E4" w14:paraId="14F800E2" w14:textId="77777777" w:rsidTr="001343E4">
        <w:trPr>
          <w:gridBefore w:val="1"/>
          <w:gridAfter w:val="1"/>
          <w:wBefore w:w="10" w:type="dxa"/>
          <w:wAfter w:w="978" w:type="dxa"/>
          <w:trHeight w:val="132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72DC2A3A" w14:textId="3AD5DB46" w:rsidR="001343E4" w:rsidRPr="001343E4" w:rsidRDefault="001343E4" w:rsidP="001343E4">
            <w:pPr>
              <w:jc w:val="center"/>
              <w:rPr>
                <w:lang w:eastAsia="en-US"/>
              </w:rPr>
            </w:pPr>
            <w:r w:rsidRPr="001343E4">
              <w:rPr>
                <w:lang w:eastAsia="en-US"/>
              </w:rPr>
              <w:t>2.1</w:t>
            </w:r>
            <w:r>
              <w:rPr>
                <w:lang w:eastAsia="en-US"/>
              </w:rPr>
              <w:t>.</w:t>
            </w:r>
          </w:p>
        </w:tc>
        <w:tc>
          <w:tcPr>
            <w:tcW w:w="5670" w:type="dxa"/>
            <w:tcBorders>
              <w:top w:val="nil"/>
              <w:left w:val="nil"/>
              <w:bottom w:val="single" w:sz="4" w:space="0" w:color="auto"/>
              <w:right w:val="single" w:sz="4" w:space="0" w:color="auto"/>
            </w:tcBorders>
            <w:shd w:val="clear" w:color="auto" w:fill="auto"/>
            <w:noWrap/>
            <w:hideMark/>
          </w:tcPr>
          <w:p w14:paraId="034CD501" w14:textId="77777777" w:rsidR="001343E4" w:rsidRPr="001343E4" w:rsidRDefault="001343E4" w:rsidP="001343E4">
            <w:pPr>
              <w:rPr>
                <w:lang w:eastAsia="en-US"/>
              </w:rPr>
            </w:pPr>
            <w:r w:rsidRPr="001343E4">
              <w:rPr>
                <w:lang w:eastAsia="en-US"/>
              </w:rPr>
              <w:t>Vamzdyno montavimas.</w:t>
            </w:r>
          </w:p>
        </w:tc>
        <w:tc>
          <w:tcPr>
            <w:tcW w:w="3402" w:type="dxa"/>
            <w:tcBorders>
              <w:top w:val="nil"/>
              <w:left w:val="nil"/>
              <w:bottom w:val="nil"/>
              <w:right w:val="single" w:sz="8" w:space="0" w:color="auto"/>
            </w:tcBorders>
            <w:shd w:val="clear" w:color="auto" w:fill="auto"/>
            <w:hideMark/>
          </w:tcPr>
          <w:p w14:paraId="35944A6D" w14:textId="77777777" w:rsidR="001343E4" w:rsidRPr="001343E4" w:rsidRDefault="001343E4" w:rsidP="001343E4">
            <w:pPr>
              <w:rPr>
                <w:lang w:eastAsia="en-US"/>
              </w:rPr>
            </w:pPr>
            <w:r w:rsidRPr="001343E4">
              <w:rPr>
                <w:lang w:eastAsia="en-US"/>
              </w:rPr>
              <w:t>Prieš pradedant gamybą suderinti būsimo vamzdyno ilgį ir būsimą vietą su paslaugos Užsakovo atstovu. Preliminarus vamzdyno ilgis 200 m.</w:t>
            </w:r>
          </w:p>
        </w:tc>
      </w:tr>
      <w:tr w:rsidR="001343E4" w:rsidRPr="001343E4" w14:paraId="2F88DCFD" w14:textId="77777777" w:rsidTr="001343E4">
        <w:trPr>
          <w:gridBefore w:val="1"/>
          <w:gridAfter w:val="1"/>
          <w:wBefore w:w="10" w:type="dxa"/>
          <w:wAfter w:w="978" w:type="dxa"/>
          <w:trHeight w:val="157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09469AF2" w14:textId="6F6A4CDB" w:rsidR="001343E4" w:rsidRPr="001343E4" w:rsidRDefault="001343E4" w:rsidP="001343E4">
            <w:pPr>
              <w:jc w:val="center"/>
              <w:rPr>
                <w:lang w:eastAsia="en-US"/>
              </w:rPr>
            </w:pPr>
            <w:r w:rsidRPr="001343E4">
              <w:rPr>
                <w:lang w:eastAsia="en-US"/>
              </w:rPr>
              <w:t>2.2</w:t>
            </w:r>
            <w:r>
              <w:rPr>
                <w:lang w:eastAsia="en-US"/>
              </w:rPr>
              <w:t>.</w:t>
            </w:r>
          </w:p>
        </w:tc>
        <w:tc>
          <w:tcPr>
            <w:tcW w:w="5670" w:type="dxa"/>
            <w:tcBorders>
              <w:top w:val="nil"/>
              <w:left w:val="nil"/>
              <w:bottom w:val="single" w:sz="4" w:space="0" w:color="auto"/>
              <w:right w:val="single" w:sz="4" w:space="0" w:color="auto"/>
            </w:tcBorders>
            <w:shd w:val="clear" w:color="auto" w:fill="auto"/>
            <w:noWrap/>
            <w:hideMark/>
          </w:tcPr>
          <w:p w14:paraId="74B2FC45" w14:textId="77777777" w:rsidR="001343E4" w:rsidRPr="001343E4" w:rsidRDefault="001343E4" w:rsidP="001343E4">
            <w:pPr>
              <w:rPr>
                <w:lang w:eastAsia="en-US"/>
              </w:rPr>
            </w:pPr>
            <w:r w:rsidRPr="001343E4">
              <w:rPr>
                <w:lang w:eastAsia="en-US"/>
              </w:rPr>
              <w:t>Vožtuvų montavimas.</w:t>
            </w:r>
          </w:p>
        </w:tc>
        <w:tc>
          <w:tcPr>
            <w:tcW w:w="3402" w:type="dxa"/>
            <w:tcBorders>
              <w:top w:val="single" w:sz="4" w:space="0" w:color="auto"/>
              <w:left w:val="nil"/>
              <w:bottom w:val="single" w:sz="4" w:space="0" w:color="auto"/>
              <w:right w:val="single" w:sz="8" w:space="0" w:color="auto"/>
            </w:tcBorders>
            <w:shd w:val="clear" w:color="000000" w:fill="FFFFFF"/>
            <w:hideMark/>
          </w:tcPr>
          <w:p w14:paraId="1184D26A" w14:textId="77777777" w:rsidR="001343E4" w:rsidRPr="001343E4" w:rsidRDefault="001343E4" w:rsidP="001343E4">
            <w:pPr>
              <w:rPr>
                <w:lang w:eastAsia="en-US"/>
              </w:rPr>
            </w:pPr>
            <w:r w:rsidRPr="001343E4">
              <w:rPr>
                <w:lang w:eastAsia="en-US"/>
              </w:rPr>
              <w:t>Reikalingas kiekis - ne mažiau nei 28 vnt. Vožtuvas turi būti ilgos rankenos, 90 laipsnių pasukimo. Vožtuvų dydis min. - DN15, max. - DN20.</w:t>
            </w:r>
          </w:p>
        </w:tc>
      </w:tr>
      <w:tr w:rsidR="001343E4" w:rsidRPr="001343E4" w14:paraId="158FE8AD" w14:textId="77777777" w:rsidTr="001343E4">
        <w:trPr>
          <w:gridBefore w:val="1"/>
          <w:gridAfter w:val="1"/>
          <w:wBefore w:w="10" w:type="dxa"/>
          <w:wAfter w:w="978" w:type="dxa"/>
          <w:trHeight w:val="63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30929D65" w14:textId="108C76AB" w:rsidR="001343E4" w:rsidRPr="001343E4" w:rsidRDefault="001343E4" w:rsidP="001343E4">
            <w:pPr>
              <w:jc w:val="center"/>
              <w:rPr>
                <w:lang w:eastAsia="en-US"/>
              </w:rPr>
            </w:pPr>
            <w:r w:rsidRPr="001343E4">
              <w:rPr>
                <w:lang w:eastAsia="en-US"/>
              </w:rPr>
              <w:t>2.3</w:t>
            </w:r>
            <w:r>
              <w:rPr>
                <w:lang w:eastAsia="en-US"/>
              </w:rPr>
              <w:t>.</w:t>
            </w:r>
          </w:p>
        </w:tc>
        <w:tc>
          <w:tcPr>
            <w:tcW w:w="5670" w:type="dxa"/>
            <w:tcBorders>
              <w:top w:val="nil"/>
              <w:left w:val="nil"/>
              <w:bottom w:val="single" w:sz="4" w:space="0" w:color="auto"/>
              <w:right w:val="single" w:sz="4" w:space="0" w:color="auto"/>
            </w:tcBorders>
            <w:shd w:val="clear" w:color="auto" w:fill="auto"/>
            <w:hideMark/>
          </w:tcPr>
          <w:p w14:paraId="03ACEA1C" w14:textId="77777777" w:rsidR="001343E4" w:rsidRPr="001343E4" w:rsidRDefault="001343E4" w:rsidP="001343E4">
            <w:pPr>
              <w:rPr>
                <w:lang w:eastAsia="en-US"/>
              </w:rPr>
            </w:pPr>
            <w:r w:rsidRPr="001343E4">
              <w:rPr>
                <w:lang w:eastAsia="en-US"/>
              </w:rPr>
              <w:t>Redukcinių vožtuvų montavimas.</w:t>
            </w:r>
          </w:p>
        </w:tc>
        <w:tc>
          <w:tcPr>
            <w:tcW w:w="3402" w:type="dxa"/>
            <w:tcBorders>
              <w:top w:val="nil"/>
              <w:left w:val="nil"/>
              <w:bottom w:val="single" w:sz="4" w:space="0" w:color="auto"/>
              <w:right w:val="single" w:sz="8" w:space="0" w:color="auto"/>
            </w:tcBorders>
            <w:shd w:val="clear" w:color="auto" w:fill="auto"/>
            <w:hideMark/>
          </w:tcPr>
          <w:p w14:paraId="1B9DF36A" w14:textId="77777777" w:rsidR="001343E4" w:rsidRPr="001343E4" w:rsidRDefault="001343E4" w:rsidP="001343E4">
            <w:pPr>
              <w:rPr>
                <w:lang w:eastAsia="en-US"/>
              </w:rPr>
            </w:pPr>
            <w:r w:rsidRPr="001343E4">
              <w:rPr>
                <w:lang w:eastAsia="en-US"/>
              </w:rPr>
              <w:t>Reikalingi 4 vnt. Reguliavimo diapazonas nuo 0 iki 40 Bar.</w:t>
            </w:r>
          </w:p>
        </w:tc>
      </w:tr>
      <w:tr w:rsidR="001343E4" w:rsidRPr="001343E4" w14:paraId="643459FE" w14:textId="77777777" w:rsidTr="001343E4">
        <w:trPr>
          <w:gridBefore w:val="1"/>
          <w:gridAfter w:val="1"/>
          <w:wBefore w:w="10" w:type="dxa"/>
          <w:wAfter w:w="978" w:type="dxa"/>
          <w:trHeight w:val="94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4CDDED0B" w14:textId="0CFD3A7B" w:rsidR="001343E4" w:rsidRPr="001343E4" w:rsidRDefault="001343E4" w:rsidP="001343E4">
            <w:pPr>
              <w:jc w:val="center"/>
              <w:rPr>
                <w:lang w:eastAsia="en-US"/>
              </w:rPr>
            </w:pPr>
            <w:r w:rsidRPr="001343E4">
              <w:rPr>
                <w:lang w:eastAsia="en-US"/>
              </w:rPr>
              <w:t>2.4</w:t>
            </w:r>
            <w:r>
              <w:rPr>
                <w:lang w:eastAsia="en-US"/>
              </w:rPr>
              <w:t>.</w:t>
            </w:r>
          </w:p>
        </w:tc>
        <w:tc>
          <w:tcPr>
            <w:tcW w:w="5670" w:type="dxa"/>
            <w:tcBorders>
              <w:top w:val="nil"/>
              <w:left w:val="nil"/>
              <w:bottom w:val="single" w:sz="4" w:space="0" w:color="auto"/>
              <w:right w:val="single" w:sz="4" w:space="0" w:color="auto"/>
            </w:tcBorders>
            <w:shd w:val="clear" w:color="auto" w:fill="auto"/>
            <w:hideMark/>
          </w:tcPr>
          <w:p w14:paraId="78DBA1AC" w14:textId="77777777" w:rsidR="001343E4" w:rsidRPr="001343E4" w:rsidRDefault="001343E4" w:rsidP="001343E4">
            <w:pPr>
              <w:rPr>
                <w:lang w:eastAsia="en-US"/>
              </w:rPr>
            </w:pPr>
            <w:r w:rsidRPr="001343E4">
              <w:rPr>
                <w:lang w:eastAsia="en-US"/>
              </w:rPr>
              <w:t>Manometrų montavimas.</w:t>
            </w:r>
          </w:p>
        </w:tc>
        <w:tc>
          <w:tcPr>
            <w:tcW w:w="3402" w:type="dxa"/>
            <w:tcBorders>
              <w:top w:val="nil"/>
              <w:left w:val="nil"/>
              <w:bottom w:val="single" w:sz="4" w:space="0" w:color="auto"/>
              <w:right w:val="single" w:sz="8" w:space="0" w:color="auto"/>
            </w:tcBorders>
            <w:shd w:val="clear" w:color="auto" w:fill="auto"/>
            <w:hideMark/>
          </w:tcPr>
          <w:p w14:paraId="1CD64C28" w14:textId="77777777" w:rsidR="001343E4" w:rsidRPr="001343E4" w:rsidRDefault="001343E4" w:rsidP="001343E4">
            <w:pPr>
              <w:rPr>
                <w:lang w:eastAsia="en-US"/>
              </w:rPr>
            </w:pPr>
            <w:r w:rsidRPr="001343E4">
              <w:rPr>
                <w:lang w:eastAsia="en-US"/>
              </w:rPr>
              <w:t>Reikalingas kiekis - 8 vnt. Matavimo diapazonas ne mažiau nei 60 Bar. ir ne daugiau nei 100 Bar.</w:t>
            </w:r>
          </w:p>
        </w:tc>
      </w:tr>
      <w:tr w:rsidR="001343E4" w:rsidRPr="001343E4" w14:paraId="10316760" w14:textId="77777777" w:rsidTr="001343E4">
        <w:trPr>
          <w:gridBefore w:val="1"/>
          <w:gridAfter w:val="1"/>
          <w:wBefore w:w="10" w:type="dxa"/>
          <w:wAfter w:w="978" w:type="dxa"/>
          <w:trHeight w:val="94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476D5FB5" w14:textId="6E50FBE1" w:rsidR="001343E4" w:rsidRPr="001343E4" w:rsidRDefault="001343E4" w:rsidP="001343E4">
            <w:pPr>
              <w:jc w:val="center"/>
              <w:rPr>
                <w:lang w:eastAsia="en-US"/>
              </w:rPr>
            </w:pPr>
            <w:r w:rsidRPr="001343E4">
              <w:rPr>
                <w:lang w:eastAsia="en-US"/>
              </w:rPr>
              <w:t>2.5</w:t>
            </w:r>
            <w:r>
              <w:rPr>
                <w:lang w:eastAsia="en-US"/>
              </w:rPr>
              <w:t>.</w:t>
            </w:r>
          </w:p>
        </w:tc>
        <w:tc>
          <w:tcPr>
            <w:tcW w:w="5670" w:type="dxa"/>
            <w:tcBorders>
              <w:top w:val="nil"/>
              <w:left w:val="nil"/>
              <w:bottom w:val="single" w:sz="4" w:space="0" w:color="auto"/>
              <w:right w:val="single" w:sz="4" w:space="0" w:color="auto"/>
            </w:tcBorders>
            <w:shd w:val="clear" w:color="auto" w:fill="auto"/>
            <w:hideMark/>
          </w:tcPr>
          <w:p w14:paraId="49FD74F3" w14:textId="553167F7" w:rsidR="001343E4" w:rsidRPr="001343E4" w:rsidRDefault="001343E4" w:rsidP="001343E4">
            <w:pPr>
              <w:rPr>
                <w:lang w:eastAsia="en-US"/>
              </w:rPr>
            </w:pPr>
            <w:r w:rsidRPr="001343E4">
              <w:rPr>
                <w:lang w:eastAsia="en-US"/>
              </w:rPr>
              <w:t>Virš slėgio vožtuvų montavimas.</w:t>
            </w:r>
          </w:p>
        </w:tc>
        <w:tc>
          <w:tcPr>
            <w:tcW w:w="3402" w:type="dxa"/>
            <w:tcBorders>
              <w:top w:val="nil"/>
              <w:left w:val="nil"/>
              <w:bottom w:val="single" w:sz="4" w:space="0" w:color="auto"/>
              <w:right w:val="single" w:sz="8" w:space="0" w:color="auto"/>
            </w:tcBorders>
            <w:shd w:val="clear" w:color="auto" w:fill="auto"/>
            <w:hideMark/>
          </w:tcPr>
          <w:p w14:paraId="1B7C7216" w14:textId="33E29B8B" w:rsidR="001343E4" w:rsidRPr="001343E4" w:rsidRDefault="001343E4" w:rsidP="001343E4">
            <w:pPr>
              <w:rPr>
                <w:lang w:eastAsia="en-US"/>
              </w:rPr>
            </w:pPr>
            <w:r w:rsidRPr="001343E4">
              <w:rPr>
                <w:lang w:eastAsia="en-US"/>
              </w:rPr>
              <w:t>Reikalingi virš slėgio vožtuvai - 6 vnt. Iš jų 2 vnt. 60 Bar; 2 vnt. 30 Bar; 1 vnt. 15 Bar; 1 vnt. 10 Bar.</w:t>
            </w:r>
          </w:p>
        </w:tc>
      </w:tr>
      <w:tr w:rsidR="001343E4" w:rsidRPr="001343E4" w14:paraId="2B832356" w14:textId="77777777" w:rsidTr="001343E4">
        <w:trPr>
          <w:gridBefore w:val="1"/>
          <w:gridAfter w:val="1"/>
          <w:wBefore w:w="10" w:type="dxa"/>
          <w:wAfter w:w="978" w:type="dxa"/>
          <w:trHeight w:val="31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25775E3" w14:textId="097BEA55" w:rsidR="001343E4" w:rsidRPr="001343E4" w:rsidRDefault="001343E4" w:rsidP="001343E4">
            <w:pPr>
              <w:jc w:val="center"/>
              <w:rPr>
                <w:lang w:eastAsia="en-US"/>
              </w:rPr>
            </w:pPr>
            <w:r w:rsidRPr="001343E4">
              <w:rPr>
                <w:lang w:eastAsia="en-US"/>
              </w:rPr>
              <w:t>2.6</w:t>
            </w:r>
            <w:r>
              <w:rPr>
                <w:lang w:eastAsia="en-US"/>
              </w:rPr>
              <w:t>.</w:t>
            </w:r>
          </w:p>
        </w:tc>
        <w:tc>
          <w:tcPr>
            <w:tcW w:w="5670" w:type="dxa"/>
            <w:tcBorders>
              <w:top w:val="nil"/>
              <w:left w:val="nil"/>
              <w:bottom w:val="single" w:sz="4" w:space="0" w:color="auto"/>
              <w:right w:val="single" w:sz="4" w:space="0" w:color="auto"/>
            </w:tcBorders>
            <w:shd w:val="clear" w:color="auto" w:fill="auto"/>
            <w:hideMark/>
          </w:tcPr>
          <w:p w14:paraId="00525F29" w14:textId="77777777" w:rsidR="001343E4" w:rsidRPr="001343E4" w:rsidRDefault="001343E4" w:rsidP="001343E4">
            <w:pPr>
              <w:rPr>
                <w:lang w:eastAsia="en-US"/>
              </w:rPr>
            </w:pPr>
            <w:r w:rsidRPr="001343E4">
              <w:rPr>
                <w:lang w:eastAsia="en-US"/>
              </w:rPr>
              <w:t>Greitų jungčių montavimas.</w:t>
            </w:r>
          </w:p>
        </w:tc>
        <w:tc>
          <w:tcPr>
            <w:tcW w:w="3402" w:type="dxa"/>
            <w:tcBorders>
              <w:top w:val="nil"/>
              <w:left w:val="nil"/>
              <w:bottom w:val="single" w:sz="4" w:space="0" w:color="auto"/>
              <w:right w:val="single" w:sz="8" w:space="0" w:color="auto"/>
            </w:tcBorders>
            <w:shd w:val="clear" w:color="auto" w:fill="auto"/>
            <w:hideMark/>
          </w:tcPr>
          <w:p w14:paraId="73194543" w14:textId="77777777" w:rsidR="001343E4" w:rsidRPr="001343E4" w:rsidRDefault="001343E4" w:rsidP="001343E4">
            <w:pPr>
              <w:rPr>
                <w:lang w:eastAsia="en-US"/>
              </w:rPr>
            </w:pPr>
            <w:r w:rsidRPr="001343E4">
              <w:rPr>
                <w:lang w:eastAsia="en-US"/>
              </w:rPr>
              <w:t>Reikalingi 4 vnt. Euro standart 7,2.</w:t>
            </w:r>
          </w:p>
        </w:tc>
      </w:tr>
      <w:tr w:rsidR="001343E4" w:rsidRPr="001343E4" w14:paraId="5332ADB0" w14:textId="77777777" w:rsidTr="001343E4">
        <w:trPr>
          <w:gridBefore w:val="1"/>
          <w:gridAfter w:val="1"/>
          <w:wBefore w:w="10" w:type="dxa"/>
          <w:wAfter w:w="978" w:type="dxa"/>
          <w:trHeight w:val="94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60EF762D" w14:textId="7F8A6FCE" w:rsidR="001343E4" w:rsidRPr="001343E4" w:rsidRDefault="001343E4" w:rsidP="001343E4">
            <w:pPr>
              <w:jc w:val="center"/>
              <w:rPr>
                <w:lang w:eastAsia="en-US"/>
              </w:rPr>
            </w:pPr>
            <w:r w:rsidRPr="001343E4">
              <w:rPr>
                <w:lang w:eastAsia="en-US"/>
              </w:rPr>
              <w:t>3</w:t>
            </w:r>
            <w:r>
              <w:rPr>
                <w:lang w:eastAsia="en-US"/>
              </w:rPr>
              <w:t>.</w:t>
            </w:r>
          </w:p>
        </w:tc>
        <w:tc>
          <w:tcPr>
            <w:tcW w:w="5670" w:type="dxa"/>
            <w:tcBorders>
              <w:top w:val="nil"/>
              <w:left w:val="nil"/>
              <w:bottom w:val="single" w:sz="4" w:space="0" w:color="auto"/>
              <w:right w:val="single" w:sz="4" w:space="0" w:color="auto"/>
            </w:tcBorders>
            <w:shd w:val="clear" w:color="000000" w:fill="FFFFFF"/>
            <w:hideMark/>
          </w:tcPr>
          <w:p w14:paraId="5D9597AE" w14:textId="77777777" w:rsidR="001343E4" w:rsidRPr="001343E4" w:rsidRDefault="001343E4" w:rsidP="001343E4">
            <w:pPr>
              <w:rPr>
                <w:lang w:eastAsia="en-US"/>
              </w:rPr>
            </w:pPr>
            <w:r w:rsidRPr="001343E4">
              <w:rPr>
                <w:lang w:eastAsia="en-US"/>
              </w:rPr>
              <w:t>Vamzdynui naudojamas metalas ar jo lydinys turi būti nemagnetinis, metalo rūšis nėra svarbi.</w:t>
            </w:r>
          </w:p>
        </w:tc>
        <w:tc>
          <w:tcPr>
            <w:tcW w:w="3402" w:type="dxa"/>
            <w:tcBorders>
              <w:top w:val="nil"/>
              <w:left w:val="nil"/>
              <w:bottom w:val="single" w:sz="4" w:space="0" w:color="auto"/>
              <w:right w:val="single" w:sz="8" w:space="0" w:color="auto"/>
            </w:tcBorders>
            <w:shd w:val="clear" w:color="000000" w:fill="FFFFFF"/>
            <w:hideMark/>
          </w:tcPr>
          <w:p w14:paraId="4EE8C74D" w14:textId="77777777" w:rsidR="001343E4" w:rsidRPr="001343E4" w:rsidRDefault="001343E4" w:rsidP="001343E4">
            <w:pPr>
              <w:rPr>
                <w:lang w:eastAsia="en-US"/>
              </w:rPr>
            </w:pPr>
            <w:r w:rsidRPr="001343E4">
              <w:rPr>
                <w:lang w:eastAsia="en-US"/>
              </w:rPr>
              <w:t>Naujo vamzdyno diametras turi būti analogiškas išardytos sistemos. Diametras min. 8 mm, max. 16 mm.</w:t>
            </w:r>
          </w:p>
        </w:tc>
      </w:tr>
      <w:tr w:rsidR="001343E4" w:rsidRPr="001343E4" w14:paraId="4F9E17FA" w14:textId="77777777" w:rsidTr="001343E4">
        <w:trPr>
          <w:gridBefore w:val="1"/>
          <w:gridAfter w:val="1"/>
          <w:wBefore w:w="10" w:type="dxa"/>
          <w:wAfter w:w="978" w:type="dxa"/>
          <w:trHeight w:val="63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A3E152C" w14:textId="1230D293" w:rsidR="001343E4" w:rsidRPr="001343E4" w:rsidRDefault="001343E4" w:rsidP="001343E4">
            <w:pPr>
              <w:jc w:val="center"/>
              <w:rPr>
                <w:lang w:eastAsia="en-US"/>
              </w:rPr>
            </w:pPr>
            <w:r w:rsidRPr="001343E4">
              <w:rPr>
                <w:lang w:eastAsia="en-US"/>
              </w:rPr>
              <w:t>4</w:t>
            </w:r>
            <w:r>
              <w:rPr>
                <w:lang w:eastAsia="en-US"/>
              </w:rPr>
              <w:t>.</w:t>
            </w:r>
          </w:p>
        </w:tc>
        <w:tc>
          <w:tcPr>
            <w:tcW w:w="5670" w:type="dxa"/>
            <w:tcBorders>
              <w:top w:val="nil"/>
              <w:left w:val="nil"/>
              <w:bottom w:val="single" w:sz="4" w:space="0" w:color="auto"/>
              <w:right w:val="single" w:sz="4" w:space="0" w:color="auto"/>
            </w:tcBorders>
            <w:shd w:val="clear" w:color="auto" w:fill="auto"/>
            <w:hideMark/>
          </w:tcPr>
          <w:p w14:paraId="1ABF29D4" w14:textId="77777777" w:rsidR="001343E4" w:rsidRPr="001343E4" w:rsidRDefault="001343E4" w:rsidP="001343E4">
            <w:pPr>
              <w:rPr>
                <w:lang w:eastAsia="en-US"/>
              </w:rPr>
            </w:pPr>
            <w:r w:rsidRPr="001343E4">
              <w:rPr>
                <w:lang w:eastAsia="en-US"/>
              </w:rPr>
              <w:t>Vamzdynas turi būti saugiai pritvirtintas prie laive esančių konstrukcijų.</w:t>
            </w:r>
          </w:p>
        </w:tc>
        <w:tc>
          <w:tcPr>
            <w:tcW w:w="3402" w:type="dxa"/>
            <w:tcBorders>
              <w:top w:val="nil"/>
              <w:left w:val="nil"/>
              <w:bottom w:val="single" w:sz="4" w:space="0" w:color="auto"/>
              <w:right w:val="single" w:sz="8" w:space="0" w:color="auto"/>
            </w:tcBorders>
            <w:shd w:val="clear" w:color="auto" w:fill="auto"/>
            <w:hideMark/>
          </w:tcPr>
          <w:p w14:paraId="32B4729F" w14:textId="77777777" w:rsidR="001343E4" w:rsidRPr="001343E4" w:rsidRDefault="001343E4" w:rsidP="001343E4">
            <w:pPr>
              <w:rPr>
                <w:lang w:eastAsia="en-US"/>
              </w:rPr>
            </w:pPr>
            <w:r w:rsidRPr="001343E4">
              <w:rPr>
                <w:lang w:eastAsia="en-US"/>
              </w:rPr>
              <w:t>Naujai montuojami laikikliai turi būti suderinti su užsakovo atstovu.</w:t>
            </w:r>
          </w:p>
        </w:tc>
      </w:tr>
      <w:tr w:rsidR="001343E4" w:rsidRPr="001343E4" w14:paraId="0D4E7E04" w14:textId="77777777" w:rsidTr="001343E4">
        <w:trPr>
          <w:gridBefore w:val="1"/>
          <w:gridAfter w:val="1"/>
          <w:wBefore w:w="10" w:type="dxa"/>
          <w:wAfter w:w="978" w:type="dxa"/>
          <w:trHeight w:val="63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0A9FF8" w14:textId="35D457CC" w:rsidR="001343E4" w:rsidRPr="001343E4" w:rsidRDefault="001343E4" w:rsidP="001343E4">
            <w:pPr>
              <w:jc w:val="center"/>
              <w:rPr>
                <w:lang w:eastAsia="en-US"/>
              </w:rPr>
            </w:pPr>
            <w:r w:rsidRPr="001343E4">
              <w:rPr>
                <w:lang w:eastAsia="en-US"/>
              </w:rPr>
              <w:lastRenderedPageBreak/>
              <w:t>5</w:t>
            </w:r>
            <w:r>
              <w:rPr>
                <w:lang w:eastAsia="en-US"/>
              </w:rPr>
              <w:t>.</w:t>
            </w:r>
          </w:p>
        </w:tc>
        <w:tc>
          <w:tcPr>
            <w:tcW w:w="5670" w:type="dxa"/>
            <w:tcBorders>
              <w:top w:val="single" w:sz="4" w:space="0" w:color="auto"/>
              <w:left w:val="nil"/>
              <w:bottom w:val="single" w:sz="4" w:space="0" w:color="auto"/>
              <w:right w:val="single" w:sz="4" w:space="0" w:color="auto"/>
            </w:tcBorders>
            <w:shd w:val="clear" w:color="auto" w:fill="auto"/>
            <w:hideMark/>
          </w:tcPr>
          <w:p w14:paraId="55A7D83D" w14:textId="77777777" w:rsidR="001343E4" w:rsidRPr="001343E4" w:rsidRDefault="001343E4" w:rsidP="001343E4">
            <w:pPr>
              <w:rPr>
                <w:lang w:eastAsia="en-US"/>
              </w:rPr>
            </w:pPr>
            <w:r w:rsidRPr="001343E4">
              <w:rPr>
                <w:lang w:eastAsia="en-US"/>
              </w:rPr>
              <w:t>Oro sistemos vamzdyno sujungimai turi būti patikimi ir ilgaamžiai.</w:t>
            </w:r>
          </w:p>
        </w:tc>
        <w:tc>
          <w:tcPr>
            <w:tcW w:w="3402" w:type="dxa"/>
            <w:tcBorders>
              <w:top w:val="single" w:sz="4" w:space="0" w:color="auto"/>
              <w:left w:val="nil"/>
              <w:bottom w:val="single" w:sz="4" w:space="0" w:color="auto"/>
              <w:right w:val="single" w:sz="8" w:space="0" w:color="auto"/>
            </w:tcBorders>
            <w:shd w:val="clear" w:color="auto" w:fill="auto"/>
            <w:hideMark/>
          </w:tcPr>
          <w:p w14:paraId="231F92C6" w14:textId="77777777" w:rsidR="001343E4" w:rsidRPr="001343E4" w:rsidRDefault="001343E4" w:rsidP="001343E4">
            <w:pPr>
              <w:rPr>
                <w:lang w:eastAsia="en-US"/>
              </w:rPr>
            </w:pPr>
            <w:r w:rsidRPr="001343E4">
              <w:rPr>
                <w:lang w:eastAsia="en-US"/>
              </w:rPr>
              <w:t>Po vamzdyno sumontavimo turi būti atlikti oro slėgio bandymai.</w:t>
            </w:r>
          </w:p>
        </w:tc>
      </w:tr>
      <w:tr w:rsidR="001343E4" w:rsidRPr="001343E4" w14:paraId="49888F14" w14:textId="77777777" w:rsidTr="001343E4">
        <w:trPr>
          <w:gridBefore w:val="1"/>
          <w:gridAfter w:val="1"/>
          <w:wBefore w:w="10" w:type="dxa"/>
          <w:wAfter w:w="978" w:type="dxa"/>
          <w:trHeight w:val="63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4508E4" w14:textId="73ECDE86" w:rsidR="001343E4" w:rsidRPr="001343E4" w:rsidRDefault="001343E4" w:rsidP="001343E4">
            <w:pPr>
              <w:jc w:val="center"/>
              <w:rPr>
                <w:lang w:eastAsia="en-US"/>
              </w:rPr>
            </w:pPr>
            <w:r w:rsidRPr="001343E4">
              <w:rPr>
                <w:lang w:eastAsia="en-US"/>
              </w:rPr>
              <w:t>6</w:t>
            </w:r>
            <w:r>
              <w:rPr>
                <w:lang w:eastAsia="en-US"/>
              </w:rPr>
              <w:t>.</w:t>
            </w:r>
          </w:p>
        </w:tc>
        <w:tc>
          <w:tcPr>
            <w:tcW w:w="5670" w:type="dxa"/>
            <w:tcBorders>
              <w:top w:val="single" w:sz="4" w:space="0" w:color="auto"/>
              <w:left w:val="nil"/>
              <w:bottom w:val="nil"/>
              <w:right w:val="single" w:sz="4" w:space="0" w:color="auto"/>
            </w:tcBorders>
            <w:shd w:val="clear" w:color="auto" w:fill="auto"/>
            <w:hideMark/>
          </w:tcPr>
          <w:p w14:paraId="4E72D776" w14:textId="77777777" w:rsidR="001343E4" w:rsidRPr="001343E4" w:rsidRDefault="001343E4" w:rsidP="001343E4">
            <w:pPr>
              <w:rPr>
                <w:lang w:eastAsia="en-US"/>
              </w:rPr>
            </w:pPr>
            <w:r w:rsidRPr="001343E4">
              <w:rPr>
                <w:lang w:eastAsia="en-US"/>
              </w:rPr>
              <w:t>Vamzdynas turi būti įrengiamas taip, jog netrukdytų kasdieniai veiklai, bei nekliudytų/neuždengtų laivo įgulai reikalingų vožtuvų ir kitų svarbių įrenginių.</w:t>
            </w:r>
          </w:p>
        </w:tc>
        <w:tc>
          <w:tcPr>
            <w:tcW w:w="3402" w:type="dxa"/>
            <w:tcBorders>
              <w:top w:val="single" w:sz="4" w:space="0" w:color="auto"/>
              <w:left w:val="nil"/>
              <w:bottom w:val="nil"/>
              <w:right w:val="single" w:sz="8" w:space="0" w:color="auto"/>
            </w:tcBorders>
            <w:shd w:val="clear" w:color="auto" w:fill="auto"/>
            <w:hideMark/>
          </w:tcPr>
          <w:p w14:paraId="26C0B265" w14:textId="77777777" w:rsidR="001343E4" w:rsidRPr="001343E4" w:rsidRDefault="001343E4" w:rsidP="001343E4">
            <w:pPr>
              <w:rPr>
                <w:lang w:eastAsia="en-US"/>
              </w:rPr>
            </w:pPr>
            <w:r w:rsidRPr="001343E4">
              <w:rPr>
                <w:lang w:eastAsia="en-US"/>
              </w:rPr>
              <w:t> </w:t>
            </w:r>
          </w:p>
        </w:tc>
      </w:tr>
      <w:tr w:rsidR="001343E4" w:rsidRPr="001343E4" w14:paraId="5E3DA93B" w14:textId="77777777" w:rsidTr="001343E4">
        <w:trPr>
          <w:gridBefore w:val="1"/>
          <w:gridAfter w:val="1"/>
          <w:wBefore w:w="10" w:type="dxa"/>
          <w:wAfter w:w="978" w:type="dxa"/>
          <w:trHeight w:val="630"/>
        </w:trPr>
        <w:tc>
          <w:tcPr>
            <w:tcW w:w="699" w:type="dxa"/>
            <w:tcBorders>
              <w:top w:val="nil"/>
              <w:left w:val="single" w:sz="8" w:space="0" w:color="auto"/>
              <w:bottom w:val="nil"/>
              <w:right w:val="single" w:sz="4" w:space="0" w:color="auto"/>
            </w:tcBorders>
            <w:shd w:val="clear" w:color="auto" w:fill="auto"/>
            <w:vAlign w:val="center"/>
            <w:hideMark/>
          </w:tcPr>
          <w:p w14:paraId="16E5C98F" w14:textId="54F4AE46" w:rsidR="001343E4" w:rsidRPr="001343E4" w:rsidRDefault="001343E4" w:rsidP="001343E4">
            <w:pPr>
              <w:jc w:val="center"/>
              <w:rPr>
                <w:lang w:eastAsia="en-US"/>
              </w:rPr>
            </w:pPr>
            <w:r w:rsidRPr="001343E4">
              <w:rPr>
                <w:lang w:eastAsia="en-US"/>
              </w:rPr>
              <w:t>7</w:t>
            </w:r>
            <w:r>
              <w:rPr>
                <w:lang w:eastAsia="en-US"/>
              </w:rPr>
              <w:t>.</w:t>
            </w:r>
          </w:p>
        </w:tc>
        <w:tc>
          <w:tcPr>
            <w:tcW w:w="5670" w:type="dxa"/>
            <w:tcBorders>
              <w:top w:val="single" w:sz="4" w:space="0" w:color="auto"/>
              <w:left w:val="nil"/>
              <w:bottom w:val="nil"/>
              <w:right w:val="single" w:sz="4" w:space="0" w:color="auto"/>
            </w:tcBorders>
            <w:shd w:val="clear" w:color="auto" w:fill="auto"/>
            <w:hideMark/>
          </w:tcPr>
          <w:p w14:paraId="08723DE2" w14:textId="77777777" w:rsidR="001343E4" w:rsidRPr="001343E4" w:rsidRDefault="001343E4" w:rsidP="001343E4">
            <w:pPr>
              <w:rPr>
                <w:lang w:eastAsia="en-US"/>
              </w:rPr>
            </w:pPr>
            <w:r w:rsidRPr="001343E4">
              <w:rPr>
                <w:lang w:eastAsia="en-US"/>
              </w:rPr>
              <w:t>Po surinkimo vamzdynas patikrinamas kartu su Užsakovo atstovu. Pastebėti defektai turi būti šalinami paslaugos Tiekėjo lėšomis.</w:t>
            </w:r>
          </w:p>
        </w:tc>
        <w:tc>
          <w:tcPr>
            <w:tcW w:w="3402" w:type="dxa"/>
            <w:tcBorders>
              <w:top w:val="single" w:sz="4" w:space="0" w:color="auto"/>
              <w:left w:val="nil"/>
              <w:bottom w:val="nil"/>
              <w:right w:val="single" w:sz="8" w:space="0" w:color="auto"/>
            </w:tcBorders>
            <w:shd w:val="clear" w:color="auto" w:fill="auto"/>
            <w:hideMark/>
          </w:tcPr>
          <w:p w14:paraId="21BCACCB" w14:textId="77777777" w:rsidR="001343E4" w:rsidRPr="001343E4" w:rsidRDefault="001343E4" w:rsidP="001343E4">
            <w:pPr>
              <w:rPr>
                <w:lang w:eastAsia="en-US"/>
              </w:rPr>
            </w:pPr>
            <w:r w:rsidRPr="001343E4">
              <w:rPr>
                <w:lang w:eastAsia="en-US"/>
              </w:rPr>
              <w:t> </w:t>
            </w:r>
          </w:p>
        </w:tc>
      </w:tr>
      <w:tr w:rsidR="001343E4" w:rsidRPr="001343E4" w14:paraId="0D31493D" w14:textId="77777777" w:rsidTr="001343E4">
        <w:trPr>
          <w:gridBefore w:val="1"/>
          <w:gridAfter w:val="1"/>
          <w:wBefore w:w="10" w:type="dxa"/>
          <w:wAfter w:w="978" w:type="dxa"/>
          <w:trHeight w:val="645"/>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923331" w14:textId="29B50FAD" w:rsidR="001343E4" w:rsidRPr="001343E4" w:rsidRDefault="001343E4" w:rsidP="001343E4">
            <w:pPr>
              <w:jc w:val="center"/>
              <w:rPr>
                <w:color w:val="000000"/>
                <w:lang w:eastAsia="en-US"/>
              </w:rPr>
            </w:pPr>
            <w:r w:rsidRPr="001343E4">
              <w:rPr>
                <w:color w:val="000000"/>
                <w:lang w:eastAsia="en-US"/>
              </w:rPr>
              <w:t>8</w:t>
            </w:r>
            <w:r>
              <w:rPr>
                <w:color w:val="000000"/>
                <w:lang w:eastAsia="en-US"/>
              </w:rPr>
              <w:t>.</w:t>
            </w:r>
          </w:p>
        </w:tc>
        <w:tc>
          <w:tcPr>
            <w:tcW w:w="5670" w:type="dxa"/>
            <w:tcBorders>
              <w:top w:val="single" w:sz="4" w:space="0" w:color="auto"/>
              <w:left w:val="nil"/>
              <w:bottom w:val="single" w:sz="4" w:space="0" w:color="auto"/>
              <w:right w:val="single" w:sz="4" w:space="0" w:color="auto"/>
            </w:tcBorders>
            <w:shd w:val="clear" w:color="000000" w:fill="A6A6A6"/>
            <w:vAlign w:val="center"/>
            <w:hideMark/>
          </w:tcPr>
          <w:p w14:paraId="49C2DB2E" w14:textId="77777777" w:rsidR="001343E4" w:rsidRPr="001343E4" w:rsidRDefault="001343E4" w:rsidP="001343E4">
            <w:pPr>
              <w:jc w:val="center"/>
              <w:rPr>
                <w:b/>
                <w:bCs/>
                <w:lang w:eastAsia="en-US"/>
              </w:rPr>
            </w:pPr>
            <w:r w:rsidRPr="001343E4">
              <w:rPr>
                <w:b/>
                <w:bCs/>
                <w:lang w:eastAsia="en-US"/>
              </w:rPr>
              <w:t>Oro sistemos remontas</w:t>
            </w:r>
          </w:p>
        </w:tc>
        <w:tc>
          <w:tcPr>
            <w:tcW w:w="3402" w:type="dxa"/>
            <w:tcBorders>
              <w:top w:val="single" w:sz="4" w:space="0" w:color="auto"/>
              <w:left w:val="nil"/>
              <w:bottom w:val="single" w:sz="4" w:space="0" w:color="auto"/>
              <w:right w:val="single" w:sz="8" w:space="0" w:color="auto"/>
            </w:tcBorders>
            <w:shd w:val="clear" w:color="auto" w:fill="auto"/>
            <w:hideMark/>
          </w:tcPr>
          <w:p w14:paraId="535F61A1" w14:textId="77777777" w:rsidR="001343E4" w:rsidRPr="001343E4" w:rsidRDefault="001343E4" w:rsidP="001343E4">
            <w:pPr>
              <w:rPr>
                <w:lang w:eastAsia="en-US"/>
              </w:rPr>
            </w:pPr>
            <w:r w:rsidRPr="001343E4">
              <w:rPr>
                <w:lang w:eastAsia="en-US"/>
              </w:rPr>
              <w:t>Oro kompresorius Williams &amp; James</w:t>
            </w:r>
            <w:r w:rsidRPr="001343E4">
              <w:rPr>
                <w:lang w:eastAsia="en-US"/>
              </w:rPr>
              <w:br/>
              <w:t>Serijos nr. ADT 1085</w:t>
            </w:r>
          </w:p>
        </w:tc>
      </w:tr>
      <w:tr w:rsidR="001343E4" w:rsidRPr="001343E4" w14:paraId="576E5777" w14:textId="77777777" w:rsidTr="001343E4">
        <w:trPr>
          <w:gridBefore w:val="1"/>
          <w:gridAfter w:val="1"/>
          <w:wBefore w:w="10" w:type="dxa"/>
          <w:wAfter w:w="978" w:type="dxa"/>
          <w:trHeight w:val="63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6D36448" w14:textId="796AC026" w:rsidR="001343E4" w:rsidRPr="001343E4" w:rsidRDefault="001343E4" w:rsidP="001343E4">
            <w:pPr>
              <w:jc w:val="center"/>
              <w:rPr>
                <w:color w:val="000000"/>
                <w:lang w:eastAsia="en-US"/>
              </w:rPr>
            </w:pPr>
            <w:r w:rsidRPr="001343E4">
              <w:rPr>
                <w:color w:val="000000"/>
                <w:lang w:eastAsia="en-US"/>
              </w:rPr>
              <w:t>9.1</w:t>
            </w:r>
            <w:r>
              <w:rPr>
                <w:color w:val="000000"/>
                <w:lang w:eastAsia="en-US"/>
              </w:rPr>
              <w:t>.</w:t>
            </w:r>
          </w:p>
        </w:tc>
        <w:tc>
          <w:tcPr>
            <w:tcW w:w="5670" w:type="dxa"/>
            <w:tcBorders>
              <w:top w:val="nil"/>
              <w:left w:val="nil"/>
              <w:bottom w:val="single" w:sz="4" w:space="0" w:color="auto"/>
              <w:right w:val="single" w:sz="4" w:space="0" w:color="auto"/>
            </w:tcBorders>
            <w:shd w:val="clear" w:color="000000" w:fill="FFFFFF"/>
            <w:vAlign w:val="center"/>
            <w:hideMark/>
          </w:tcPr>
          <w:p w14:paraId="66BADDB2" w14:textId="77777777" w:rsidR="001343E4" w:rsidRPr="001343E4" w:rsidRDefault="001343E4" w:rsidP="001343E4">
            <w:pPr>
              <w:rPr>
                <w:lang w:eastAsia="en-US"/>
              </w:rPr>
            </w:pPr>
            <w:r w:rsidRPr="001343E4">
              <w:rPr>
                <w:lang w:eastAsia="en-US"/>
              </w:rPr>
              <w:t>Žemos vertės jutiklio sumontavimas.</w:t>
            </w:r>
          </w:p>
        </w:tc>
        <w:tc>
          <w:tcPr>
            <w:tcW w:w="3402" w:type="dxa"/>
            <w:tcBorders>
              <w:top w:val="nil"/>
              <w:left w:val="nil"/>
              <w:bottom w:val="single" w:sz="4" w:space="0" w:color="auto"/>
              <w:right w:val="single" w:sz="8" w:space="0" w:color="auto"/>
            </w:tcBorders>
            <w:shd w:val="clear" w:color="auto" w:fill="auto"/>
            <w:hideMark/>
          </w:tcPr>
          <w:p w14:paraId="29D7D0B4" w14:textId="77777777" w:rsidR="001343E4" w:rsidRPr="001343E4" w:rsidRDefault="001343E4" w:rsidP="001343E4">
            <w:pPr>
              <w:rPr>
                <w:lang w:eastAsia="en-US"/>
              </w:rPr>
            </w:pPr>
            <w:r w:rsidRPr="001343E4">
              <w:rPr>
                <w:lang w:eastAsia="en-US"/>
              </w:rPr>
              <w:t>Oro kompresoriaus įsijungimas ties nustatyta riba 20 Bar.</w:t>
            </w:r>
          </w:p>
        </w:tc>
      </w:tr>
      <w:tr w:rsidR="001343E4" w:rsidRPr="001343E4" w14:paraId="679BF9EE" w14:textId="77777777" w:rsidTr="001343E4">
        <w:trPr>
          <w:gridBefore w:val="1"/>
          <w:gridAfter w:val="1"/>
          <w:wBefore w:w="10" w:type="dxa"/>
          <w:wAfter w:w="978" w:type="dxa"/>
          <w:trHeight w:val="63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F1E5469" w14:textId="1839A593" w:rsidR="001343E4" w:rsidRPr="001343E4" w:rsidRDefault="001343E4" w:rsidP="001343E4">
            <w:pPr>
              <w:jc w:val="center"/>
              <w:rPr>
                <w:color w:val="000000"/>
                <w:lang w:eastAsia="en-US"/>
              </w:rPr>
            </w:pPr>
            <w:r w:rsidRPr="001343E4">
              <w:rPr>
                <w:color w:val="000000"/>
                <w:lang w:eastAsia="en-US"/>
              </w:rPr>
              <w:t>9.2</w:t>
            </w:r>
            <w:r>
              <w:rPr>
                <w:color w:val="000000"/>
                <w:lang w:eastAsia="en-US"/>
              </w:rPr>
              <w:t>.</w:t>
            </w:r>
          </w:p>
        </w:tc>
        <w:tc>
          <w:tcPr>
            <w:tcW w:w="5670" w:type="dxa"/>
            <w:tcBorders>
              <w:top w:val="nil"/>
              <w:left w:val="nil"/>
              <w:bottom w:val="single" w:sz="4" w:space="0" w:color="auto"/>
              <w:right w:val="single" w:sz="4" w:space="0" w:color="auto"/>
            </w:tcBorders>
            <w:shd w:val="clear" w:color="000000" w:fill="FFFFFF"/>
            <w:vAlign w:val="center"/>
            <w:hideMark/>
          </w:tcPr>
          <w:p w14:paraId="0999145E" w14:textId="77777777" w:rsidR="001343E4" w:rsidRPr="001343E4" w:rsidRDefault="001343E4" w:rsidP="001343E4">
            <w:pPr>
              <w:rPr>
                <w:lang w:eastAsia="en-US"/>
              </w:rPr>
            </w:pPr>
            <w:r w:rsidRPr="001343E4">
              <w:rPr>
                <w:lang w:eastAsia="en-US"/>
              </w:rPr>
              <w:t>Aukštos vertės jutiklio sumontavimas.</w:t>
            </w:r>
          </w:p>
        </w:tc>
        <w:tc>
          <w:tcPr>
            <w:tcW w:w="3402" w:type="dxa"/>
            <w:tcBorders>
              <w:top w:val="nil"/>
              <w:left w:val="nil"/>
              <w:bottom w:val="single" w:sz="4" w:space="0" w:color="auto"/>
              <w:right w:val="single" w:sz="8" w:space="0" w:color="auto"/>
            </w:tcBorders>
            <w:shd w:val="clear" w:color="auto" w:fill="auto"/>
            <w:hideMark/>
          </w:tcPr>
          <w:p w14:paraId="50AF13EB" w14:textId="77777777" w:rsidR="001343E4" w:rsidRPr="001343E4" w:rsidRDefault="001343E4" w:rsidP="001343E4">
            <w:pPr>
              <w:rPr>
                <w:lang w:eastAsia="en-US"/>
              </w:rPr>
            </w:pPr>
            <w:r w:rsidRPr="001343E4">
              <w:rPr>
                <w:lang w:eastAsia="en-US"/>
              </w:rPr>
              <w:t>Oro kompresoriaus išsijungimas ties nustatyta riba 40 Bar.</w:t>
            </w:r>
          </w:p>
        </w:tc>
      </w:tr>
      <w:tr w:rsidR="001343E4" w:rsidRPr="001343E4" w14:paraId="41BB0659" w14:textId="77777777" w:rsidTr="001343E4">
        <w:trPr>
          <w:gridBefore w:val="1"/>
          <w:gridAfter w:val="1"/>
          <w:wBefore w:w="10" w:type="dxa"/>
          <w:wAfter w:w="978" w:type="dxa"/>
          <w:trHeight w:val="330"/>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65D01E50" w14:textId="1C72F963" w:rsidR="001343E4" w:rsidRPr="001343E4" w:rsidRDefault="001343E4" w:rsidP="001343E4">
            <w:pPr>
              <w:jc w:val="center"/>
              <w:rPr>
                <w:color w:val="000000"/>
                <w:lang w:eastAsia="en-US"/>
              </w:rPr>
            </w:pPr>
            <w:r w:rsidRPr="001343E4">
              <w:rPr>
                <w:color w:val="000000"/>
                <w:lang w:eastAsia="en-US"/>
              </w:rPr>
              <w:t>9.3</w:t>
            </w:r>
            <w:r>
              <w:rPr>
                <w:color w:val="000000"/>
                <w:lang w:eastAsia="en-US"/>
              </w:rPr>
              <w:t>.</w:t>
            </w:r>
          </w:p>
        </w:tc>
        <w:tc>
          <w:tcPr>
            <w:tcW w:w="5670" w:type="dxa"/>
            <w:tcBorders>
              <w:top w:val="nil"/>
              <w:left w:val="nil"/>
              <w:bottom w:val="single" w:sz="8" w:space="0" w:color="auto"/>
              <w:right w:val="single" w:sz="4" w:space="0" w:color="auto"/>
            </w:tcBorders>
            <w:shd w:val="clear" w:color="000000" w:fill="FFFFFF"/>
            <w:vAlign w:val="center"/>
            <w:hideMark/>
          </w:tcPr>
          <w:p w14:paraId="7C27D0C1" w14:textId="77777777" w:rsidR="001343E4" w:rsidRPr="001343E4" w:rsidRDefault="001343E4" w:rsidP="001343E4">
            <w:pPr>
              <w:rPr>
                <w:lang w:eastAsia="en-US"/>
              </w:rPr>
            </w:pPr>
            <w:r w:rsidRPr="001343E4">
              <w:rPr>
                <w:lang w:eastAsia="en-US"/>
              </w:rPr>
              <w:t>Pritaikymas esamai sistemai, kad veiktų automatiškai.</w:t>
            </w:r>
          </w:p>
        </w:tc>
        <w:tc>
          <w:tcPr>
            <w:tcW w:w="3402" w:type="dxa"/>
            <w:tcBorders>
              <w:top w:val="nil"/>
              <w:left w:val="nil"/>
              <w:bottom w:val="single" w:sz="8" w:space="0" w:color="auto"/>
              <w:right w:val="single" w:sz="8" w:space="0" w:color="auto"/>
            </w:tcBorders>
            <w:shd w:val="clear" w:color="auto" w:fill="auto"/>
            <w:hideMark/>
          </w:tcPr>
          <w:p w14:paraId="1E807952" w14:textId="77777777" w:rsidR="001343E4" w:rsidRPr="001343E4" w:rsidRDefault="001343E4" w:rsidP="001343E4">
            <w:pPr>
              <w:rPr>
                <w:lang w:eastAsia="en-US"/>
              </w:rPr>
            </w:pPr>
            <w:r w:rsidRPr="001343E4">
              <w:rPr>
                <w:lang w:eastAsia="en-US"/>
              </w:rPr>
              <w:t> </w:t>
            </w:r>
          </w:p>
        </w:tc>
      </w:tr>
      <w:tr w:rsidR="001343E4" w:rsidRPr="001343E4" w14:paraId="7CEBD2F5" w14:textId="77777777" w:rsidTr="001343E4">
        <w:trPr>
          <w:gridBefore w:val="1"/>
          <w:gridAfter w:val="1"/>
          <w:wBefore w:w="10" w:type="dxa"/>
          <w:wAfter w:w="978" w:type="dxa"/>
          <w:trHeight w:val="300"/>
        </w:trPr>
        <w:tc>
          <w:tcPr>
            <w:tcW w:w="9771"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3EEF49B7" w14:textId="77777777" w:rsidR="001343E4" w:rsidRPr="001343E4" w:rsidRDefault="001343E4" w:rsidP="001343E4">
            <w:pPr>
              <w:jc w:val="center"/>
              <w:rPr>
                <w:b/>
                <w:bCs/>
                <w:lang w:eastAsia="en-US"/>
              </w:rPr>
            </w:pPr>
            <w:r w:rsidRPr="001343E4">
              <w:rPr>
                <w:b/>
                <w:bCs/>
                <w:lang w:eastAsia="en-US"/>
              </w:rPr>
              <w:t>Papildoma informacija</w:t>
            </w:r>
          </w:p>
        </w:tc>
      </w:tr>
      <w:tr w:rsidR="001343E4" w:rsidRPr="001343E4" w14:paraId="62FBFA26" w14:textId="77777777" w:rsidTr="001343E4">
        <w:trPr>
          <w:gridBefore w:val="1"/>
          <w:gridAfter w:val="1"/>
          <w:wBefore w:w="10" w:type="dxa"/>
          <w:wAfter w:w="978" w:type="dxa"/>
          <w:trHeight w:val="675"/>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E090D44" w14:textId="30882C57" w:rsidR="001343E4" w:rsidRPr="001343E4" w:rsidRDefault="001343E4" w:rsidP="001343E4">
            <w:pPr>
              <w:jc w:val="center"/>
              <w:rPr>
                <w:lang w:eastAsia="en-US"/>
              </w:rPr>
            </w:pPr>
            <w:r w:rsidRPr="001343E4">
              <w:rPr>
                <w:lang w:eastAsia="en-US"/>
              </w:rPr>
              <w:t>1</w:t>
            </w:r>
            <w:r>
              <w:rPr>
                <w:lang w:eastAsia="en-US"/>
              </w:rPr>
              <w:t>.</w:t>
            </w:r>
          </w:p>
        </w:tc>
        <w:tc>
          <w:tcPr>
            <w:tcW w:w="5670" w:type="dxa"/>
            <w:tcBorders>
              <w:top w:val="single" w:sz="8" w:space="0" w:color="auto"/>
              <w:left w:val="nil"/>
              <w:bottom w:val="single" w:sz="4" w:space="0" w:color="auto"/>
              <w:right w:val="single" w:sz="4" w:space="0" w:color="auto"/>
            </w:tcBorders>
            <w:shd w:val="clear" w:color="auto" w:fill="auto"/>
            <w:vAlign w:val="bottom"/>
            <w:hideMark/>
          </w:tcPr>
          <w:p w14:paraId="3C4EEB1B" w14:textId="77777777" w:rsidR="001343E4" w:rsidRPr="001343E4" w:rsidRDefault="001343E4" w:rsidP="001343E4">
            <w:pPr>
              <w:rPr>
                <w:lang w:eastAsia="en-US"/>
              </w:rPr>
            </w:pPr>
            <w:r w:rsidRPr="001343E4">
              <w:rPr>
                <w:lang w:eastAsia="en-US"/>
              </w:rPr>
              <w:t>Tiekėjas atliktai paslaugai ir sumontuotiems naujiems komponentams turi suteikti ne trumpesnį kaip 12 mėn. garantinį laikotarpį nuo darbų atlikimo datos.</w:t>
            </w:r>
          </w:p>
        </w:tc>
        <w:tc>
          <w:tcPr>
            <w:tcW w:w="3402" w:type="dxa"/>
            <w:tcBorders>
              <w:top w:val="single" w:sz="8" w:space="0" w:color="auto"/>
              <w:left w:val="nil"/>
              <w:bottom w:val="single" w:sz="4" w:space="0" w:color="auto"/>
              <w:right w:val="single" w:sz="8" w:space="0" w:color="auto"/>
            </w:tcBorders>
            <w:shd w:val="clear" w:color="auto" w:fill="auto"/>
            <w:noWrap/>
            <w:vAlign w:val="center"/>
            <w:hideMark/>
          </w:tcPr>
          <w:p w14:paraId="3A9E38F6" w14:textId="77777777" w:rsidR="001343E4" w:rsidRPr="001343E4" w:rsidRDefault="001343E4" w:rsidP="001343E4">
            <w:pPr>
              <w:jc w:val="center"/>
              <w:rPr>
                <w:b/>
                <w:bCs/>
                <w:lang w:eastAsia="en-US"/>
              </w:rPr>
            </w:pPr>
            <w:r w:rsidRPr="001343E4">
              <w:rPr>
                <w:b/>
                <w:bCs/>
                <w:lang w:eastAsia="en-US"/>
              </w:rPr>
              <w:t> </w:t>
            </w:r>
          </w:p>
        </w:tc>
      </w:tr>
      <w:tr w:rsidR="001343E4" w:rsidRPr="001343E4" w14:paraId="0CCEA55C" w14:textId="77777777" w:rsidTr="001343E4">
        <w:trPr>
          <w:gridBefore w:val="1"/>
          <w:gridAfter w:val="1"/>
          <w:wBefore w:w="10" w:type="dxa"/>
          <w:wAfter w:w="978" w:type="dxa"/>
          <w:trHeight w:val="345"/>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7B87A43" w14:textId="415AECCC" w:rsidR="001343E4" w:rsidRPr="001343E4" w:rsidRDefault="001343E4" w:rsidP="001343E4">
            <w:pPr>
              <w:jc w:val="center"/>
              <w:rPr>
                <w:lang w:eastAsia="en-US"/>
              </w:rPr>
            </w:pPr>
            <w:r w:rsidRPr="001343E4">
              <w:rPr>
                <w:lang w:eastAsia="en-US"/>
              </w:rPr>
              <w:t>2</w:t>
            </w:r>
            <w:r>
              <w:rPr>
                <w:lang w:eastAsia="en-US"/>
              </w:rPr>
              <w:t>.</w:t>
            </w:r>
          </w:p>
        </w:tc>
        <w:tc>
          <w:tcPr>
            <w:tcW w:w="5670" w:type="dxa"/>
            <w:tcBorders>
              <w:top w:val="nil"/>
              <w:left w:val="nil"/>
              <w:bottom w:val="single" w:sz="4" w:space="0" w:color="auto"/>
              <w:right w:val="single" w:sz="4" w:space="0" w:color="auto"/>
            </w:tcBorders>
            <w:shd w:val="clear" w:color="auto" w:fill="auto"/>
            <w:vAlign w:val="bottom"/>
            <w:hideMark/>
          </w:tcPr>
          <w:p w14:paraId="7B376335" w14:textId="77777777" w:rsidR="001343E4" w:rsidRPr="001343E4" w:rsidRDefault="001343E4" w:rsidP="001343E4">
            <w:pPr>
              <w:rPr>
                <w:color w:val="000000"/>
                <w:lang w:eastAsia="en-US"/>
              </w:rPr>
            </w:pPr>
            <w:r w:rsidRPr="001343E4">
              <w:rPr>
                <w:color w:val="000000"/>
                <w:lang w:eastAsia="en-US"/>
              </w:rPr>
              <w:t>Sistemoje montuojamos dalys ir komponentai turi būti nauji, nenaudoti.</w:t>
            </w:r>
          </w:p>
        </w:tc>
        <w:tc>
          <w:tcPr>
            <w:tcW w:w="3402" w:type="dxa"/>
            <w:tcBorders>
              <w:top w:val="nil"/>
              <w:left w:val="nil"/>
              <w:bottom w:val="single" w:sz="4" w:space="0" w:color="auto"/>
              <w:right w:val="single" w:sz="8" w:space="0" w:color="auto"/>
            </w:tcBorders>
            <w:shd w:val="clear" w:color="auto" w:fill="auto"/>
            <w:noWrap/>
            <w:vAlign w:val="center"/>
            <w:hideMark/>
          </w:tcPr>
          <w:p w14:paraId="16E5E6A9" w14:textId="77777777" w:rsidR="001343E4" w:rsidRPr="001343E4" w:rsidRDefault="001343E4" w:rsidP="001343E4">
            <w:pPr>
              <w:jc w:val="center"/>
              <w:rPr>
                <w:lang w:eastAsia="en-US"/>
              </w:rPr>
            </w:pPr>
            <w:r w:rsidRPr="001343E4">
              <w:rPr>
                <w:lang w:eastAsia="en-US"/>
              </w:rPr>
              <w:t> </w:t>
            </w:r>
          </w:p>
        </w:tc>
      </w:tr>
      <w:tr w:rsidR="001343E4" w:rsidRPr="001343E4" w14:paraId="587D86CE" w14:textId="77777777" w:rsidTr="001343E4">
        <w:trPr>
          <w:gridBefore w:val="1"/>
          <w:gridAfter w:val="1"/>
          <w:wBefore w:w="10" w:type="dxa"/>
          <w:wAfter w:w="978" w:type="dxa"/>
          <w:trHeight w:val="675"/>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EAA643B" w14:textId="30DCBC68" w:rsidR="001343E4" w:rsidRPr="001343E4" w:rsidRDefault="001343E4" w:rsidP="001343E4">
            <w:pPr>
              <w:jc w:val="center"/>
              <w:rPr>
                <w:lang w:eastAsia="en-US"/>
              </w:rPr>
            </w:pPr>
            <w:r w:rsidRPr="001343E4">
              <w:rPr>
                <w:lang w:eastAsia="en-US"/>
              </w:rPr>
              <w:t>3</w:t>
            </w:r>
            <w:r>
              <w:rPr>
                <w:lang w:eastAsia="en-US"/>
              </w:rPr>
              <w:t>.</w:t>
            </w:r>
          </w:p>
        </w:tc>
        <w:tc>
          <w:tcPr>
            <w:tcW w:w="5670" w:type="dxa"/>
            <w:tcBorders>
              <w:top w:val="nil"/>
              <w:left w:val="nil"/>
              <w:bottom w:val="single" w:sz="4" w:space="0" w:color="auto"/>
              <w:right w:val="single" w:sz="4" w:space="0" w:color="auto"/>
            </w:tcBorders>
            <w:shd w:val="clear" w:color="auto" w:fill="auto"/>
            <w:vAlign w:val="bottom"/>
            <w:hideMark/>
          </w:tcPr>
          <w:p w14:paraId="19D412EA" w14:textId="77777777" w:rsidR="001343E4" w:rsidRPr="001343E4" w:rsidRDefault="001343E4" w:rsidP="001343E4">
            <w:pPr>
              <w:rPr>
                <w:color w:val="000000"/>
                <w:lang w:eastAsia="en-US"/>
              </w:rPr>
            </w:pPr>
            <w:r w:rsidRPr="001343E4">
              <w:rPr>
                <w:color w:val="000000"/>
                <w:lang w:eastAsia="en-US"/>
              </w:rPr>
              <w:t>Visos atsarginės dalys, medžiagos, įrankiai, kitos priemonės būtinos techninėje specifikacijoje nurodytiems darbams atlikti, paslaugos Tiekėjo lėšomis ir atsakomybe.</w:t>
            </w:r>
          </w:p>
        </w:tc>
        <w:tc>
          <w:tcPr>
            <w:tcW w:w="3402" w:type="dxa"/>
            <w:tcBorders>
              <w:top w:val="nil"/>
              <w:left w:val="nil"/>
              <w:bottom w:val="single" w:sz="4" w:space="0" w:color="auto"/>
              <w:right w:val="single" w:sz="8" w:space="0" w:color="auto"/>
            </w:tcBorders>
            <w:shd w:val="clear" w:color="auto" w:fill="auto"/>
            <w:noWrap/>
            <w:vAlign w:val="center"/>
            <w:hideMark/>
          </w:tcPr>
          <w:p w14:paraId="77E648A3" w14:textId="77777777" w:rsidR="001343E4" w:rsidRPr="001343E4" w:rsidRDefault="001343E4" w:rsidP="001343E4">
            <w:pPr>
              <w:jc w:val="center"/>
              <w:rPr>
                <w:lang w:eastAsia="en-US"/>
              </w:rPr>
            </w:pPr>
            <w:r w:rsidRPr="001343E4">
              <w:rPr>
                <w:lang w:eastAsia="en-US"/>
              </w:rPr>
              <w:t> </w:t>
            </w:r>
          </w:p>
        </w:tc>
      </w:tr>
      <w:tr w:rsidR="001343E4" w:rsidRPr="001343E4" w14:paraId="44554B19" w14:textId="77777777" w:rsidTr="001343E4">
        <w:trPr>
          <w:gridBefore w:val="1"/>
          <w:gridAfter w:val="1"/>
          <w:wBefore w:w="10" w:type="dxa"/>
          <w:wAfter w:w="978" w:type="dxa"/>
          <w:trHeight w:val="315"/>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2A974C2" w14:textId="1A0566F0" w:rsidR="001343E4" w:rsidRPr="001343E4" w:rsidRDefault="001343E4" w:rsidP="001343E4">
            <w:pPr>
              <w:jc w:val="center"/>
              <w:rPr>
                <w:lang w:eastAsia="en-US"/>
              </w:rPr>
            </w:pPr>
            <w:r w:rsidRPr="001343E4">
              <w:rPr>
                <w:lang w:eastAsia="en-US"/>
              </w:rPr>
              <w:t>4</w:t>
            </w:r>
            <w:r>
              <w:rPr>
                <w:lang w:eastAsia="en-US"/>
              </w:rPr>
              <w:t>.</w:t>
            </w:r>
          </w:p>
        </w:tc>
        <w:tc>
          <w:tcPr>
            <w:tcW w:w="5670" w:type="dxa"/>
            <w:tcBorders>
              <w:top w:val="nil"/>
              <w:left w:val="nil"/>
              <w:bottom w:val="single" w:sz="4" w:space="0" w:color="auto"/>
              <w:right w:val="single" w:sz="4" w:space="0" w:color="auto"/>
            </w:tcBorders>
            <w:shd w:val="clear" w:color="000000" w:fill="FFFFFF"/>
            <w:vAlign w:val="center"/>
            <w:hideMark/>
          </w:tcPr>
          <w:p w14:paraId="19F13435" w14:textId="77777777" w:rsidR="001343E4" w:rsidRPr="001343E4" w:rsidRDefault="001343E4" w:rsidP="001343E4">
            <w:pPr>
              <w:rPr>
                <w:lang w:eastAsia="en-US"/>
              </w:rPr>
            </w:pPr>
            <w:r w:rsidRPr="001343E4">
              <w:rPr>
                <w:lang w:eastAsia="en-US"/>
              </w:rPr>
              <w:t>Paslauga tiekiama Klaipėdos mieste, užsakovo nurodytu adresu.</w:t>
            </w:r>
          </w:p>
        </w:tc>
        <w:tc>
          <w:tcPr>
            <w:tcW w:w="3402" w:type="dxa"/>
            <w:tcBorders>
              <w:top w:val="nil"/>
              <w:left w:val="nil"/>
              <w:bottom w:val="single" w:sz="4" w:space="0" w:color="auto"/>
              <w:right w:val="single" w:sz="8" w:space="0" w:color="auto"/>
            </w:tcBorders>
            <w:shd w:val="clear" w:color="auto" w:fill="auto"/>
            <w:noWrap/>
            <w:vAlign w:val="center"/>
            <w:hideMark/>
          </w:tcPr>
          <w:p w14:paraId="556CA726" w14:textId="77777777" w:rsidR="001343E4" w:rsidRPr="001343E4" w:rsidRDefault="001343E4" w:rsidP="001343E4">
            <w:pPr>
              <w:jc w:val="center"/>
              <w:rPr>
                <w:lang w:eastAsia="en-US"/>
              </w:rPr>
            </w:pPr>
            <w:r w:rsidRPr="001343E4">
              <w:rPr>
                <w:lang w:eastAsia="en-US"/>
              </w:rPr>
              <w:t> </w:t>
            </w:r>
          </w:p>
        </w:tc>
      </w:tr>
      <w:tr w:rsidR="001343E4" w:rsidRPr="001343E4" w14:paraId="6387FA37" w14:textId="77777777" w:rsidTr="001343E4">
        <w:trPr>
          <w:gridBefore w:val="1"/>
          <w:gridAfter w:val="1"/>
          <w:wBefore w:w="10" w:type="dxa"/>
          <w:wAfter w:w="978" w:type="dxa"/>
          <w:trHeight w:val="1590"/>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172EE64F" w14:textId="7812FED8" w:rsidR="001343E4" w:rsidRPr="001343E4" w:rsidRDefault="001343E4" w:rsidP="001343E4">
            <w:pPr>
              <w:jc w:val="center"/>
              <w:rPr>
                <w:lang w:eastAsia="en-US"/>
              </w:rPr>
            </w:pPr>
            <w:r w:rsidRPr="001343E4">
              <w:rPr>
                <w:lang w:eastAsia="en-US"/>
              </w:rPr>
              <w:t>5</w:t>
            </w:r>
            <w:r>
              <w:rPr>
                <w:lang w:eastAsia="en-US"/>
              </w:rPr>
              <w:t>.</w:t>
            </w:r>
          </w:p>
        </w:tc>
        <w:tc>
          <w:tcPr>
            <w:tcW w:w="5670" w:type="dxa"/>
            <w:tcBorders>
              <w:top w:val="nil"/>
              <w:left w:val="nil"/>
              <w:bottom w:val="single" w:sz="8" w:space="0" w:color="auto"/>
              <w:right w:val="single" w:sz="4" w:space="0" w:color="auto"/>
            </w:tcBorders>
            <w:shd w:val="clear" w:color="000000" w:fill="FFFFFF"/>
            <w:vAlign w:val="center"/>
            <w:hideMark/>
          </w:tcPr>
          <w:p w14:paraId="7D463192" w14:textId="77777777" w:rsidR="001343E4" w:rsidRPr="001343E4" w:rsidRDefault="001343E4" w:rsidP="001343E4">
            <w:pPr>
              <w:rPr>
                <w:lang w:eastAsia="en-US"/>
              </w:rPr>
            </w:pPr>
            <w:r w:rsidRPr="001343E4">
              <w:rPr>
                <w:lang w:eastAsia="en-US"/>
              </w:rPr>
              <w:t>Darbai ir veiksmai, būtini specifikacijoje nurodytam darbui atlikti įskaitant darbo aplinkos paruošimą, trukdančių įrengimų ar kitų elementų laikiną pašalinimą atliekami Tiekėjo sąskaita, po specifikacijoje nurodytų darbų atlikimo grąžinant trukdančius įrengimus ar kitus elementus į pradinį stovį. Pažeidus ar sugadinus bet kokią laivo dalį remonto darbai atliekami Tiekėjo sąskaita.</w:t>
            </w:r>
          </w:p>
        </w:tc>
        <w:tc>
          <w:tcPr>
            <w:tcW w:w="3402" w:type="dxa"/>
            <w:tcBorders>
              <w:top w:val="nil"/>
              <w:left w:val="nil"/>
              <w:bottom w:val="single" w:sz="8" w:space="0" w:color="auto"/>
              <w:right w:val="single" w:sz="8" w:space="0" w:color="auto"/>
            </w:tcBorders>
            <w:shd w:val="clear" w:color="auto" w:fill="auto"/>
            <w:noWrap/>
            <w:vAlign w:val="center"/>
            <w:hideMark/>
          </w:tcPr>
          <w:p w14:paraId="08E8BC2F" w14:textId="77777777" w:rsidR="001343E4" w:rsidRPr="001343E4" w:rsidRDefault="001343E4" w:rsidP="001343E4">
            <w:pPr>
              <w:jc w:val="center"/>
              <w:rPr>
                <w:lang w:eastAsia="en-US"/>
              </w:rPr>
            </w:pPr>
            <w:r w:rsidRPr="001343E4">
              <w:rPr>
                <w:lang w:eastAsia="en-US"/>
              </w:rPr>
              <w:t> </w:t>
            </w:r>
          </w:p>
        </w:tc>
      </w:tr>
    </w:tbl>
    <w:p w14:paraId="32BD01F2" w14:textId="26F0E49B" w:rsidR="00511F14" w:rsidRDefault="00511F14" w:rsidP="006956D6">
      <w:pPr>
        <w:pStyle w:val="BodyText1"/>
        <w:ind w:firstLine="0"/>
        <w:rPr>
          <w:rFonts w:ascii="Times New Roman" w:hAnsi="Times New Roman"/>
          <w:sz w:val="24"/>
          <w:szCs w:val="24"/>
          <w:lang w:val="lt-LT"/>
        </w:rPr>
      </w:pPr>
    </w:p>
    <w:p w14:paraId="027ED139" w14:textId="77777777" w:rsidR="007A7C48" w:rsidRDefault="007A7C48" w:rsidP="006956D6">
      <w:pPr>
        <w:pStyle w:val="BodyText1"/>
        <w:ind w:firstLine="0"/>
        <w:rPr>
          <w:rFonts w:ascii="Times New Roman" w:hAnsi="Times New Roman"/>
          <w:sz w:val="24"/>
          <w:szCs w:val="24"/>
          <w:lang w:val="lt-LT"/>
        </w:rPr>
      </w:pPr>
    </w:p>
    <w:p w14:paraId="4F7AC8FB" w14:textId="7C343D8E" w:rsidR="006956D6" w:rsidRPr="007A7C48" w:rsidRDefault="007A7C48" w:rsidP="006956D6">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6956D6" w:rsidRPr="007A7C48">
        <w:rPr>
          <w:rFonts w:ascii="Times New Roman" w:hAnsi="Times New Roman"/>
          <w:b/>
          <w:sz w:val="24"/>
          <w:szCs w:val="24"/>
          <w:lang w:val="lt-LT"/>
        </w:rPr>
        <w:t>TEIKĖJAS</w:t>
      </w:r>
    </w:p>
    <w:p w14:paraId="347D2491" w14:textId="77777777" w:rsidR="006956D6" w:rsidRDefault="006956D6" w:rsidP="006956D6">
      <w:pPr>
        <w:rPr>
          <w:b/>
        </w:rPr>
      </w:pPr>
    </w:p>
    <w:p w14:paraId="3FF0B148" w14:textId="77777777" w:rsidR="006956D6" w:rsidRDefault="006956D6" w:rsidP="006956D6">
      <w:pPr>
        <w:rPr>
          <w:b/>
        </w:rPr>
      </w:pPr>
    </w:p>
    <w:p w14:paraId="0FCDF27F" w14:textId="77777777" w:rsidR="006956D6" w:rsidRDefault="006956D6" w:rsidP="006956D6">
      <w:r>
        <w:t>A. V.</w:t>
      </w:r>
      <w:r>
        <w:tab/>
      </w:r>
    </w:p>
    <w:p w14:paraId="6ADCB5B8" w14:textId="77777777" w:rsidR="006956D6" w:rsidRDefault="006956D6" w:rsidP="0013714B"/>
    <w:p w14:paraId="30344DE7" w14:textId="77777777" w:rsidR="006956D6" w:rsidRPr="006956D6" w:rsidRDefault="006956D6" w:rsidP="007573FC"/>
    <w:sectPr w:rsidR="006956D6" w:rsidRPr="006956D6" w:rsidSect="00BE2504">
      <w:headerReference w:type="even" r:id="rId8"/>
      <w:headerReference w:type="default" r:id="rId9"/>
      <w:pgSz w:w="11906" w:h="16838"/>
      <w:pgMar w:top="709"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6FAF" w14:textId="77777777" w:rsidR="00071767" w:rsidRDefault="00071767">
      <w:r>
        <w:separator/>
      </w:r>
    </w:p>
  </w:endnote>
  <w:endnote w:type="continuationSeparator" w:id="0">
    <w:p w14:paraId="0B04A528" w14:textId="77777777" w:rsidR="00071767" w:rsidRDefault="0007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0370E" w14:textId="77777777" w:rsidR="00071767" w:rsidRDefault="00071767">
      <w:r>
        <w:separator/>
      </w:r>
    </w:p>
  </w:footnote>
  <w:footnote w:type="continuationSeparator" w:id="0">
    <w:p w14:paraId="314BF8CE" w14:textId="77777777" w:rsidR="00071767" w:rsidRDefault="00071767">
      <w:r>
        <w:continuationSeparator/>
      </w:r>
    </w:p>
  </w:footnote>
  <w:footnote w:id="1">
    <w:p w14:paraId="2B7718B4" w14:textId="77777777" w:rsidR="00906F19" w:rsidRDefault="00906F1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906F19" w:rsidRDefault="00906F1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906F19" w:rsidRDefault="00906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144103CA" w:rsidR="00906F19" w:rsidRDefault="00906F19">
    <w:pPr>
      <w:pStyle w:val="Header"/>
      <w:jc w:val="center"/>
    </w:pPr>
    <w:r>
      <w:fldChar w:fldCharType="begin"/>
    </w:r>
    <w:r>
      <w:instrText>PAGE   \* MERGEFORMAT</w:instrText>
    </w:r>
    <w:r>
      <w:fldChar w:fldCharType="separate"/>
    </w:r>
    <w:r w:rsidR="00462FCB">
      <w:rPr>
        <w:noProof/>
      </w:rPr>
      <w:t>2</w:t>
    </w:r>
    <w:r>
      <w:fldChar w:fldCharType="end"/>
    </w:r>
  </w:p>
  <w:p w14:paraId="715A1719" w14:textId="77777777" w:rsidR="00906F19" w:rsidRDefault="00906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17"/>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1767"/>
    <w:rsid w:val="000760E7"/>
    <w:rsid w:val="0007692D"/>
    <w:rsid w:val="000810B4"/>
    <w:rsid w:val="00081861"/>
    <w:rsid w:val="00085219"/>
    <w:rsid w:val="00085968"/>
    <w:rsid w:val="00085CD2"/>
    <w:rsid w:val="00090732"/>
    <w:rsid w:val="00092783"/>
    <w:rsid w:val="0009682D"/>
    <w:rsid w:val="000A7D31"/>
    <w:rsid w:val="000B42CF"/>
    <w:rsid w:val="000C2EF7"/>
    <w:rsid w:val="000C3C8E"/>
    <w:rsid w:val="000C56CF"/>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3E4"/>
    <w:rsid w:val="00134EA0"/>
    <w:rsid w:val="0013714B"/>
    <w:rsid w:val="00140424"/>
    <w:rsid w:val="00140556"/>
    <w:rsid w:val="00140EF8"/>
    <w:rsid w:val="00151AA4"/>
    <w:rsid w:val="0015374E"/>
    <w:rsid w:val="00153BD3"/>
    <w:rsid w:val="00155881"/>
    <w:rsid w:val="001567E0"/>
    <w:rsid w:val="001608D7"/>
    <w:rsid w:val="00161C3F"/>
    <w:rsid w:val="00161EAC"/>
    <w:rsid w:val="00164811"/>
    <w:rsid w:val="00164D40"/>
    <w:rsid w:val="00170B08"/>
    <w:rsid w:val="00170D3B"/>
    <w:rsid w:val="00175622"/>
    <w:rsid w:val="001768C8"/>
    <w:rsid w:val="00180313"/>
    <w:rsid w:val="00182221"/>
    <w:rsid w:val="00184A4C"/>
    <w:rsid w:val="001956A6"/>
    <w:rsid w:val="001968E9"/>
    <w:rsid w:val="001A3760"/>
    <w:rsid w:val="001A4291"/>
    <w:rsid w:val="001A7B7D"/>
    <w:rsid w:val="001B14A6"/>
    <w:rsid w:val="001B1E97"/>
    <w:rsid w:val="001B473A"/>
    <w:rsid w:val="001C1A9E"/>
    <w:rsid w:val="001C39A9"/>
    <w:rsid w:val="001C4405"/>
    <w:rsid w:val="001C756B"/>
    <w:rsid w:val="001D29C1"/>
    <w:rsid w:val="001D52B7"/>
    <w:rsid w:val="001E2C99"/>
    <w:rsid w:val="001E2FB7"/>
    <w:rsid w:val="001E37B8"/>
    <w:rsid w:val="001E58A3"/>
    <w:rsid w:val="002035B2"/>
    <w:rsid w:val="00207DD3"/>
    <w:rsid w:val="00211220"/>
    <w:rsid w:val="0021235C"/>
    <w:rsid w:val="002127B9"/>
    <w:rsid w:val="00215952"/>
    <w:rsid w:val="002166BE"/>
    <w:rsid w:val="00216B9D"/>
    <w:rsid w:val="00220E4A"/>
    <w:rsid w:val="0022433C"/>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0AA"/>
    <w:rsid w:val="002B0141"/>
    <w:rsid w:val="002B242B"/>
    <w:rsid w:val="002B601C"/>
    <w:rsid w:val="002B6A7C"/>
    <w:rsid w:val="002B7628"/>
    <w:rsid w:val="002C5032"/>
    <w:rsid w:val="002C562E"/>
    <w:rsid w:val="002D54CF"/>
    <w:rsid w:val="002E0CFE"/>
    <w:rsid w:val="002E158A"/>
    <w:rsid w:val="002E192F"/>
    <w:rsid w:val="002E2C5C"/>
    <w:rsid w:val="002F6AC9"/>
    <w:rsid w:val="002F7051"/>
    <w:rsid w:val="002F7A63"/>
    <w:rsid w:val="00302AA7"/>
    <w:rsid w:val="00314E97"/>
    <w:rsid w:val="003230E2"/>
    <w:rsid w:val="00324EE5"/>
    <w:rsid w:val="003303C9"/>
    <w:rsid w:val="003315AD"/>
    <w:rsid w:val="00331966"/>
    <w:rsid w:val="003341DB"/>
    <w:rsid w:val="00350ADC"/>
    <w:rsid w:val="003511D6"/>
    <w:rsid w:val="00354A22"/>
    <w:rsid w:val="00356308"/>
    <w:rsid w:val="00363786"/>
    <w:rsid w:val="00364D48"/>
    <w:rsid w:val="003672FE"/>
    <w:rsid w:val="00372210"/>
    <w:rsid w:val="0037682E"/>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77CA"/>
    <w:rsid w:val="003D14A2"/>
    <w:rsid w:val="003D3C4A"/>
    <w:rsid w:val="003D6975"/>
    <w:rsid w:val="003E04CF"/>
    <w:rsid w:val="003E14F0"/>
    <w:rsid w:val="003E3689"/>
    <w:rsid w:val="003E3C7A"/>
    <w:rsid w:val="003E3D28"/>
    <w:rsid w:val="003E426D"/>
    <w:rsid w:val="003E64E2"/>
    <w:rsid w:val="003F43C9"/>
    <w:rsid w:val="003F54A8"/>
    <w:rsid w:val="003F755B"/>
    <w:rsid w:val="004028C8"/>
    <w:rsid w:val="0041227B"/>
    <w:rsid w:val="00417F8D"/>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2FCB"/>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1F14"/>
    <w:rsid w:val="0051309D"/>
    <w:rsid w:val="00513960"/>
    <w:rsid w:val="00515FB4"/>
    <w:rsid w:val="00516509"/>
    <w:rsid w:val="00531948"/>
    <w:rsid w:val="00542ABC"/>
    <w:rsid w:val="005433D8"/>
    <w:rsid w:val="00543EA4"/>
    <w:rsid w:val="00550E07"/>
    <w:rsid w:val="005565B3"/>
    <w:rsid w:val="00560810"/>
    <w:rsid w:val="00562B76"/>
    <w:rsid w:val="005656ED"/>
    <w:rsid w:val="00570D6C"/>
    <w:rsid w:val="00572DB8"/>
    <w:rsid w:val="005764B3"/>
    <w:rsid w:val="005828D0"/>
    <w:rsid w:val="00582DD0"/>
    <w:rsid w:val="005920C6"/>
    <w:rsid w:val="005A167F"/>
    <w:rsid w:val="005A1C01"/>
    <w:rsid w:val="005B5E33"/>
    <w:rsid w:val="005C2463"/>
    <w:rsid w:val="005C29A5"/>
    <w:rsid w:val="005C325F"/>
    <w:rsid w:val="005C4356"/>
    <w:rsid w:val="005D029C"/>
    <w:rsid w:val="005D045D"/>
    <w:rsid w:val="005D2FD7"/>
    <w:rsid w:val="005D5E6A"/>
    <w:rsid w:val="005E606E"/>
    <w:rsid w:val="005E627E"/>
    <w:rsid w:val="005E6BEF"/>
    <w:rsid w:val="005E72B1"/>
    <w:rsid w:val="005F19EC"/>
    <w:rsid w:val="005F5F76"/>
    <w:rsid w:val="006035C7"/>
    <w:rsid w:val="00603D2E"/>
    <w:rsid w:val="0060411F"/>
    <w:rsid w:val="0060496D"/>
    <w:rsid w:val="00605AD6"/>
    <w:rsid w:val="006103E1"/>
    <w:rsid w:val="00615ED2"/>
    <w:rsid w:val="006179F7"/>
    <w:rsid w:val="006179FB"/>
    <w:rsid w:val="00622D50"/>
    <w:rsid w:val="00623015"/>
    <w:rsid w:val="006241CF"/>
    <w:rsid w:val="00631F23"/>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6CD6"/>
    <w:rsid w:val="007404F0"/>
    <w:rsid w:val="0074128E"/>
    <w:rsid w:val="00743A91"/>
    <w:rsid w:val="00751D78"/>
    <w:rsid w:val="00756B4F"/>
    <w:rsid w:val="007573FC"/>
    <w:rsid w:val="00761264"/>
    <w:rsid w:val="00764763"/>
    <w:rsid w:val="007648E2"/>
    <w:rsid w:val="00771A25"/>
    <w:rsid w:val="0077218D"/>
    <w:rsid w:val="00774617"/>
    <w:rsid w:val="00775E3A"/>
    <w:rsid w:val="0079345C"/>
    <w:rsid w:val="007936E4"/>
    <w:rsid w:val="00796BED"/>
    <w:rsid w:val="007A29B2"/>
    <w:rsid w:val="007A2C84"/>
    <w:rsid w:val="007A7C48"/>
    <w:rsid w:val="007A7C7C"/>
    <w:rsid w:val="007B1CB8"/>
    <w:rsid w:val="007B421F"/>
    <w:rsid w:val="007B6244"/>
    <w:rsid w:val="007B667E"/>
    <w:rsid w:val="007B66DB"/>
    <w:rsid w:val="007B6B43"/>
    <w:rsid w:val="007C0AFD"/>
    <w:rsid w:val="007C738A"/>
    <w:rsid w:val="007D0D5D"/>
    <w:rsid w:val="007D28EB"/>
    <w:rsid w:val="007D398F"/>
    <w:rsid w:val="007E58F0"/>
    <w:rsid w:val="007F3FDA"/>
    <w:rsid w:val="007F723F"/>
    <w:rsid w:val="008007EA"/>
    <w:rsid w:val="00803CFE"/>
    <w:rsid w:val="008046F2"/>
    <w:rsid w:val="008051A9"/>
    <w:rsid w:val="00805E3F"/>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B25CA"/>
    <w:rsid w:val="008B6661"/>
    <w:rsid w:val="008B677C"/>
    <w:rsid w:val="008C0C0A"/>
    <w:rsid w:val="008C6D2F"/>
    <w:rsid w:val="008D1081"/>
    <w:rsid w:val="008D2668"/>
    <w:rsid w:val="008D2997"/>
    <w:rsid w:val="008D600D"/>
    <w:rsid w:val="008D634E"/>
    <w:rsid w:val="008E117F"/>
    <w:rsid w:val="008E30AE"/>
    <w:rsid w:val="008E4F1B"/>
    <w:rsid w:val="008E53E7"/>
    <w:rsid w:val="008F30C9"/>
    <w:rsid w:val="008F3933"/>
    <w:rsid w:val="008F3B0A"/>
    <w:rsid w:val="008F694D"/>
    <w:rsid w:val="00902A94"/>
    <w:rsid w:val="00906F19"/>
    <w:rsid w:val="009116C2"/>
    <w:rsid w:val="00911DDC"/>
    <w:rsid w:val="00911EE3"/>
    <w:rsid w:val="00914129"/>
    <w:rsid w:val="00921672"/>
    <w:rsid w:val="00923A29"/>
    <w:rsid w:val="00923A2E"/>
    <w:rsid w:val="00923EE3"/>
    <w:rsid w:val="00924461"/>
    <w:rsid w:val="00930586"/>
    <w:rsid w:val="00945821"/>
    <w:rsid w:val="009479F2"/>
    <w:rsid w:val="00953DB6"/>
    <w:rsid w:val="00955E11"/>
    <w:rsid w:val="009563D4"/>
    <w:rsid w:val="009617FC"/>
    <w:rsid w:val="00961A1A"/>
    <w:rsid w:val="00961C75"/>
    <w:rsid w:val="00965008"/>
    <w:rsid w:val="009650AD"/>
    <w:rsid w:val="009671C1"/>
    <w:rsid w:val="00971626"/>
    <w:rsid w:val="00976AA4"/>
    <w:rsid w:val="00977A8D"/>
    <w:rsid w:val="009845AC"/>
    <w:rsid w:val="00985465"/>
    <w:rsid w:val="00990AFD"/>
    <w:rsid w:val="00990D9C"/>
    <w:rsid w:val="00994A62"/>
    <w:rsid w:val="009956BF"/>
    <w:rsid w:val="009974E2"/>
    <w:rsid w:val="009A27D5"/>
    <w:rsid w:val="009B0A4F"/>
    <w:rsid w:val="009B4B0D"/>
    <w:rsid w:val="009B50F0"/>
    <w:rsid w:val="009C2878"/>
    <w:rsid w:val="009C4586"/>
    <w:rsid w:val="009C5E4A"/>
    <w:rsid w:val="009D270B"/>
    <w:rsid w:val="009D7713"/>
    <w:rsid w:val="009D7D63"/>
    <w:rsid w:val="009E11FA"/>
    <w:rsid w:val="009E188B"/>
    <w:rsid w:val="009E1DE7"/>
    <w:rsid w:val="009E5C55"/>
    <w:rsid w:val="009F054D"/>
    <w:rsid w:val="009F1E59"/>
    <w:rsid w:val="009F2518"/>
    <w:rsid w:val="009F7ECD"/>
    <w:rsid w:val="00A00364"/>
    <w:rsid w:val="00A003D8"/>
    <w:rsid w:val="00A07057"/>
    <w:rsid w:val="00A12D20"/>
    <w:rsid w:val="00A170FF"/>
    <w:rsid w:val="00A179BF"/>
    <w:rsid w:val="00A221FB"/>
    <w:rsid w:val="00A307D6"/>
    <w:rsid w:val="00A374B7"/>
    <w:rsid w:val="00A418A3"/>
    <w:rsid w:val="00A46006"/>
    <w:rsid w:val="00A46EFB"/>
    <w:rsid w:val="00A47B36"/>
    <w:rsid w:val="00A53097"/>
    <w:rsid w:val="00A54988"/>
    <w:rsid w:val="00A567E1"/>
    <w:rsid w:val="00A5680A"/>
    <w:rsid w:val="00A64A50"/>
    <w:rsid w:val="00A663AD"/>
    <w:rsid w:val="00A745FB"/>
    <w:rsid w:val="00A76C9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2864"/>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1534E"/>
    <w:rsid w:val="00B2260B"/>
    <w:rsid w:val="00B32241"/>
    <w:rsid w:val="00B342D8"/>
    <w:rsid w:val="00B41D7D"/>
    <w:rsid w:val="00B427B1"/>
    <w:rsid w:val="00B5367F"/>
    <w:rsid w:val="00B54971"/>
    <w:rsid w:val="00B5511A"/>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504"/>
    <w:rsid w:val="00BE2AC2"/>
    <w:rsid w:val="00BE3144"/>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509F"/>
    <w:rsid w:val="00CA6A55"/>
    <w:rsid w:val="00CC559A"/>
    <w:rsid w:val="00CC7120"/>
    <w:rsid w:val="00CC766E"/>
    <w:rsid w:val="00CD73D7"/>
    <w:rsid w:val="00CE3FF1"/>
    <w:rsid w:val="00CE5D32"/>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0677"/>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6679"/>
    <w:rsid w:val="00DE7356"/>
    <w:rsid w:val="00DF052B"/>
    <w:rsid w:val="00DF1FD7"/>
    <w:rsid w:val="00DF317C"/>
    <w:rsid w:val="00DF5C90"/>
    <w:rsid w:val="00E02B41"/>
    <w:rsid w:val="00E03C4E"/>
    <w:rsid w:val="00E03CE4"/>
    <w:rsid w:val="00E0683B"/>
    <w:rsid w:val="00E07BD7"/>
    <w:rsid w:val="00E119DB"/>
    <w:rsid w:val="00E2047B"/>
    <w:rsid w:val="00E272B2"/>
    <w:rsid w:val="00E32F82"/>
    <w:rsid w:val="00E36032"/>
    <w:rsid w:val="00E416FA"/>
    <w:rsid w:val="00E451C4"/>
    <w:rsid w:val="00E45F66"/>
    <w:rsid w:val="00E6390D"/>
    <w:rsid w:val="00E65793"/>
    <w:rsid w:val="00E662FF"/>
    <w:rsid w:val="00E70C4B"/>
    <w:rsid w:val="00E72321"/>
    <w:rsid w:val="00E749E1"/>
    <w:rsid w:val="00E762D3"/>
    <w:rsid w:val="00E8116B"/>
    <w:rsid w:val="00E86C82"/>
    <w:rsid w:val="00E90A1B"/>
    <w:rsid w:val="00EA0EDC"/>
    <w:rsid w:val="00EA1B44"/>
    <w:rsid w:val="00EB2D42"/>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07D3"/>
    <w:rsid w:val="00F06FC8"/>
    <w:rsid w:val="00F11110"/>
    <w:rsid w:val="00F11A95"/>
    <w:rsid w:val="00F168AD"/>
    <w:rsid w:val="00F16EB6"/>
    <w:rsid w:val="00F205F6"/>
    <w:rsid w:val="00F22000"/>
    <w:rsid w:val="00F23B76"/>
    <w:rsid w:val="00F257B6"/>
    <w:rsid w:val="00F26CB7"/>
    <w:rsid w:val="00F3053F"/>
    <w:rsid w:val="00F3211C"/>
    <w:rsid w:val="00F33B53"/>
    <w:rsid w:val="00F364CE"/>
    <w:rsid w:val="00F3762D"/>
    <w:rsid w:val="00F4417E"/>
    <w:rsid w:val="00F4595B"/>
    <w:rsid w:val="00F50071"/>
    <w:rsid w:val="00F647DB"/>
    <w:rsid w:val="00F6527D"/>
    <w:rsid w:val="00F66872"/>
    <w:rsid w:val="00F71B2D"/>
    <w:rsid w:val="00F7463F"/>
    <w:rsid w:val="00F7497D"/>
    <w:rsid w:val="00F7593F"/>
    <w:rsid w:val="00F80E77"/>
    <w:rsid w:val="00F80F86"/>
    <w:rsid w:val="00F829B1"/>
    <w:rsid w:val="00F82A53"/>
    <w:rsid w:val="00F91255"/>
    <w:rsid w:val="00F917A5"/>
    <w:rsid w:val="00F93A6C"/>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E6883"/>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16248692">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243293869">
      <w:bodyDiv w:val="1"/>
      <w:marLeft w:val="0"/>
      <w:marRight w:val="0"/>
      <w:marTop w:val="0"/>
      <w:marBottom w:val="0"/>
      <w:divBdr>
        <w:top w:val="none" w:sz="0" w:space="0" w:color="auto"/>
        <w:left w:val="none" w:sz="0" w:space="0" w:color="auto"/>
        <w:bottom w:val="none" w:sz="0" w:space="0" w:color="auto"/>
        <w:right w:val="none" w:sz="0" w:space="0" w:color="auto"/>
      </w:divBdr>
    </w:div>
    <w:div w:id="1806000716">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3FAD-C9DA-4C75-9F21-B66B024B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7425</Words>
  <Characters>42324</Characters>
  <Application>Microsoft Office Word</Application>
  <DocSecurity>0</DocSecurity>
  <Lines>352</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Aivaras Prakelis</cp:lastModifiedBy>
  <cp:revision>4</cp:revision>
  <cp:lastPrinted>2012-01-12T10:43:00Z</cp:lastPrinted>
  <dcterms:created xsi:type="dcterms:W3CDTF">2026-05-11T06:17:00Z</dcterms:created>
  <dcterms:modified xsi:type="dcterms:W3CDTF">2026-05-11T06:57:00Z</dcterms:modified>
</cp:coreProperties>
</file>