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77777777" w:rsidR="0093387D" w:rsidRPr="0093387D" w:rsidRDefault="0093387D" w:rsidP="00104ACC">
          <w:pPr>
            <w:spacing w:after="0" w:line="240" w:lineRule="auto"/>
            <w:ind w:left="993" w:right="-436" w:firstLine="697"/>
            <w:contextualSpacing/>
            <w:jc w:val="center"/>
            <w:rPr>
              <w:rFonts w:ascii="Times New Roman" w:hAnsi="Times New Roman" w:cs="Times New Roman"/>
            </w:rPr>
          </w:pPr>
          <w:r w:rsidRPr="0093387D">
            <w:rPr>
              <w:rFonts w:ascii="Times New Roman" w:hAnsi="Times New Roman" w:cs="Times New Roman"/>
              <w:b/>
              <w:bCs/>
            </w:rPr>
            <w:tab/>
          </w: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93387D" w:rsidRDefault="0093387D" w:rsidP="00104ACC">
          <w:pPr>
            <w:tabs>
              <w:tab w:val="center" w:pos="4680"/>
              <w:tab w:val="right" w:pos="9360"/>
            </w:tabs>
            <w:spacing w:after="0" w:line="240" w:lineRule="auto"/>
            <w:ind w:left="993" w:right="-436"/>
            <w:jc w:val="center"/>
            <w:rPr>
              <w:rFonts w:ascii="Times New Roman" w:hAnsi="Times New Roman" w:cs="Times New Roman"/>
              <w:b/>
              <w:caps/>
              <w:sz w:val="10"/>
              <w:lang w:val="en-US" w:eastAsia="en-US"/>
            </w:rPr>
          </w:pPr>
        </w:p>
        <w:p w14:paraId="4E606817" w14:textId="77777777" w:rsidR="0093387D" w:rsidRPr="00E96C15" w:rsidRDefault="0093387D" w:rsidP="00104ACC">
          <w:pPr>
            <w:tabs>
              <w:tab w:val="center" w:pos="4153"/>
              <w:tab w:val="right" w:pos="8306"/>
            </w:tabs>
            <w:spacing w:after="0" w:line="240" w:lineRule="auto"/>
            <w:ind w:left="993" w:right="-436"/>
            <w:jc w:val="center"/>
            <w:rPr>
              <w:rFonts w:ascii="Times New Roman" w:hAnsi="Times New Roman" w:cs="Times New Roman"/>
              <w:b/>
              <w:caps/>
              <w:sz w:val="26"/>
              <w:lang w:val="x-none" w:eastAsia="en-US"/>
            </w:rPr>
          </w:pPr>
          <w:bookmarkStart w:id="1" w:name="_Hlk124323107"/>
          <w:r w:rsidRPr="00E96C15">
            <w:rPr>
              <w:rFonts w:ascii="Times New Roman" w:hAnsi="Times New Roman" w:cs="Times New Roman"/>
              <w:b/>
              <w:caps/>
              <w:sz w:val="26"/>
              <w:lang w:val="x-none" w:eastAsia="en-US"/>
            </w:rPr>
            <w:t>Pasvalio rajono savivaldybės administracija</w:t>
          </w:r>
        </w:p>
        <w:p w14:paraId="638607C1"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p>
        <w:p w14:paraId="27E4694E" w14:textId="2673E151"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bookmarkStart w:id="2" w:name="_Hlk124767878"/>
          <w:r w:rsidRPr="00E96C15">
            <w:rPr>
              <w:rFonts w:ascii="Times New Roman" w:hAnsi="Times New Roman" w:cs="Times New Roman"/>
              <w:sz w:val="20"/>
              <w:lang w:val="x-none" w:eastAsia="en-US"/>
            </w:rPr>
            <w:t xml:space="preserve">Biudžetinė įstaiga, Vytauto Didžiojo a. 1, </w:t>
          </w:r>
          <w:r w:rsidRPr="00E96C15">
            <w:rPr>
              <w:rFonts w:ascii="Times New Roman" w:hAnsi="Times New Roman" w:cs="Times New Roman"/>
              <w:sz w:val="20"/>
              <w:lang w:val="en-US" w:eastAsia="en-US"/>
            </w:rPr>
            <w:t>LT-</w:t>
          </w:r>
          <w:r w:rsidRPr="00E96C15">
            <w:rPr>
              <w:rFonts w:ascii="Times New Roman" w:hAnsi="Times New Roman" w:cs="Times New Roman"/>
              <w:sz w:val="20"/>
              <w:lang w:val="x-none" w:eastAsia="en-US"/>
            </w:rPr>
            <w:t xml:space="preserve">39143  Pasvalys, tel.  </w:t>
          </w:r>
          <w:r w:rsidR="000D5EA4" w:rsidRPr="00E96C15">
            <w:rPr>
              <w:rFonts w:ascii="Times New Roman" w:hAnsi="Times New Roman" w:cs="Times New Roman"/>
              <w:sz w:val="20"/>
              <w:lang w:val="x-none" w:eastAsia="en-US"/>
            </w:rPr>
            <w:t>+370</w:t>
          </w:r>
          <w:r w:rsidRPr="00E96C15">
            <w:rPr>
              <w:rFonts w:ascii="Times New Roman" w:hAnsi="Times New Roman" w:cs="Times New Roman"/>
              <w:sz w:val="20"/>
              <w:lang w:val="en-US" w:eastAsia="en-US"/>
            </w:rPr>
            <w:t> </w:t>
          </w:r>
          <w:r w:rsidRPr="00E96C15">
            <w:rPr>
              <w:rFonts w:ascii="Times New Roman" w:hAnsi="Times New Roman" w:cs="Times New Roman"/>
              <w:sz w:val="20"/>
              <w:lang w:val="x-none" w:eastAsia="en-US"/>
            </w:rPr>
            <w:t>451</w:t>
          </w:r>
          <w:r w:rsidRPr="00E96C15">
            <w:rPr>
              <w:rFonts w:ascii="Times New Roman" w:hAnsi="Times New Roman" w:cs="Times New Roman"/>
              <w:sz w:val="20"/>
              <w:lang w:val="en-US" w:eastAsia="en-US"/>
            </w:rPr>
            <w:t xml:space="preserve"> 5</w:t>
          </w:r>
          <w:r w:rsidRPr="00E96C15">
            <w:rPr>
              <w:rFonts w:ascii="Times New Roman" w:hAnsi="Times New Roman" w:cs="Times New Roman"/>
              <w:sz w:val="20"/>
              <w:lang w:val="x-none" w:eastAsia="en-US"/>
            </w:rPr>
            <w:t>4 133,</w:t>
          </w: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el. p. </w:t>
          </w:r>
          <w:hyperlink r:id="rId12" w:history="1">
            <w:r w:rsidRPr="00E96C15">
              <w:rPr>
                <w:rFonts w:ascii="Times New Roman" w:hAnsi="Times New Roman" w:cs="Times New Roman"/>
                <w:sz w:val="20"/>
                <w:lang w:val="x-none" w:eastAsia="en-US"/>
              </w:rPr>
              <w:t>rastine@pasvalys.lt</w:t>
            </w:r>
          </w:hyperlink>
          <w:r w:rsidRPr="00E96C15">
            <w:rPr>
              <w:rFonts w:ascii="Times New Roman" w:hAnsi="Times New Roman" w:cs="Times New Roman"/>
              <w:sz w:val="20"/>
              <w:lang w:val="en-US" w:eastAsia="en-US"/>
            </w:rPr>
            <w:t>,</w:t>
          </w:r>
        </w:p>
        <w:p w14:paraId="00A8A849"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w:t>
          </w:r>
          <w:r w:rsidRPr="00E96C15">
            <w:rPr>
              <w:rFonts w:ascii="Times New Roman" w:hAnsi="Times New Roman" w:cs="Times New Roman"/>
              <w:color w:val="000000"/>
              <w:sz w:val="20"/>
              <w:lang w:val="x-none" w:eastAsia="en-US"/>
            </w:rPr>
            <w:t>el. pristatymo dėžutės adresas</w:t>
          </w:r>
          <w:r w:rsidRPr="00E96C15">
            <w:rPr>
              <w:rFonts w:ascii="Times New Roman" w:hAnsi="Times New Roman" w:cs="Times New Roman"/>
              <w:color w:val="000000"/>
              <w:sz w:val="20"/>
              <w:lang w:val="en-US" w:eastAsia="en-US"/>
            </w:rPr>
            <w:t xml:space="preserve"> 188753657</w:t>
          </w:r>
        </w:p>
        <w:p w14:paraId="614CAEEA"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r w:rsidRPr="00E96C15">
            <w:rPr>
              <w:rFonts w:ascii="Times New Roman" w:hAnsi="Times New Roman" w:cs="Times New Roman"/>
              <w:sz w:val="20"/>
              <w:lang w:val="x-none" w:eastAsia="en-US"/>
            </w:rPr>
            <w:t>Duomenys kaupiami ir saugomi Juridinių asmenų registre,  kodas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620A2984" w14:textId="2850AD8E" w:rsidR="0093387D" w:rsidRPr="000D0A05" w:rsidRDefault="001C24BC">
              <w:pPr>
                <w:pStyle w:val="Turinys1"/>
                <w:rPr>
                  <w:rFonts w:ascii="Times New Roman" w:hAnsi="Times New Roman" w:cs="Times New Roman"/>
                  <w:b w:val="0"/>
                  <w:bCs w:val="0"/>
                  <w:kern w:val="2"/>
                  <w:sz w:val="24"/>
                  <w:szCs w:val="24"/>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66139994" w:history="1">
                <w:r w:rsidR="0093387D" w:rsidRPr="000D0A05">
                  <w:rPr>
                    <w:rStyle w:val="Hipersaitas"/>
                    <w:rFonts w:ascii="Times New Roman" w:hAnsi="Times New Roman" w:cs="Times New Roman"/>
                    <w:b w:val="0"/>
                    <w:bCs w:val="0"/>
                    <w:sz w:val="24"/>
                    <w:szCs w:val="24"/>
                  </w:rPr>
                  <w:t>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Sąvokos ir sutrumpinimai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2</w:t>
                </w:r>
                <w:r w:rsidR="0093387D" w:rsidRPr="000D0A05">
                  <w:rPr>
                    <w:rFonts w:ascii="Times New Roman" w:hAnsi="Times New Roman" w:cs="Times New Roman"/>
                    <w:b w:val="0"/>
                    <w:bCs w:val="0"/>
                    <w:webHidden/>
                    <w:sz w:val="24"/>
                    <w:szCs w:val="24"/>
                  </w:rPr>
                  <w:fldChar w:fldCharType="end"/>
                </w:r>
              </w:hyperlink>
            </w:p>
            <w:p w14:paraId="3AE785E5" w14:textId="5068E58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5" w:history="1">
                <w:r w:rsidRPr="000D0A05">
                  <w:rPr>
                    <w:rStyle w:val="Hipersaitas"/>
                    <w:rFonts w:ascii="Times New Roman" w:hAnsi="Times New Roman" w:cs="Times New Roman"/>
                    <w:b w:val="0"/>
                    <w:bCs w:val="0"/>
                    <w:sz w:val="24"/>
                    <w:szCs w:val="24"/>
                  </w:rPr>
                  <w:t>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Bendrosios nuostatos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3</w:t>
                </w:r>
                <w:r w:rsidRPr="000D0A05">
                  <w:rPr>
                    <w:rFonts w:ascii="Times New Roman" w:hAnsi="Times New Roman" w:cs="Times New Roman"/>
                    <w:b w:val="0"/>
                    <w:bCs w:val="0"/>
                    <w:webHidden/>
                    <w:sz w:val="24"/>
                    <w:szCs w:val="24"/>
                  </w:rPr>
                  <w:fldChar w:fldCharType="end"/>
                </w:r>
              </w:hyperlink>
            </w:p>
            <w:p w14:paraId="5F086CF8" w14:textId="76F28477"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6" w:history="1">
                <w:r w:rsidRPr="000D0A05">
                  <w:rPr>
                    <w:rStyle w:val="Hipersaitas"/>
                    <w:rFonts w:ascii="Times New Roman" w:hAnsi="Times New Roman" w:cs="Times New Roman"/>
                    <w:b w:val="0"/>
                    <w:bCs w:val="0"/>
                    <w:sz w:val="24"/>
                    <w:szCs w:val="24"/>
                  </w:rPr>
                  <w:t>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objektas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61494A92" w14:textId="711503CD"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7" w:history="1">
                <w:r w:rsidRPr="000D0A05">
                  <w:rPr>
                    <w:rStyle w:val="Hipersaitas"/>
                    <w:rFonts w:ascii="Times New Roman" w:hAnsi="Times New Roman" w:cs="Times New Roman"/>
                    <w:b w:val="0"/>
                    <w:bCs w:val="0"/>
                    <w:sz w:val="24"/>
                    <w:szCs w:val="24"/>
                  </w:rPr>
                  <w:t>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Perkančiosios organizacijos ir tiekėjų bendravimo ir keitimosi informacija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3BEB322" w14:textId="7E712FC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8" w:history="1">
                <w:r w:rsidRPr="000D0A05">
                  <w:rPr>
                    <w:rStyle w:val="Hipersaitas"/>
                    <w:rFonts w:ascii="Times New Roman" w:hAnsi="Times New Roman" w:cs="Times New Roman"/>
                    <w:b w:val="0"/>
                    <w:bCs w:val="0"/>
                    <w:sz w:val="24"/>
                    <w:szCs w:val="24"/>
                  </w:rPr>
                  <w:t>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dokumentų paaiškinimai ir patikslinimai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5EAEF00" w14:textId="5B5A46AA"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9" w:history="1">
                <w:r w:rsidRPr="000D0A05">
                  <w:rPr>
                    <w:rStyle w:val="Hipersaitas"/>
                    <w:rFonts w:ascii="Times New Roman" w:hAnsi="Times New Roman" w:cs="Times New Roman"/>
                    <w:b w:val="0"/>
                    <w:bCs w:val="0"/>
                    <w:sz w:val="24"/>
                    <w:szCs w:val="24"/>
                  </w:rPr>
                  <w:t>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5</w:t>
                </w:r>
                <w:r w:rsidRPr="000D0A05">
                  <w:rPr>
                    <w:rFonts w:ascii="Times New Roman" w:hAnsi="Times New Roman" w:cs="Times New Roman"/>
                    <w:b w:val="0"/>
                    <w:bCs w:val="0"/>
                    <w:webHidden/>
                    <w:sz w:val="24"/>
                    <w:szCs w:val="24"/>
                  </w:rPr>
                  <w:fldChar w:fldCharType="end"/>
                </w:r>
              </w:hyperlink>
            </w:p>
            <w:p w14:paraId="30DFB010" w14:textId="4443E17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0" w:history="1">
                <w:r w:rsidRPr="000D0A05">
                  <w:rPr>
                    <w:rStyle w:val="Hipersaitas"/>
                    <w:rFonts w:ascii="Times New Roman" w:hAnsi="Times New Roman" w:cs="Times New Roman"/>
                    <w:b w:val="0"/>
                    <w:bCs w:val="0"/>
                    <w:sz w:val="24"/>
                    <w:szCs w:val="24"/>
                  </w:rPr>
                  <w:t>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EBVPD arba laisvos formos deklaracijos pateikimo tvarka ir pateikiamos informacijos patvirtinimo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6</w:t>
                </w:r>
                <w:r w:rsidRPr="000D0A05">
                  <w:rPr>
                    <w:rFonts w:ascii="Times New Roman" w:hAnsi="Times New Roman" w:cs="Times New Roman"/>
                    <w:b w:val="0"/>
                    <w:bCs w:val="0"/>
                    <w:webHidden/>
                    <w:sz w:val="24"/>
                    <w:szCs w:val="24"/>
                  </w:rPr>
                  <w:fldChar w:fldCharType="end"/>
                </w:r>
              </w:hyperlink>
            </w:p>
            <w:p w14:paraId="10722038" w14:textId="33E9659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1" w:history="1">
                <w:r w:rsidRPr="000D0A05">
                  <w:rPr>
                    <w:rStyle w:val="Hipersaitas"/>
                    <w:rFonts w:ascii="Times New Roman" w:hAnsi="Times New Roman" w:cs="Times New Roman"/>
                    <w:b w:val="0"/>
                    <w:bCs w:val="0"/>
                    <w:sz w:val="24"/>
                    <w:szCs w:val="24"/>
                  </w:rPr>
                  <w:t>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Rėmimasis ūkio subjektų pajėgumais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7</w:t>
                </w:r>
                <w:r w:rsidRPr="000D0A05">
                  <w:rPr>
                    <w:rFonts w:ascii="Times New Roman" w:hAnsi="Times New Roman" w:cs="Times New Roman"/>
                    <w:b w:val="0"/>
                    <w:bCs w:val="0"/>
                    <w:webHidden/>
                    <w:sz w:val="24"/>
                    <w:szCs w:val="24"/>
                  </w:rPr>
                  <w:fldChar w:fldCharType="end"/>
                </w:r>
              </w:hyperlink>
            </w:p>
            <w:p w14:paraId="054AC5FC" w14:textId="7D9D852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2" w:history="1">
                <w:r w:rsidRPr="000D0A05">
                  <w:rPr>
                    <w:rStyle w:val="Hipersaitas"/>
                    <w:rFonts w:ascii="Times New Roman" w:hAnsi="Times New Roman" w:cs="Times New Roman"/>
                    <w:b w:val="0"/>
                    <w:bCs w:val="0"/>
                    <w:sz w:val="24"/>
                    <w:szCs w:val="24"/>
                  </w:rPr>
                  <w:t>9.</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Subtiekėjų pasitelkimas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_Toc166140002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209A0C85" w14:textId="5F30695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3" w:history="1">
                <w:r w:rsidRPr="000D0A05">
                  <w:rPr>
                    <w:rStyle w:val="Hipersaitas"/>
                    <w:rFonts w:ascii="Times New Roman" w:hAnsi="Times New Roman" w:cs="Times New Roman"/>
                    <w:b w:val="0"/>
                    <w:bCs w:val="0"/>
                    <w:sz w:val="24"/>
                    <w:szCs w:val="24"/>
                  </w:rPr>
                  <w:t>10.</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grupės dalyvavimas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_Toc166140003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50DF1817" w14:textId="7AAAB79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4" w:history="1">
                <w:r w:rsidRPr="000D0A05">
                  <w:rPr>
                    <w:rStyle w:val="Hipersaitas"/>
                    <w:rFonts w:ascii="Times New Roman" w:hAnsi="Times New Roman" w:cs="Times New Roman"/>
                    <w:b w:val="0"/>
                    <w:bCs w:val="0"/>
                    <w:sz w:val="24"/>
                    <w:szCs w:val="24"/>
                  </w:rPr>
                  <w:t>11.</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Reikalavimai pasiūlymų rengimui ir pateikimui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_Toc166140004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9</w:t>
                </w:r>
                <w:r w:rsidRPr="000D0A05">
                  <w:rPr>
                    <w:rFonts w:ascii="Times New Roman" w:hAnsi="Times New Roman" w:cs="Times New Roman"/>
                    <w:b w:val="0"/>
                    <w:bCs w:val="0"/>
                    <w:webHidden/>
                    <w:sz w:val="24"/>
                    <w:szCs w:val="24"/>
                  </w:rPr>
                  <w:fldChar w:fldCharType="end"/>
                </w:r>
              </w:hyperlink>
            </w:p>
            <w:p w14:paraId="19AC1907" w14:textId="1D5F9E9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5" w:history="1">
                <w:r w:rsidRPr="000D0A05">
                  <w:rPr>
                    <w:rStyle w:val="Hipersaitas"/>
                    <w:rFonts w:ascii="Times New Roman" w:hAnsi="Times New Roman" w:cs="Times New Roman"/>
                    <w:b w:val="0"/>
                    <w:bCs w:val="0"/>
                    <w:sz w:val="24"/>
                    <w:szCs w:val="24"/>
                  </w:rPr>
                  <w:t>12.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Susipažinimas su pasiūlymais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10</w:t>
                </w:r>
                <w:r w:rsidRPr="000D0A05">
                  <w:rPr>
                    <w:rFonts w:ascii="Times New Roman" w:hAnsi="Times New Roman" w:cs="Times New Roman"/>
                    <w:b w:val="0"/>
                    <w:bCs w:val="0"/>
                    <w:webHidden/>
                    <w:sz w:val="24"/>
                    <w:szCs w:val="24"/>
                  </w:rPr>
                  <w:fldChar w:fldCharType="end"/>
                </w:r>
              </w:hyperlink>
            </w:p>
            <w:p w14:paraId="7A48DFE1" w14:textId="37133448"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6" w:history="1">
                <w:r w:rsidRPr="000D0A05">
                  <w:rPr>
                    <w:rStyle w:val="Hipersaitas"/>
                    <w:rFonts w:ascii="Times New Roman" w:hAnsi="Times New Roman" w:cs="Times New Roman"/>
                    <w:b w:val="0"/>
                    <w:bCs w:val="0"/>
                    <w:sz w:val="24"/>
                    <w:szCs w:val="24"/>
                  </w:rPr>
                  <w:t>13.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vertinimas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11</w:t>
                </w:r>
                <w:r w:rsidRPr="000D0A05">
                  <w:rPr>
                    <w:rFonts w:ascii="Times New Roman" w:hAnsi="Times New Roman" w:cs="Times New Roman"/>
                    <w:b w:val="0"/>
                    <w:bCs w:val="0"/>
                    <w:webHidden/>
                    <w:sz w:val="24"/>
                    <w:szCs w:val="24"/>
                  </w:rPr>
                  <w:fldChar w:fldCharType="end"/>
                </w:r>
              </w:hyperlink>
            </w:p>
            <w:p w14:paraId="58C1BFBC" w14:textId="2B25A25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7" w:history="1">
                <w:r w:rsidRPr="000D0A05">
                  <w:rPr>
                    <w:rStyle w:val="Hipersaitas"/>
                    <w:rFonts w:ascii="Times New Roman" w:hAnsi="Times New Roman" w:cs="Times New Roman"/>
                    <w:b w:val="0"/>
                    <w:bCs w:val="0"/>
                    <w:sz w:val="24"/>
                    <w:szCs w:val="24"/>
                  </w:rPr>
                  <w:t>14.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atmetimo pagrindai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12</w:t>
                </w:r>
                <w:r w:rsidRPr="000D0A05">
                  <w:rPr>
                    <w:rFonts w:ascii="Times New Roman" w:hAnsi="Times New Roman" w:cs="Times New Roman"/>
                    <w:b w:val="0"/>
                    <w:bCs w:val="0"/>
                    <w:webHidden/>
                    <w:sz w:val="24"/>
                    <w:szCs w:val="24"/>
                  </w:rPr>
                  <w:fldChar w:fldCharType="end"/>
                </w:r>
              </w:hyperlink>
            </w:p>
            <w:p w14:paraId="1BE57906" w14:textId="26FA83C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8" w:history="1">
                <w:r w:rsidRPr="000D0A05">
                  <w:rPr>
                    <w:rStyle w:val="Hipersaitas"/>
                    <w:rFonts w:ascii="Times New Roman" w:hAnsi="Times New Roman" w:cs="Times New Roman"/>
                    <w:b w:val="0"/>
                    <w:bCs w:val="0"/>
                    <w:sz w:val="24"/>
                    <w:szCs w:val="24"/>
                  </w:rPr>
                  <w:t>15.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eilė ir laimėtojo nustatymas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13</w:t>
                </w:r>
                <w:r w:rsidRPr="000D0A05">
                  <w:rPr>
                    <w:rFonts w:ascii="Times New Roman" w:hAnsi="Times New Roman" w:cs="Times New Roman"/>
                    <w:b w:val="0"/>
                    <w:bCs w:val="0"/>
                    <w:webHidden/>
                    <w:sz w:val="24"/>
                    <w:szCs w:val="24"/>
                  </w:rPr>
                  <w:fldChar w:fldCharType="end"/>
                </w:r>
              </w:hyperlink>
            </w:p>
            <w:p w14:paraId="4D6099F8" w14:textId="3C626F5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9" w:history="1">
                <w:r w:rsidRPr="000D0A05">
                  <w:rPr>
                    <w:rStyle w:val="Hipersaitas"/>
                    <w:rFonts w:ascii="Times New Roman" w:hAnsi="Times New Roman" w:cs="Times New Roman"/>
                    <w:b w:val="0"/>
                    <w:bCs w:val="0"/>
                    <w:sz w:val="24"/>
                    <w:szCs w:val="24"/>
                  </w:rPr>
                  <w:t>16.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Informavimas apie pirkimo procedūrų rezultatus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0DFFA12E" w14:textId="2DA2310F"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0" w:history="1">
                <w:r w:rsidRPr="000D0A05">
                  <w:rPr>
                    <w:rStyle w:val="Hipersaitas"/>
                    <w:rFonts w:ascii="Times New Roman" w:hAnsi="Times New Roman" w:cs="Times New Roman"/>
                    <w:b w:val="0"/>
                    <w:bCs w:val="0"/>
                    <w:sz w:val="24"/>
                    <w:szCs w:val="24"/>
                  </w:rPr>
                  <w:t>17.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Sutarties sudarymas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22D70C46" w14:textId="4C00D6E3"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1" w:history="1">
                <w:r w:rsidRPr="000D0A05">
                  <w:rPr>
                    <w:rStyle w:val="Hipersaitas"/>
                    <w:rFonts w:ascii="Times New Roman" w:hAnsi="Times New Roman" w:cs="Times New Roman"/>
                    <w:b w:val="0"/>
                    <w:bCs w:val="0"/>
                    <w:sz w:val="24"/>
                    <w:szCs w:val="24"/>
                  </w:rPr>
                  <w:t>18.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Teisė ginčyti perkančiosios organizacijos veiksmus ar priimtus sprendimus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15</w:t>
                </w:r>
                <w:r w:rsidRPr="000D0A05">
                  <w:rPr>
                    <w:rFonts w:ascii="Times New Roman" w:hAnsi="Times New Roman" w:cs="Times New Roman"/>
                    <w:b w:val="0"/>
                    <w:bCs w:val="0"/>
                    <w:webHidden/>
                    <w:sz w:val="24"/>
                    <w:szCs w:val="24"/>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66139994"/>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5E9FA887"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66139995"/>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66139996"/>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66139997"/>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66139998"/>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66139999"/>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15778EFA"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punkto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66140000"/>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93387D">
        <w:rPr>
          <w:rFonts w:ascii="Times New Roman" w:hAnsi="Times New Roman" w:cs="Times New Roman"/>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66140001"/>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66140002"/>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66140003"/>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66140004"/>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98605C7" w:rsidR="00F20DF8" w:rsidRPr="00E964BE" w:rsidRDefault="25E83833" w:rsidP="00E964BE">
      <w:pPr>
        <w:tabs>
          <w:tab w:val="left" w:pos="1134"/>
        </w:tabs>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w:t>
      </w:r>
      <w:r w:rsidR="00E964BE" w:rsidRPr="00E964BE">
        <w:rPr>
          <w:rFonts w:ascii="Times New Roman" w:hAnsi="Times New Roman" w:cs="Times New Roman"/>
          <w:sz w:val="24"/>
          <w:szCs w:val="24"/>
        </w:rPr>
        <w:t xml:space="preserve">Sutrikus CVP IS veikimui, tiekėjai turi imtis veiksmų, numatytų </w:t>
      </w:r>
      <w:r w:rsidR="00E964BE" w:rsidRPr="00E964BE">
        <w:rPr>
          <w:rFonts w:ascii="Times New Roman" w:hAnsi="Times New Roman" w:cs="Times New Roman"/>
          <w:i/>
          <w:iCs/>
          <w:sz w:val="24"/>
          <w:szCs w:val="24"/>
        </w:rPr>
        <w:t>Rekomendacijose dėl veiksmų, kurių turėtų imtis pirkimo vykdytojai ir tiekėjai, sutrikus Centrinės viešųjų pirkimų informacinės sistemos veikimui</w:t>
      </w:r>
      <w:r w:rsidR="00E964BE" w:rsidRPr="00E964BE">
        <w:rPr>
          <w:rFonts w:ascii="Times New Roman" w:hAnsi="Times New Roman" w:cs="Times New Roman"/>
          <w:sz w:val="24"/>
          <w:szCs w:val="24"/>
        </w:rPr>
        <w:t xml:space="preserve">, </w:t>
      </w:r>
      <w:r w:rsidR="00E964BE" w:rsidRPr="00E964BE">
        <w:rPr>
          <w:rFonts w:ascii="Times New Roman" w:hAnsi="Times New Roman" w:cs="Times New Roman"/>
          <w:sz w:val="24"/>
          <w:szCs w:val="24"/>
          <w:u w:val="single"/>
        </w:rPr>
        <w:t>patvirtintose Viešųjų pirkimų tarnybos direktoriaus 2025 m. gruodžio 31 d. įsakymu Nr. 1S-211 „Dėl Rekomendacijų dėl veiksmų, kurių turėtų imtis pirkimo vykdytojai ir tiekėjai, sutrikus Centrinės viešųjų pirkimų informacinės sistemos veikimui patvirtinimo“.</w:t>
      </w:r>
    </w:p>
    <w:p w14:paraId="54389667" w14:textId="77777777" w:rsidR="00990645" w:rsidRPr="000D5EA4" w:rsidRDefault="00990645" w:rsidP="0093387D">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66140005"/>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66140006"/>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521625">
      <w:pPr>
        <w:pStyle w:val="Sraopastraipa"/>
        <w:numPr>
          <w:ilvl w:val="2"/>
          <w:numId w:val="38"/>
        </w:numPr>
        <w:tabs>
          <w:tab w:val="left" w:pos="1276"/>
        </w:tabs>
        <w:spacing w:after="0" w:line="240" w:lineRule="auto"/>
        <w:ind w:left="0" w:firstLine="578"/>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66140007"/>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93387D">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 1 d. 5 p.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66140008"/>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66140009"/>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66140010"/>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66140011"/>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1FCD" w14:textId="77777777" w:rsidR="00903FF7" w:rsidRDefault="00903FF7" w:rsidP="00D05666">
      <w:r>
        <w:separator/>
      </w:r>
    </w:p>
  </w:endnote>
  <w:endnote w:type="continuationSeparator" w:id="0">
    <w:p w14:paraId="708234F6" w14:textId="77777777" w:rsidR="00903FF7" w:rsidRDefault="00903FF7" w:rsidP="00D05666">
      <w:r>
        <w:continuationSeparator/>
      </w:r>
    </w:p>
  </w:endnote>
  <w:endnote w:type="continuationNotice" w:id="1">
    <w:p w14:paraId="243FC023" w14:textId="77777777" w:rsidR="00903FF7" w:rsidRDefault="00903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05D8" w14:textId="77777777" w:rsidR="00903FF7" w:rsidRDefault="00903FF7" w:rsidP="00D05666">
      <w:r>
        <w:separator/>
      </w:r>
    </w:p>
  </w:footnote>
  <w:footnote w:type="continuationSeparator" w:id="0">
    <w:p w14:paraId="1FF3CA24" w14:textId="77777777" w:rsidR="00903FF7" w:rsidRDefault="00903FF7" w:rsidP="00D05666">
      <w:r>
        <w:continuationSeparator/>
      </w:r>
    </w:p>
  </w:footnote>
  <w:footnote w:type="continuationNotice" w:id="1">
    <w:p w14:paraId="6A8DF736" w14:textId="77777777" w:rsidR="00903FF7" w:rsidRDefault="00903FF7">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4"/>
  </w:num>
  <w:num w:numId="5" w16cid:durableId="1990741698">
    <w:abstractNumId w:val="19"/>
  </w:num>
  <w:num w:numId="6" w16cid:durableId="588778652">
    <w:abstractNumId w:val="15"/>
  </w:num>
  <w:num w:numId="7" w16cid:durableId="180751643">
    <w:abstractNumId w:val="18"/>
  </w:num>
  <w:num w:numId="8" w16cid:durableId="1249272343">
    <w:abstractNumId w:val="0"/>
  </w:num>
  <w:num w:numId="9" w16cid:durableId="544176186">
    <w:abstractNumId w:val="13"/>
  </w:num>
  <w:num w:numId="10" w16cid:durableId="1899053454">
    <w:abstractNumId w:val="26"/>
  </w:num>
  <w:num w:numId="11" w16cid:durableId="898442338">
    <w:abstractNumId w:val="31"/>
  </w:num>
  <w:num w:numId="12" w16cid:durableId="1782073053">
    <w:abstractNumId w:val="33"/>
  </w:num>
  <w:num w:numId="13" w16cid:durableId="860125664">
    <w:abstractNumId w:val="34"/>
  </w:num>
  <w:num w:numId="14" w16cid:durableId="1855340775">
    <w:abstractNumId w:val="32"/>
  </w:num>
  <w:num w:numId="15" w16cid:durableId="2145461144">
    <w:abstractNumId w:val="30"/>
  </w:num>
  <w:num w:numId="16" w16cid:durableId="1570847038">
    <w:abstractNumId w:val="11"/>
  </w:num>
  <w:num w:numId="17" w16cid:durableId="956761780">
    <w:abstractNumId w:val="7"/>
  </w:num>
  <w:num w:numId="18" w16cid:durableId="514803299">
    <w:abstractNumId w:val="3"/>
  </w:num>
  <w:num w:numId="19" w16cid:durableId="605842831">
    <w:abstractNumId w:val="22"/>
  </w:num>
  <w:num w:numId="20" w16cid:durableId="1470130678">
    <w:abstractNumId w:val="20"/>
  </w:num>
  <w:num w:numId="21" w16cid:durableId="1723559955">
    <w:abstractNumId w:val="25"/>
  </w:num>
  <w:num w:numId="22" w16cid:durableId="1061833817">
    <w:abstractNumId w:val="5"/>
  </w:num>
  <w:num w:numId="23" w16cid:durableId="147401098">
    <w:abstractNumId w:val="29"/>
  </w:num>
  <w:num w:numId="24" w16cid:durableId="2784425">
    <w:abstractNumId w:val="21"/>
  </w:num>
  <w:num w:numId="25" w16cid:durableId="1939945532">
    <w:abstractNumId w:val="28"/>
  </w:num>
  <w:num w:numId="26" w16cid:durableId="1642688927">
    <w:abstractNumId w:val="27"/>
  </w:num>
  <w:num w:numId="27" w16cid:durableId="1889218690">
    <w:abstractNumId w:val="23"/>
  </w:num>
  <w:num w:numId="28" w16cid:durableId="1278021139">
    <w:abstractNumId w:val="10"/>
  </w:num>
  <w:num w:numId="29" w16cid:durableId="736052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4"/>
  </w:num>
  <w:num w:numId="32" w16cid:durableId="983243861">
    <w:abstractNumId w:val="35"/>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6"/>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90C"/>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178"/>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D1C"/>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7C3"/>
    <w:rsid w:val="008429BA"/>
    <w:rsid w:val="0084365C"/>
    <w:rsid w:val="00845AD5"/>
    <w:rsid w:val="00846788"/>
    <w:rsid w:val="00847415"/>
    <w:rsid w:val="008475C6"/>
    <w:rsid w:val="008507BC"/>
    <w:rsid w:val="00851498"/>
    <w:rsid w:val="00851768"/>
    <w:rsid w:val="00851E9B"/>
    <w:rsid w:val="00851EA8"/>
    <w:rsid w:val="00852867"/>
    <w:rsid w:val="008528FE"/>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3FF7"/>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B66"/>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03C"/>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885"/>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4BE"/>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01863"/>
    <w:rsid w:val="000108D6"/>
    <w:rsid w:val="00017A1A"/>
    <w:rsid w:val="00044427"/>
    <w:rsid w:val="0005344C"/>
    <w:rsid w:val="000566BF"/>
    <w:rsid w:val="00097590"/>
    <w:rsid w:val="001049D9"/>
    <w:rsid w:val="0019685B"/>
    <w:rsid w:val="001E2DB8"/>
    <w:rsid w:val="0021639D"/>
    <w:rsid w:val="00256280"/>
    <w:rsid w:val="002A1178"/>
    <w:rsid w:val="002A3887"/>
    <w:rsid w:val="00327D1C"/>
    <w:rsid w:val="0039461A"/>
    <w:rsid w:val="003A1E59"/>
    <w:rsid w:val="004674D2"/>
    <w:rsid w:val="00475F4D"/>
    <w:rsid w:val="00485E2C"/>
    <w:rsid w:val="004D5FEB"/>
    <w:rsid w:val="00567D18"/>
    <w:rsid w:val="00574E40"/>
    <w:rsid w:val="00594ABB"/>
    <w:rsid w:val="005A77D9"/>
    <w:rsid w:val="005F2398"/>
    <w:rsid w:val="006446E5"/>
    <w:rsid w:val="006A23CE"/>
    <w:rsid w:val="006B5500"/>
    <w:rsid w:val="006F10F5"/>
    <w:rsid w:val="00741D45"/>
    <w:rsid w:val="0079686C"/>
    <w:rsid w:val="007C5A17"/>
    <w:rsid w:val="007D126B"/>
    <w:rsid w:val="007E3AA4"/>
    <w:rsid w:val="00902E29"/>
    <w:rsid w:val="0091266F"/>
    <w:rsid w:val="00951837"/>
    <w:rsid w:val="009F008A"/>
    <w:rsid w:val="00A7703C"/>
    <w:rsid w:val="00A7767E"/>
    <w:rsid w:val="00A82133"/>
    <w:rsid w:val="00AC5AA8"/>
    <w:rsid w:val="00AC7603"/>
    <w:rsid w:val="00AE4141"/>
    <w:rsid w:val="00B52148"/>
    <w:rsid w:val="00B643E0"/>
    <w:rsid w:val="00C00199"/>
    <w:rsid w:val="00C05394"/>
    <w:rsid w:val="00CA42B0"/>
    <w:rsid w:val="00CF63A1"/>
    <w:rsid w:val="00D015B0"/>
    <w:rsid w:val="00D53B5B"/>
    <w:rsid w:val="00D62AFB"/>
    <w:rsid w:val="00E23B45"/>
    <w:rsid w:val="00E82A7E"/>
    <w:rsid w:val="00EF169C"/>
    <w:rsid w:val="00F173DA"/>
    <w:rsid w:val="00F8288C"/>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32781</Words>
  <Characters>18686</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Karolina</cp:lastModifiedBy>
  <cp:revision>5</cp:revision>
  <dcterms:created xsi:type="dcterms:W3CDTF">2025-03-27T09:32:00Z</dcterms:created>
  <dcterms:modified xsi:type="dcterms:W3CDTF">2026-05-07T08:07:00Z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