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0CE0980E"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102A74" w:rsidRPr="00102A74">
            <w:rPr>
              <w:rStyle w:val="FontStyle54"/>
              <w:sz w:val="24"/>
              <w:szCs w:val="24"/>
              <w:lang w:val="pt-PT"/>
            </w:rPr>
            <w:t>6</w:t>
          </w:r>
          <w:r w:rsidRPr="00E7669F">
            <w:rPr>
              <w:rStyle w:val="FontStyle54"/>
              <w:sz w:val="24"/>
              <w:szCs w:val="24"/>
            </w:rPr>
            <w:t xml:space="preserve"> m. </w:t>
          </w:r>
          <w:proofErr w:type="spellStart"/>
          <w:r w:rsidR="00965D24">
            <w:rPr>
              <w:rStyle w:val="FontStyle54"/>
              <w:sz w:val="24"/>
              <w:szCs w:val="24"/>
            </w:rPr>
            <w:t>gegu</w:t>
          </w:r>
          <w:proofErr w:type="spellEnd"/>
          <w:r w:rsidR="00965D24" w:rsidRPr="00965D24">
            <w:rPr>
              <w:rStyle w:val="FontStyle54"/>
              <w:sz w:val="24"/>
              <w:szCs w:val="24"/>
              <w:lang w:val="pt-PT"/>
            </w:rPr>
            <w:t>žės 11</w:t>
          </w:r>
          <w:r w:rsidR="00E7669F">
            <w:rPr>
              <w:rStyle w:val="FontStyle54"/>
              <w:sz w:val="24"/>
              <w:szCs w:val="24"/>
            </w:rPr>
            <w:t xml:space="preserve"> d. protokolu Nr. VPK</w:t>
          </w:r>
          <w:r w:rsidR="00B94675">
            <w:rPr>
              <w:rStyle w:val="FontStyle54"/>
              <w:sz w:val="24"/>
              <w:szCs w:val="24"/>
            </w:rPr>
            <w:t>.E-</w:t>
          </w:r>
        </w:p>
        <w:p w14:paraId="76279F0B" w14:textId="77777777" w:rsidR="009D5103" w:rsidRPr="00102A74" w:rsidRDefault="009D5103" w:rsidP="009D5103">
          <w:pPr>
            <w:spacing w:after="0" w:line="274" w:lineRule="exact"/>
            <w:ind w:left="5256"/>
            <w:rPr>
              <w:rStyle w:val="FontStyle54"/>
              <w:sz w:val="24"/>
              <w:szCs w:val="24"/>
              <w:highlight w:val="yellow"/>
              <w:lang w:val="pt-PT"/>
            </w:rPr>
          </w:pPr>
        </w:p>
        <w:p w14:paraId="3EF9B92B" w14:textId="77777777" w:rsidR="009D5103" w:rsidRPr="00102A74" w:rsidRDefault="009D5103" w:rsidP="009D5103">
          <w:pPr>
            <w:spacing w:after="0" w:line="274" w:lineRule="exact"/>
            <w:ind w:left="5256"/>
            <w:rPr>
              <w:rStyle w:val="FontStyle54"/>
              <w:sz w:val="24"/>
              <w:szCs w:val="24"/>
              <w:highlight w:val="yellow"/>
              <w:lang w:val="pt-PT"/>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AF84361"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 xml:space="preserve">SUPAPRASTINTO VIEŠOJO </w:t>
          </w:r>
          <w:r w:rsidR="00102A74" w:rsidRPr="009F22C1">
            <w:rPr>
              <w:rFonts w:ascii="Times New Roman" w:hAnsi="Times New Roman" w:cs="Times New Roman"/>
              <w:b/>
              <w:bCs/>
              <w:sz w:val="24"/>
              <w:szCs w:val="24"/>
            </w:rPr>
            <w:t>PIRKIMO</w:t>
          </w:r>
          <w:r w:rsidR="00102A74" w:rsidRPr="00810197">
            <w:rPr>
              <w:rFonts w:ascii="Times New Roman" w:hAnsi="Times New Roman" w:cs="Times New Roman"/>
              <w:b/>
              <w:bCs/>
              <w:sz w:val="24"/>
              <w:szCs w:val="24"/>
            </w:rPr>
            <w:t xml:space="preserve"> „</w:t>
          </w:r>
          <w:r w:rsidR="00102A74" w:rsidRPr="00102A74">
            <w:rPr>
              <w:rFonts w:ascii="Times New Roman" w:hAnsi="Times New Roman" w:cs="Times New Roman"/>
              <w:b/>
              <w:sz w:val="24"/>
              <w:szCs w:val="24"/>
            </w:rPr>
            <w:t>KROVININIS AUTOMOBILIS</w:t>
          </w:r>
          <w:r w:rsidR="00102A74"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C97DA38"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DF1982" w:rsidRPr="00D469B5">
            <w:rPr>
              <w:rFonts w:ascii="Times New Roman" w:hAnsi="Times New Roman" w:cs="Times New Roman"/>
              <w:b/>
              <w:bCs/>
              <w:sz w:val="24"/>
              <w:szCs w:val="24"/>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55219A"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102A74">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102A74">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102A74">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102A74">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0970EC93" w:rsidR="002F5F8E" w:rsidRPr="00CC6237"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sidRPr="00102A74">
        <w:rPr>
          <w:rFonts w:ascii="Times New Roman" w:hAnsi="Times New Roman" w:cs="Times New Roman"/>
          <w:color w:val="000000" w:themeColor="text1"/>
          <w:sz w:val="22"/>
          <w:szCs w:val="22"/>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1824BD">
        <w:rPr>
          <w:rFonts w:ascii="Times New Roman" w:hAnsi="Times New Roman" w:cs="Times New Roman"/>
          <w:color w:val="000000" w:themeColor="text1"/>
          <w:sz w:val="22"/>
          <w:szCs w:val="22"/>
        </w:rPr>
        <w:t>tokio pirkimo objekto n</w:t>
      </w:r>
      <w:r w:rsidR="001824BD" w:rsidRPr="00CC6237">
        <w:rPr>
          <w:rFonts w:ascii="Times New Roman" w:hAnsi="Times New Roman" w:cs="Times New Roman"/>
          <w:color w:val="000000" w:themeColor="text1"/>
          <w:sz w:val="22"/>
          <w:szCs w:val="22"/>
        </w:rPr>
        <w:t>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6300674C" w14:textId="4567A507" w:rsidR="00102A74" w:rsidRPr="00102A74" w:rsidRDefault="00F765DB" w:rsidP="00102A74">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102A74" w:rsidRPr="00102A74">
        <w:rPr>
          <w:rFonts w:ascii="Times New Roman" w:hAnsi="Times New Roman" w:cs="Times New Roman"/>
          <w:sz w:val="22"/>
          <w:szCs w:val="22"/>
        </w:rPr>
        <w:t>Aplinkosauginiai kriterijai nustatomi vadovaujantis Aplinkos</w:t>
      </w:r>
    </w:p>
    <w:p w14:paraId="7E7A0F7D" w14:textId="1B7553AF" w:rsidR="00102A74" w:rsidRDefault="00102A74" w:rsidP="00102A74">
      <w:pPr>
        <w:pStyle w:val="ListParagraph"/>
        <w:spacing w:after="0" w:line="240" w:lineRule="auto"/>
        <w:ind w:left="0"/>
        <w:jc w:val="both"/>
        <w:rPr>
          <w:rFonts w:ascii="Times New Roman" w:hAnsi="Times New Roman" w:cs="Times New Roman"/>
          <w:sz w:val="22"/>
          <w:szCs w:val="22"/>
        </w:rPr>
      </w:pPr>
      <w:r w:rsidRPr="00102A74">
        <w:rPr>
          <w:rFonts w:ascii="Times New Roman" w:hAnsi="Times New Roman" w:cs="Times New Roman"/>
          <w:sz w:val="22"/>
          <w:szCs w:val="22"/>
        </w:rPr>
        <w:t>apsaugos kriterijų taikymo, vykdant žaliuosius pirkimus, tvarkos</w:t>
      </w:r>
      <w:r>
        <w:rPr>
          <w:rFonts w:ascii="Times New Roman" w:hAnsi="Times New Roman" w:cs="Times New Roman"/>
          <w:sz w:val="22"/>
          <w:szCs w:val="22"/>
        </w:rPr>
        <w:t xml:space="preserve"> </w:t>
      </w:r>
      <w:r w:rsidRPr="00102A74">
        <w:rPr>
          <w:rFonts w:ascii="Times New Roman" w:hAnsi="Times New Roman" w:cs="Times New Roman"/>
          <w:sz w:val="22"/>
          <w:szCs w:val="22"/>
        </w:rPr>
        <w:t>aprašo, patvirtinto 2011 m. birželio 28 d. įsakymu D1-508 „Dėl</w:t>
      </w:r>
      <w:r>
        <w:rPr>
          <w:rFonts w:ascii="Times New Roman" w:hAnsi="Times New Roman" w:cs="Times New Roman"/>
          <w:sz w:val="22"/>
          <w:szCs w:val="22"/>
        </w:rPr>
        <w:t xml:space="preserve"> </w:t>
      </w:r>
      <w:r w:rsidRPr="00102A74">
        <w:rPr>
          <w:rFonts w:ascii="Times New Roman" w:hAnsi="Times New Roman" w:cs="Times New Roman"/>
          <w:sz w:val="22"/>
          <w:szCs w:val="22"/>
        </w:rPr>
        <w:t>Aplinkos apsaugos kriterijų taikymo, vykdant žaliuosius pirkimus,</w:t>
      </w:r>
      <w:r>
        <w:rPr>
          <w:rFonts w:ascii="Times New Roman" w:hAnsi="Times New Roman" w:cs="Times New Roman"/>
          <w:sz w:val="22"/>
          <w:szCs w:val="22"/>
        </w:rPr>
        <w:t xml:space="preserve"> </w:t>
      </w:r>
      <w:r w:rsidRPr="00102A74">
        <w:rPr>
          <w:rFonts w:ascii="Times New Roman" w:hAnsi="Times New Roman" w:cs="Times New Roman"/>
          <w:sz w:val="22"/>
          <w:szCs w:val="22"/>
        </w:rPr>
        <w:t>tvarkos aprašo patvirtinimo“ (toliau – Tvarkos aprašas) 4.1 papunkčiu,</w:t>
      </w:r>
      <w:r>
        <w:rPr>
          <w:rFonts w:ascii="Times New Roman" w:hAnsi="Times New Roman" w:cs="Times New Roman"/>
          <w:sz w:val="22"/>
          <w:szCs w:val="22"/>
        </w:rPr>
        <w:t xml:space="preserve"> </w:t>
      </w:r>
      <w:r w:rsidRPr="00102A74">
        <w:rPr>
          <w:rFonts w:ascii="Times New Roman" w:hAnsi="Times New Roman" w:cs="Times New Roman"/>
          <w:sz w:val="22"/>
          <w:szCs w:val="22"/>
        </w:rPr>
        <w:t xml:space="preserve">perkama </w:t>
      </w:r>
      <w:r>
        <w:rPr>
          <w:rFonts w:ascii="Times New Roman" w:hAnsi="Times New Roman" w:cs="Times New Roman"/>
          <w:sz w:val="22"/>
          <w:szCs w:val="22"/>
        </w:rPr>
        <w:t>p</w:t>
      </w:r>
      <w:r w:rsidRPr="00102A74">
        <w:rPr>
          <w:rFonts w:ascii="Times New Roman" w:hAnsi="Times New Roman" w:cs="Times New Roman"/>
          <w:sz w:val="22"/>
          <w:szCs w:val="22"/>
        </w:rPr>
        <w:t>rekė patenka į Tvarkos aprašo 2 priedo „Minimalūs</w:t>
      </w:r>
      <w:r>
        <w:rPr>
          <w:rFonts w:ascii="Times New Roman" w:hAnsi="Times New Roman" w:cs="Times New Roman"/>
          <w:sz w:val="22"/>
          <w:szCs w:val="22"/>
        </w:rPr>
        <w:t xml:space="preserve"> </w:t>
      </w:r>
      <w:r w:rsidRPr="00102A74">
        <w:rPr>
          <w:rFonts w:ascii="Times New Roman" w:hAnsi="Times New Roman" w:cs="Times New Roman"/>
          <w:sz w:val="22"/>
          <w:szCs w:val="22"/>
        </w:rPr>
        <w:t>aplinkos apsaugos kriterijai“ X skyriaus ,,M ir N kategorijų kelių</w:t>
      </w:r>
      <w:r>
        <w:rPr>
          <w:rFonts w:ascii="Times New Roman" w:hAnsi="Times New Roman" w:cs="Times New Roman"/>
          <w:sz w:val="22"/>
          <w:szCs w:val="22"/>
        </w:rPr>
        <w:t xml:space="preserve"> </w:t>
      </w:r>
      <w:r w:rsidRPr="00102A74">
        <w:rPr>
          <w:rFonts w:ascii="Times New Roman" w:hAnsi="Times New Roman" w:cs="Times New Roman"/>
          <w:sz w:val="22"/>
          <w:szCs w:val="22"/>
        </w:rPr>
        <w:t>transporto priemonės“ 11.1.2 papunktyje numatytus reikalavimus –</w:t>
      </w:r>
      <w:r>
        <w:rPr>
          <w:rFonts w:ascii="Times New Roman" w:hAnsi="Times New Roman" w:cs="Times New Roman"/>
          <w:sz w:val="22"/>
          <w:szCs w:val="22"/>
        </w:rPr>
        <w:t xml:space="preserve"> </w:t>
      </w:r>
      <w:r w:rsidRPr="00102A74">
        <w:rPr>
          <w:rFonts w:ascii="Times New Roman" w:hAnsi="Times New Roman" w:cs="Times New Roman"/>
          <w:sz w:val="22"/>
          <w:szCs w:val="22"/>
        </w:rPr>
        <w:t>kitais pirkimų atvejais transporto priemonė turi atitikti ne mažesnį</w:t>
      </w:r>
      <w:r>
        <w:rPr>
          <w:rFonts w:ascii="Times New Roman" w:hAnsi="Times New Roman" w:cs="Times New Roman"/>
          <w:sz w:val="22"/>
          <w:szCs w:val="22"/>
        </w:rPr>
        <w:t xml:space="preserve"> </w:t>
      </w:r>
      <w:r w:rsidRPr="00102A74">
        <w:rPr>
          <w:rFonts w:ascii="Times New Roman" w:hAnsi="Times New Roman" w:cs="Times New Roman"/>
          <w:sz w:val="22"/>
          <w:szCs w:val="22"/>
        </w:rPr>
        <w:t>kaip „Euro 6“ teršalų išmetimo standartą</w:t>
      </w:r>
      <w:r>
        <w:rPr>
          <w:rFonts w:ascii="Times New Roman" w:hAnsi="Times New Roman" w:cs="Times New Roman"/>
          <w:sz w:val="22"/>
          <w:szCs w:val="22"/>
        </w:rPr>
        <w:t>.</w:t>
      </w:r>
    </w:p>
    <w:p w14:paraId="74FD60BF" w14:textId="68FE4A6C" w:rsidR="00EB2665" w:rsidRPr="00102A74" w:rsidRDefault="00EB2665" w:rsidP="00102A74">
      <w:pPr>
        <w:pStyle w:val="ListParagraph"/>
        <w:spacing w:after="0" w:line="240" w:lineRule="auto"/>
        <w:ind w:left="0" w:firstLine="851"/>
        <w:jc w:val="both"/>
        <w:rPr>
          <w:rFonts w:ascii="Times New Roman" w:hAnsi="Times New Roman" w:cs="Times New Roman"/>
          <w:sz w:val="22"/>
          <w:szCs w:val="22"/>
        </w:rPr>
      </w:pPr>
      <w:r w:rsidRPr="00102A74">
        <w:rPr>
          <w:rFonts w:ascii="Times New Roman" w:hAnsi="Times New Roman" w:cs="Times New Roman"/>
          <w:sz w:val="22"/>
          <w:szCs w:val="22"/>
        </w:rPr>
        <w:t xml:space="preserve">1.6. </w:t>
      </w:r>
      <w:r w:rsidR="00E32C8E" w:rsidRPr="00102A74">
        <w:rPr>
          <w:rFonts w:ascii="Times New Roman" w:eastAsia="Arial" w:hAnsi="Times New Roman" w:cs="Times New Roman"/>
          <w:sz w:val="22"/>
          <w:szCs w:val="22"/>
        </w:rPr>
        <w:t xml:space="preserve">Išankstinis skelbimas apie </w:t>
      </w:r>
      <w:r w:rsidR="007A68AD" w:rsidRPr="00102A74">
        <w:rPr>
          <w:rFonts w:ascii="Times New Roman" w:eastAsia="Arial" w:hAnsi="Times New Roman" w:cs="Times New Roman"/>
          <w:sz w:val="22"/>
          <w:szCs w:val="22"/>
        </w:rPr>
        <w:t>p</w:t>
      </w:r>
      <w:r w:rsidR="00E32C8E" w:rsidRPr="00102A74">
        <w:rPr>
          <w:rFonts w:ascii="Times New Roman" w:eastAsia="Arial" w:hAnsi="Times New Roman" w:cs="Times New Roman"/>
          <w:sz w:val="22"/>
          <w:szCs w:val="22"/>
        </w:rPr>
        <w:t>irkimą nebuvo paskelbtas</w:t>
      </w:r>
      <w:r w:rsidR="005A3D85" w:rsidRPr="00102A74">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620B7F72" w:rsidR="00B41C66" w:rsidRPr="00945BA1"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945BA1">
        <w:rPr>
          <w:rFonts w:ascii="Times New Roman" w:eastAsia="Calibri" w:hAnsi="Times New Roman" w:cs="Times New Roman"/>
          <w:color w:val="000000" w:themeColor="text1"/>
          <w:sz w:val="22"/>
          <w:szCs w:val="22"/>
        </w:rPr>
        <w:t xml:space="preserve">Perkančioji organizacija numato įsigyti </w:t>
      </w:r>
      <w:r w:rsidR="00102A74">
        <w:rPr>
          <w:rFonts w:ascii="Times New Roman" w:hAnsi="Times New Roman" w:cs="Times New Roman"/>
          <w:bCs/>
          <w:sz w:val="22"/>
          <w:szCs w:val="22"/>
        </w:rPr>
        <w:t>krovininį automobilį</w:t>
      </w:r>
      <w:r w:rsidRPr="00945BA1">
        <w:rPr>
          <w:rFonts w:ascii="Times New Roman" w:eastAsia="Calibri" w:hAnsi="Times New Roman" w:cs="Times New Roman"/>
          <w:color w:val="00B050"/>
          <w:sz w:val="22"/>
          <w:szCs w:val="22"/>
        </w:rPr>
        <w:t>.</w:t>
      </w:r>
      <w:r w:rsidR="009F22C1" w:rsidRPr="00945BA1">
        <w:rPr>
          <w:rFonts w:ascii="Times New Roman" w:hAnsi="Times New Roman" w:cs="Times New Roman"/>
          <w:sz w:val="22"/>
          <w:szCs w:val="22"/>
        </w:rPr>
        <w:t xml:space="preserve"> </w:t>
      </w:r>
      <w:r w:rsidRPr="00945BA1">
        <w:rPr>
          <w:rFonts w:ascii="Times New Roman" w:hAnsi="Times New Roman" w:cs="Times New Roman"/>
          <w:sz w:val="22"/>
          <w:szCs w:val="22"/>
        </w:rPr>
        <w:t xml:space="preserve">Reikalavimai pirkimo objektui nustatyti </w:t>
      </w:r>
      <w:r w:rsidR="000C6963" w:rsidRPr="00945BA1">
        <w:rPr>
          <w:rFonts w:ascii="Times New Roman" w:hAnsi="Times New Roman" w:cs="Times New Roman"/>
          <w:sz w:val="22"/>
          <w:szCs w:val="22"/>
        </w:rPr>
        <w:t>P</w:t>
      </w:r>
      <w:r w:rsidR="00CE7209" w:rsidRPr="00945BA1">
        <w:rPr>
          <w:rFonts w:ascii="Times New Roman" w:hAnsi="Times New Roman" w:cs="Times New Roman"/>
          <w:sz w:val="22"/>
          <w:szCs w:val="22"/>
        </w:rPr>
        <w:t xml:space="preserve">irkimo </w:t>
      </w:r>
      <w:r w:rsidR="00444CAF" w:rsidRPr="00945BA1">
        <w:rPr>
          <w:rFonts w:ascii="Times New Roman" w:hAnsi="Times New Roman" w:cs="Times New Roman"/>
          <w:sz w:val="22"/>
          <w:szCs w:val="22"/>
        </w:rPr>
        <w:t xml:space="preserve">sąlygų </w:t>
      </w:r>
      <w:r w:rsidR="005A3D85" w:rsidRPr="00945BA1">
        <w:rPr>
          <w:rFonts w:ascii="Times New Roman" w:hAnsi="Times New Roman" w:cs="Times New Roman"/>
          <w:sz w:val="22"/>
          <w:szCs w:val="22"/>
        </w:rPr>
        <w:t>2</w:t>
      </w:r>
      <w:r w:rsidR="00C000A4" w:rsidRPr="00945BA1">
        <w:rPr>
          <w:rFonts w:ascii="Times New Roman" w:hAnsi="Times New Roman" w:cs="Times New Roman"/>
          <w:sz w:val="22"/>
          <w:szCs w:val="22"/>
        </w:rPr>
        <w:t xml:space="preserve"> pried</w:t>
      </w:r>
      <w:r w:rsidR="002A2AB5" w:rsidRPr="00945BA1">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EB3C4A" w:rsidRDefault="00862DB8" w:rsidP="00CA4D77">
      <w:pPr>
        <w:pStyle w:val="ListParagraph"/>
        <w:spacing w:after="0" w:line="240" w:lineRule="auto"/>
        <w:ind w:left="0" w:firstLine="851"/>
        <w:jc w:val="both"/>
        <w:rPr>
          <w:rFonts w:ascii="Times New Roman" w:hAnsi="Times New Roman" w:cs="Times New Roman"/>
          <w:i/>
          <w:color w:val="FF0000"/>
          <w:sz w:val="22"/>
          <w:szCs w:val="22"/>
        </w:rPr>
      </w:pPr>
      <w:r w:rsidRPr="00EB3C4A">
        <w:rPr>
          <w:rFonts w:ascii="Times New Roman" w:hAnsi="Times New Roman" w:cs="Times New Roman"/>
          <w:iCs/>
          <w:sz w:val="22"/>
          <w:szCs w:val="22"/>
        </w:rPr>
        <w:t>3.1.</w:t>
      </w:r>
      <w:r w:rsidRPr="00EB3C4A">
        <w:rPr>
          <w:rFonts w:ascii="Times New Roman" w:hAnsi="Times New Roman" w:cs="Times New Roman"/>
          <w:i/>
          <w:color w:val="FF0000"/>
          <w:sz w:val="22"/>
          <w:szCs w:val="22"/>
        </w:rPr>
        <w:t xml:space="preserve"> </w:t>
      </w:r>
      <w:r w:rsidR="00B176FD" w:rsidRPr="00EB3C4A">
        <w:rPr>
          <w:rFonts w:ascii="Times New Roman" w:hAnsi="Times New Roman" w:cs="Times New Roman"/>
          <w:sz w:val="22"/>
          <w:szCs w:val="22"/>
        </w:rPr>
        <w:t xml:space="preserve">Perkančioji organizacija nerengs susitikimo su tiekėjais dėl pirkimo </w:t>
      </w:r>
      <w:r w:rsidR="004257A5" w:rsidRPr="00EB3C4A">
        <w:rPr>
          <w:rFonts w:ascii="Times New Roman" w:hAnsi="Times New Roman" w:cs="Times New Roman"/>
          <w:sz w:val="22"/>
          <w:szCs w:val="22"/>
        </w:rPr>
        <w:t>sąlyg</w:t>
      </w:r>
      <w:r w:rsidR="00B176FD" w:rsidRPr="00EB3C4A">
        <w:rPr>
          <w:rFonts w:ascii="Times New Roman" w:hAnsi="Times New Roman" w:cs="Times New Roman"/>
          <w:sz w:val="22"/>
          <w:szCs w:val="22"/>
        </w:rPr>
        <w:t>ų</w:t>
      </w:r>
      <w:r w:rsidR="00946722" w:rsidRPr="00EB3C4A">
        <w:rPr>
          <w:rFonts w:ascii="Times New Roman" w:hAnsi="Times New Roman" w:cs="Times New Roman"/>
          <w:sz w:val="22"/>
          <w:szCs w:val="22"/>
        </w:rPr>
        <w:t xml:space="preserve"> paaiškinimo</w:t>
      </w:r>
      <w:r w:rsidR="00B176FD" w:rsidRPr="00EB3C4A">
        <w:rPr>
          <w:rFonts w:ascii="Times New Roman" w:hAnsi="Times New Roman" w:cs="Times New Roman"/>
          <w:sz w:val="22"/>
          <w:szCs w:val="22"/>
        </w:rPr>
        <w:t>.</w:t>
      </w:r>
    </w:p>
    <w:p w14:paraId="7C67DA65" w14:textId="2231B9BC" w:rsidR="00EB3C4A" w:rsidRPr="00EB2665" w:rsidRDefault="00377291" w:rsidP="00EB2665">
      <w:pPr>
        <w:ind w:firstLine="851"/>
        <w:jc w:val="both"/>
        <w:rPr>
          <w:rFonts w:ascii="Times New Roman" w:eastAsia="Times New Roman" w:hAnsi="Times New Roman" w:cs="Times New Roman"/>
          <w:sz w:val="22"/>
          <w:szCs w:val="22"/>
        </w:rPr>
      </w:pPr>
      <w:r w:rsidRPr="00EB3C4A">
        <w:rPr>
          <w:rFonts w:ascii="Times New Roman" w:hAnsi="Times New Roman" w:cs="Times New Roman"/>
          <w:sz w:val="22"/>
          <w:szCs w:val="22"/>
        </w:rPr>
        <w:t xml:space="preserve">3.2. </w:t>
      </w:r>
      <w:r w:rsidR="00EB2665">
        <w:rPr>
          <w:rFonts w:ascii="Times New Roman" w:hAnsi="Times New Roman" w:cs="Times New Roman"/>
          <w:sz w:val="22"/>
          <w:szCs w:val="22"/>
        </w:rPr>
        <w:t>O</w:t>
      </w:r>
      <w:r w:rsidR="00C000A4" w:rsidRPr="00EB3C4A">
        <w:rPr>
          <w:rFonts w:ascii="Times New Roman" w:hAnsi="Times New Roman" w:cs="Times New Roman"/>
          <w:sz w:val="22"/>
          <w:szCs w:val="22"/>
        </w:rPr>
        <w:t>bjekto apžiūr</w:t>
      </w:r>
      <w:r w:rsidR="00EB2665">
        <w:rPr>
          <w:rFonts w:ascii="Times New Roman" w:hAnsi="Times New Roman" w:cs="Times New Roman"/>
          <w:sz w:val="22"/>
          <w:szCs w:val="22"/>
        </w:rPr>
        <w:t xml:space="preserve">a netaikoma.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1C502371"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netaikomi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77833271" w:rsidR="00E43E42" w:rsidRPr="006D6FA1" w:rsidRDefault="00D24970" w:rsidP="00102A74">
      <w:pPr>
        <w:spacing w:after="0" w:line="240" w:lineRule="auto"/>
        <w:ind w:firstLine="851"/>
        <w:jc w:val="both"/>
        <w:rPr>
          <w:rFonts w:ascii="Times New Roman" w:hAnsi="Times New Roman" w:cs="Times New Roman"/>
          <w:i/>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102A74">
        <w:rPr>
          <w:rFonts w:ascii="Times New Roman" w:hAnsi="Times New Roman" w:cs="Times New Roman"/>
          <w:iCs/>
          <w:sz w:val="22"/>
          <w:szCs w:val="22"/>
        </w:rPr>
        <w:t xml:space="preserve">Reikalavimai su nacionalinio saugumu nekeliami.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0FE69338"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lastRenderedPageBreak/>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73BC157A"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102A74">
        <w:rPr>
          <w:rStyle w:val="cf01"/>
          <w:rFonts w:ascii="Times New Roman" w:eastAsiaTheme="minorHAnsi" w:hAnsi="Times New Roman" w:cs="Times New Roman"/>
          <w:bCs/>
          <w:sz w:val="22"/>
          <w:szCs w:val="22"/>
        </w:rPr>
        <w:t>.</w:t>
      </w:r>
    </w:p>
    <w:p w14:paraId="678C44CA" w14:textId="54578121"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1D07CC27"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102A74">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DDF1E6"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102A74">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E337C63" w14:textId="5F84FC13" w:rsidR="00774AA5" w:rsidRPr="003065F0" w:rsidRDefault="00C2223C"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NETAIKOMA</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informuoja pirkimo dalyvius apie EBVPD </w:t>
            </w:r>
            <w:r w:rsidRPr="003065F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1D382B81" w14:textId="77777777" w:rsidR="00102A74" w:rsidRDefault="00102A74" w:rsidP="00CA4D77">
      <w:pPr>
        <w:rPr>
          <w:rFonts w:ascii="Times New Roman" w:hAnsi="Times New Roman" w:cs="Times New Roman"/>
          <w:b/>
          <w:bCs/>
        </w:rPr>
      </w:pPr>
    </w:p>
    <w:p w14:paraId="7753599A" w14:textId="77777777" w:rsidR="00102A74" w:rsidRDefault="00102A74" w:rsidP="00102A74">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53A14DA6" w14:textId="77777777" w:rsidR="00102A74" w:rsidRPr="004337D3"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w:t>
      </w:r>
    </w:p>
    <w:p w14:paraId="6E2CB7F0" w14:textId="77777777" w:rsidR="00102A74"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44995BD6" w14:textId="77777777" w:rsidR="00102A74" w:rsidRPr="004337D3" w:rsidRDefault="00102A74" w:rsidP="00102A74">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0" w:history="1">
        <w:r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102A74" w:rsidRPr="00F61DA9" w14:paraId="20694F7D"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64FF14" w14:textId="77777777" w:rsidR="00102A74" w:rsidRPr="00F61DA9" w:rsidRDefault="00102A74" w:rsidP="00BA29D7">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A700B" w14:textId="77777777" w:rsidR="00102A74" w:rsidRPr="00F61DA9" w:rsidRDefault="00102A74" w:rsidP="00BA29D7">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C91E4E" w14:textId="77777777" w:rsidR="00102A74" w:rsidRPr="00F61DA9" w:rsidRDefault="00102A74" w:rsidP="00BA29D7">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C54AC" w14:textId="77777777" w:rsidR="00102A74" w:rsidRPr="00F61DA9" w:rsidRDefault="00102A74" w:rsidP="00BA29D7">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102A74" w:rsidRPr="00F61DA9" w14:paraId="4301125C" w14:textId="77777777" w:rsidTr="00BA29D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B2257"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102A74" w:rsidRPr="00F61DA9" w14:paraId="21C9AB4C"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A3A7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3541"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3534D289"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467D960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5AF1769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C5F55D8"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706D3B3F"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2986E2CA"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36B71F73"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2A3E3DDE"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D8453E" w14:textId="77777777" w:rsidR="00102A74" w:rsidRPr="00F61DA9" w:rsidRDefault="00102A74" w:rsidP="00BA29D7">
            <w:pPr>
              <w:pStyle w:val="NoSpacing"/>
              <w:jc w:val="both"/>
              <w:rPr>
                <w:rFonts w:ascii="Times New Roman" w:hAnsi="Times New Roman" w:cs="Times New Roman"/>
                <w:b/>
                <w:bCs/>
                <w:sz w:val="22"/>
                <w:szCs w:val="22"/>
                <w:lang w:eastAsia="en-US"/>
              </w:rPr>
            </w:pPr>
          </w:p>
          <w:p w14:paraId="73E51BF5"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376E8E4D" w14:textId="77777777" w:rsidR="00102A74" w:rsidRPr="00F61DA9" w:rsidRDefault="00102A74" w:rsidP="00BA29D7">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55E309"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F3998D" w14:textId="77777777" w:rsidR="00102A74" w:rsidRPr="00F61DA9" w:rsidRDefault="00102A74" w:rsidP="00BA29D7">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6826D" w14:textId="77777777" w:rsidR="00102A74" w:rsidRPr="00F61DA9" w:rsidRDefault="00102A74" w:rsidP="00BA29D7">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01D65F07"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18083157"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0D598704"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3E9D559B"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9FB25"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0F547A22"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6DE2CF7"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046FC591"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FB0A3E" w14:textId="77777777" w:rsidR="00102A74" w:rsidRPr="00F61DA9" w:rsidRDefault="00102A74" w:rsidP="00BA29D7">
            <w:pPr>
              <w:pStyle w:val="NoSpacing"/>
              <w:jc w:val="both"/>
              <w:rPr>
                <w:rFonts w:ascii="Times New Roman" w:hAnsi="Times New Roman" w:cs="Times New Roman"/>
                <w:sz w:val="22"/>
                <w:szCs w:val="22"/>
                <w:lang w:eastAsia="en-US"/>
              </w:rPr>
            </w:pPr>
          </w:p>
          <w:p w14:paraId="0FC4B9B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0914E551"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1AE0D60" w14:textId="77777777" w:rsidR="00102A74" w:rsidRPr="00F61DA9" w:rsidRDefault="00102A74" w:rsidP="00BA29D7">
            <w:pPr>
              <w:pStyle w:val="NoSpacing"/>
              <w:jc w:val="both"/>
              <w:rPr>
                <w:rFonts w:ascii="Times New Roman" w:hAnsi="Times New Roman" w:cs="Times New Roman"/>
                <w:sz w:val="22"/>
                <w:szCs w:val="22"/>
              </w:rPr>
            </w:pPr>
          </w:p>
          <w:p w14:paraId="0D43D127" w14:textId="77777777" w:rsidR="00102A74" w:rsidRPr="00F61DA9" w:rsidRDefault="00102A74" w:rsidP="00BA29D7">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BB7E43" w14:textId="77777777" w:rsidR="00102A74" w:rsidRPr="00F61DA9" w:rsidRDefault="00102A74" w:rsidP="00BA29D7">
            <w:pPr>
              <w:pStyle w:val="NoSpacing"/>
              <w:jc w:val="both"/>
              <w:rPr>
                <w:rFonts w:ascii="Times New Roman" w:hAnsi="Times New Roman" w:cs="Times New Roman"/>
                <w:b/>
                <w:bCs/>
                <w:sz w:val="22"/>
                <w:szCs w:val="22"/>
              </w:rPr>
            </w:pPr>
          </w:p>
          <w:p w14:paraId="1CE7D0E9"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4639AA" w14:textId="77777777" w:rsidR="00102A74" w:rsidRPr="00F61DA9" w:rsidRDefault="00102A74" w:rsidP="00BA29D7">
            <w:pPr>
              <w:pStyle w:val="NoSpacing"/>
              <w:jc w:val="both"/>
              <w:rPr>
                <w:rFonts w:ascii="Times New Roman" w:hAnsi="Times New Roman" w:cs="Times New Roman"/>
                <w:bCs/>
                <w:sz w:val="22"/>
                <w:szCs w:val="22"/>
              </w:rPr>
            </w:pPr>
          </w:p>
          <w:p w14:paraId="151ED905" w14:textId="77777777" w:rsidR="00102A74" w:rsidRPr="00F61DA9" w:rsidRDefault="00102A74" w:rsidP="00BA29D7">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5B785960" w14:textId="77777777" w:rsidR="00102A74" w:rsidRPr="00F61DA9" w:rsidRDefault="00102A74" w:rsidP="00BA29D7">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309996F" w14:textId="77777777" w:rsidR="00102A74" w:rsidRPr="00F61DA9" w:rsidRDefault="00102A74" w:rsidP="00BA29D7">
            <w:pPr>
              <w:pStyle w:val="NoSpacing"/>
              <w:jc w:val="both"/>
              <w:rPr>
                <w:rFonts w:ascii="Times New Roman" w:hAnsi="Times New Roman" w:cs="Times New Roman"/>
                <w:b/>
                <w:bCs/>
                <w:sz w:val="22"/>
                <w:szCs w:val="22"/>
              </w:rPr>
            </w:pPr>
          </w:p>
          <w:p w14:paraId="124FFDD6"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6A77FD6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510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B8D1C"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Tiekėjas yra neatlikęs jam paskirtos baudžiamojo poveikio priemonės – </w:t>
            </w:r>
            <w:r w:rsidRPr="004337D3">
              <w:rPr>
                <w:rFonts w:ascii="Times New Roman" w:hAnsi="Times New Roman" w:cs="Times New Roman"/>
                <w:sz w:val="22"/>
                <w:szCs w:val="22"/>
                <w:lang w:eastAsia="en-US"/>
              </w:rPr>
              <w:lastRenderedPageBreak/>
              <w:t>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12AC9" w14:textId="77777777" w:rsidR="00102A74" w:rsidRPr="004337D3" w:rsidRDefault="00102A74" w:rsidP="00BA29D7">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lastRenderedPageBreak/>
              <w:t>VPĮ 46 straipsnio 2¹ dalis</w:t>
            </w:r>
          </w:p>
          <w:p w14:paraId="7B934306" w14:textId="77777777" w:rsidR="00102A74" w:rsidRPr="004337D3" w:rsidRDefault="00102A74" w:rsidP="00BA29D7">
            <w:pPr>
              <w:pStyle w:val="NoSpacing"/>
              <w:jc w:val="both"/>
              <w:rPr>
                <w:rFonts w:ascii="Times New Roman" w:eastAsia="Yu Mincho" w:hAnsi="Times New Roman" w:cs="Times New Roman"/>
                <w:b/>
                <w:bCs/>
                <w:sz w:val="22"/>
                <w:szCs w:val="22"/>
              </w:rPr>
            </w:pPr>
          </w:p>
          <w:p w14:paraId="5B7F2D7F" w14:textId="77777777" w:rsidR="00102A74" w:rsidRPr="004337D3" w:rsidRDefault="00102A74" w:rsidP="00BA29D7">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lastRenderedPageBreak/>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145C4" w14:textId="77777777" w:rsidR="00102A74" w:rsidRPr="004337D3" w:rsidRDefault="00102A74" w:rsidP="00BA29D7">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lastRenderedPageBreak/>
              <w:t xml:space="preserve">Iš Lietuvoje įsteigtų subjektų įrodančių dokumentų </w:t>
            </w:r>
            <w:r w:rsidRPr="004337D3">
              <w:rPr>
                <w:rFonts w:ascii="Times New Roman" w:hAnsi="Times New Roman" w:cs="Times New Roman"/>
                <w:sz w:val="22"/>
                <w:szCs w:val="22"/>
                <w:lang w:eastAsia="en-US"/>
              </w:rPr>
              <w:lastRenderedPageBreak/>
              <w:t>nereikalaujama. Užtenka pateikto EBVPD.</w:t>
            </w:r>
          </w:p>
          <w:p w14:paraId="00DE47E0" w14:textId="77777777" w:rsidR="00102A74" w:rsidRPr="004337D3" w:rsidRDefault="00102A74" w:rsidP="00BA29D7">
            <w:pPr>
              <w:pStyle w:val="NoSpacing"/>
              <w:jc w:val="both"/>
              <w:rPr>
                <w:rFonts w:ascii="Times New Roman" w:hAnsi="Times New Roman" w:cs="Times New Roman"/>
                <w:sz w:val="22"/>
                <w:szCs w:val="22"/>
              </w:rPr>
            </w:pPr>
          </w:p>
        </w:tc>
      </w:tr>
      <w:tr w:rsidR="00102A74" w:rsidRPr="00F61DA9" w14:paraId="2328066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1CFA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3B66"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F89531" w14:textId="77777777" w:rsidR="00102A74" w:rsidRPr="00F61DA9" w:rsidRDefault="00102A74" w:rsidP="00BA29D7">
            <w:pPr>
              <w:pStyle w:val="NoSpacing"/>
              <w:jc w:val="both"/>
              <w:rPr>
                <w:rFonts w:ascii="Times New Roman" w:hAnsi="Times New Roman" w:cs="Times New Roman"/>
                <w:b/>
                <w:bCs/>
                <w:sz w:val="22"/>
                <w:szCs w:val="22"/>
                <w:lang w:eastAsia="en-US"/>
              </w:rPr>
            </w:pPr>
          </w:p>
          <w:p w14:paraId="3C804A2C"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20AA5DDE" w14:textId="77777777" w:rsidR="00102A74" w:rsidRPr="00F61DA9" w:rsidRDefault="00102A74" w:rsidP="00BA29D7">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DFC5FF" w14:textId="77777777" w:rsidR="00102A74" w:rsidRPr="004337D3" w:rsidRDefault="00102A74" w:rsidP="00BA29D7">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BB91E5"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3FD8B1E4"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2D5E67"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228B88CF" w14:textId="77777777" w:rsidR="00102A74" w:rsidRPr="00F61DA9" w:rsidRDefault="00102A74" w:rsidP="00BA29D7">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w:t>
            </w:r>
            <w:r w:rsidRPr="00F61DA9">
              <w:rPr>
                <w:rFonts w:ascii="Times New Roman" w:hAnsi="Times New Roman" w:cs="Times New Roman"/>
                <w:bCs/>
                <w:sz w:val="22"/>
                <w:szCs w:val="22"/>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3C8C"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167BAE6A" w14:textId="77777777" w:rsidR="00102A74" w:rsidRPr="00F61DA9" w:rsidRDefault="00102A74" w:rsidP="00BA29D7">
            <w:pPr>
              <w:pStyle w:val="NoSpacing"/>
              <w:jc w:val="both"/>
              <w:rPr>
                <w:rFonts w:ascii="Times New Roman" w:eastAsia="Arial" w:hAnsi="Times New Roman" w:cs="Times New Roman"/>
                <w:sz w:val="22"/>
                <w:szCs w:val="22"/>
              </w:rPr>
            </w:pPr>
          </w:p>
          <w:p w14:paraId="21DECD09"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C9268"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0F398C35"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2DC47A70" w14:textId="77777777" w:rsidR="00102A74" w:rsidRPr="00F61DA9" w:rsidRDefault="00102A74" w:rsidP="00BA29D7">
            <w:pPr>
              <w:pStyle w:val="NoSpacing"/>
              <w:jc w:val="both"/>
              <w:rPr>
                <w:rFonts w:ascii="Times New Roman" w:hAnsi="Times New Roman" w:cs="Times New Roman"/>
                <w:b/>
                <w:bCs/>
                <w:sz w:val="22"/>
                <w:szCs w:val="22"/>
              </w:rPr>
            </w:pPr>
          </w:p>
          <w:p w14:paraId="6599E278" w14:textId="77777777" w:rsidR="00102A74" w:rsidRPr="00F61DA9" w:rsidRDefault="00102A74" w:rsidP="00BA29D7">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5B91EFE2" w14:textId="77777777" w:rsidR="00102A74" w:rsidRPr="00F61DA9" w:rsidRDefault="00102A74" w:rsidP="00BA29D7">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08AC8639" w14:textId="77777777" w:rsidR="00102A74" w:rsidRPr="00F61DA9" w:rsidRDefault="00102A74" w:rsidP="00BA29D7">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DA5F95E" w14:textId="77777777" w:rsidR="00102A74" w:rsidRPr="00F61DA9" w:rsidRDefault="00102A74" w:rsidP="00BA29D7">
            <w:pPr>
              <w:pStyle w:val="NoSpacing"/>
              <w:jc w:val="both"/>
              <w:rPr>
                <w:rFonts w:ascii="Times New Roman" w:hAnsi="Times New Roman" w:cs="Times New Roman"/>
                <w:sz w:val="22"/>
                <w:szCs w:val="22"/>
              </w:rPr>
            </w:pPr>
          </w:p>
          <w:p w14:paraId="435C81FC"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4EF37D88"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6E23B434" w14:textId="77777777" w:rsidR="00102A74" w:rsidRPr="00F61DA9" w:rsidRDefault="00102A74" w:rsidP="00BA29D7">
            <w:pPr>
              <w:pStyle w:val="NoSpacing"/>
              <w:jc w:val="both"/>
              <w:rPr>
                <w:rFonts w:ascii="Times New Roman" w:eastAsia="Yu Mincho" w:hAnsi="Times New Roman" w:cs="Times New Roman"/>
                <w:sz w:val="22"/>
                <w:szCs w:val="22"/>
              </w:rPr>
            </w:pPr>
          </w:p>
          <w:p w14:paraId="6AC51B03" w14:textId="77777777" w:rsidR="00102A74" w:rsidRPr="00F61DA9" w:rsidRDefault="00102A74" w:rsidP="00BA29D7">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F61DA9">
              <w:rPr>
                <w:rFonts w:ascii="Times New Roman" w:eastAsia="Times New Roman" w:hAnsi="Times New Roman" w:cs="Times New Roman"/>
                <w:i/>
                <w:iCs/>
                <w:sz w:val="22"/>
                <w:szCs w:val="22"/>
              </w:rPr>
              <w:lastRenderedPageBreak/>
              <w:t>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6AA2020" w14:textId="77777777" w:rsidR="00102A74" w:rsidRPr="00F61DA9" w:rsidRDefault="00102A74" w:rsidP="00BA29D7">
            <w:pPr>
              <w:pStyle w:val="NoSpacing"/>
              <w:jc w:val="both"/>
              <w:rPr>
                <w:rFonts w:ascii="Times New Roman" w:hAnsi="Times New Roman" w:cs="Times New Roman"/>
                <w:i/>
                <w:iCs/>
                <w:color w:val="7030A0"/>
                <w:sz w:val="22"/>
                <w:szCs w:val="22"/>
              </w:rPr>
            </w:pPr>
          </w:p>
          <w:p w14:paraId="679F43F7"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FF3A7D" w14:textId="77777777" w:rsidR="00102A74" w:rsidRPr="00F61DA9" w:rsidRDefault="00102A74" w:rsidP="00BA29D7">
            <w:pPr>
              <w:pStyle w:val="NoSpacing"/>
              <w:jc w:val="both"/>
              <w:rPr>
                <w:rFonts w:ascii="Times New Roman" w:hAnsi="Times New Roman" w:cs="Times New Roman"/>
                <w:b/>
                <w:bCs/>
                <w:sz w:val="22"/>
                <w:szCs w:val="22"/>
              </w:rPr>
            </w:pPr>
          </w:p>
          <w:p w14:paraId="5173AC7E"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5DAD4ADE"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5C1E1278" w14:textId="77777777" w:rsidR="00102A74" w:rsidRPr="00F61DA9" w:rsidRDefault="00102A74" w:rsidP="00BA29D7">
            <w:pPr>
              <w:pStyle w:val="NoSpacing"/>
              <w:jc w:val="both"/>
              <w:rPr>
                <w:rFonts w:ascii="Times New Roman" w:hAnsi="Times New Roman" w:cs="Times New Roman"/>
                <w:b/>
                <w:bCs/>
                <w:sz w:val="22"/>
                <w:szCs w:val="22"/>
              </w:rPr>
            </w:pPr>
          </w:p>
          <w:p w14:paraId="08B76E0C"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61DA9">
              <w:rPr>
                <w:rFonts w:ascii="Times New Roman" w:hAnsi="Times New Roman" w:cs="Times New Roman"/>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057DC8" w14:textId="77777777" w:rsidR="00102A74" w:rsidRPr="00F61DA9" w:rsidRDefault="00102A74" w:rsidP="00BA29D7">
            <w:pPr>
              <w:pStyle w:val="NoSpacing"/>
              <w:jc w:val="both"/>
              <w:rPr>
                <w:rFonts w:ascii="Times New Roman" w:hAnsi="Times New Roman" w:cs="Times New Roman"/>
                <w:b/>
                <w:bCs/>
                <w:sz w:val="22"/>
                <w:szCs w:val="22"/>
              </w:rPr>
            </w:pPr>
          </w:p>
          <w:p w14:paraId="6DB716B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EEE850" w14:textId="77777777" w:rsidR="00102A74" w:rsidRPr="00F61DA9" w:rsidRDefault="00102A74" w:rsidP="00BA29D7">
            <w:pPr>
              <w:pStyle w:val="NoSpacing"/>
              <w:jc w:val="both"/>
              <w:rPr>
                <w:rFonts w:ascii="Times New Roman" w:hAnsi="Times New Roman" w:cs="Times New Roman"/>
                <w:b/>
                <w:bCs/>
                <w:sz w:val="22"/>
                <w:szCs w:val="22"/>
              </w:rPr>
            </w:pPr>
          </w:p>
          <w:p w14:paraId="1F52FC23"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4D9F9199" w14:textId="77777777" w:rsidR="00102A74" w:rsidRPr="00F61DA9" w:rsidRDefault="00102A74" w:rsidP="00BA29D7">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7DA16DF9" w14:textId="77777777" w:rsidR="00102A74" w:rsidRPr="00F61DA9" w:rsidRDefault="00102A74" w:rsidP="00BA29D7">
            <w:pPr>
              <w:pStyle w:val="NoSpacing"/>
              <w:jc w:val="both"/>
              <w:rPr>
                <w:rFonts w:ascii="Times New Roman" w:hAnsi="Times New Roman" w:cs="Times New Roman"/>
                <w:b/>
                <w:bCs/>
                <w:sz w:val="22"/>
                <w:szCs w:val="22"/>
              </w:rPr>
            </w:pPr>
          </w:p>
          <w:p w14:paraId="3504F007" w14:textId="77777777" w:rsidR="00102A74" w:rsidRPr="00F61DA9" w:rsidRDefault="00102A74" w:rsidP="00BA29D7">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F61DA9">
              <w:rPr>
                <w:rFonts w:ascii="Times New Roman" w:hAnsi="Times New Roman" w:cs="Times New Roman"/>
                <w:i/>
                <w:iCs/>
                <w:color w:val="000000" w:themeColor="text1"/>
                <w:sz w:val="22"/>
                <w:szCs w:val="22"/>
              </w:rPr>
              <w:lastRenderedPageBreak/>
              <w:t>dokumentus, jie turi būti išduoti ne anksčiau kaip 120 dienų, jas skaičiuojant atgal nuo 2022-10-14.</w:t>
            </w:r>
          </w:p>
          <w:p w14:paraId="19791F14" w14:textId="77777777" w:rsidR="00102A74" w:rsidRPr="00F61DA9" w:rsidRDefault="00102A74" w:rsidP="00BA29D7">
            <w:pPr>
              <w:pStyle w:val="NoSpacing"/>
              <w:jc w:val="both"/>
              <w:rPr>
                <w:rFonts w:ascii="Times New Roman" w:hAnsi="Times New Roman" w:cs="Times New Roman"/>
                <w:b/>
                <w:bCs/>
                <w:sz w:val="22"/>
                <w:szCs w:val="22"/>
              </w:rPr>
            </w:pPr>
          </w:p>
          <w:p w14:paraId="56A9F045"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37523" w14:textId="77777777" w:rsidR="00102A74" w:rsidRPr="00F61DA9" w:rsidRDefault="00102A74" w:rsidP="00BA29D7">
            <w:pPr>
              <w:pStyle w:val="NoSpacing"/>
              <w:jc w:val="both"/>
              <w:rPr>
                <w:rFonts w:ascii="Times New Roman" w:hAnsi="Times New Roman" w:cs="Times New Roman"/>
                <w:sz w:val="22"/>
                <w:szCs w:val="22"/>
              </w:rPr>
            </w:pPr>
          </w:p>
          <w:p w14:paraId="78619308" w14:textId="77777777" w:rsidR="00102A74" w:rsidRPr="00F61DA9" w:rsidRDefault="00102A74" w:rsidP="00BA29D7">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52529982" w14:textId="77777777" w:rsidR="00102A74" w:rsidRPr="00F61DA9" w:rsidRDefault="00102A74" w:rsidP="00BA29D7">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5D7F6F4" w14:textId="77777777" w:rsidR="00102A74" w:rsidRPr="00F61DA9" w:rsidRDefault="00102A74" w:rsidP="00BA29D7">
            <w:pPr>
              <w:pStyle w:val="NoSpacing"/>
              <w:jc w:val="both"/>
              <w:rPr>
                <w:rFonts w:ascii="Times New Roman" w:hAnsi="Times New Roman" w:cs="Times New Roman"/>
                <w:b/>
                <w:bCs/>
                <w:sz w:val="22"/>
                <w:szCs w:val="22"/>
              </w:rPr>
            </w:pPr>
          </w:p>
          <w:p w14:paraId="0929C99B"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0A1D7D75"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AF8C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7F10B"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16A7"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44DCCE79" w14:textId="77777777" w:rsidR="00102A74" w:rsidRPr="00F61DA9" w:rsidRDefault="00102A74" w:rsidP="00BA29D7">
            <w:pPr>
              <w:pStyle w:val="NoSpacing"/>
              <w:jc w:val="both"/>
              <w:rPr>
                <w:rFonts w:ascii="Times New Roman" w:eastAsia="Yu Mincho" w:hAnsi="Times New Roman" w:cs="Times New Roman"/>
                <w:sz w:val="22"/>
                <w:szCs w:val="22"/>
              </w:rPr>
            </w:pPr>
          </w:p>
          <w:p w14:paraId="65E9CE9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6B657"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77AE18BE"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6CF83BDD"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474C1F6C"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2A1D6"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74849"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5CD058A"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A640F"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57BD86FD" w14:textId="77777777" w:rsidR="00102A74" w:rsidRPr="00F61DA9" w:rsidRDefault="00102A74" w:rsidP="00BA29D7">
            <w:pPr>
              <w:pStyle w:val="NoSpacing"/>
              <w:jc w:val="both"/>
              <w:rPr>
                <w:rFonts w:ascii="Times New Roman" w:eastAsia="Yu Mincho" w:hAnsi="Times New Roman" w:cs="Times New Roman"/>
                <w:sz w:val="22"/>
                <w:szCs w:val="22"/>
              </w:rPr>
            </w:pPr>
          </w:p>
          <w:p w14:paraId="1CF07533"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CDE79"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17FA399"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18B3DDAE"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36DD7347"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E54F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DE737"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BE2E7"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0CC7B0E" w14:textId="77777777" w:rsidR="00102A74" w:rsidRPr="00F61DA9" w:rsidRDefault="00102A74" w:rsidP="00BA29D7">
            <w:pPr>
              <w:pStyle w:val="NoSpacing"/>
              <w:jc w:val="both"/>
              <w:rPr>
                <w:rFonts w:ascii="Times New Roman" w:eastAsia="Yu Mincho" w:hAnsi="Times New Roman" w:cs="Times New Roman"/>
                <w:sz w:val="22"/>
                <w:szCs w:val="22"/>
              </w:rPr>
            </w:pPr>
          </w:p>
          <w:p w14:paraId="2F999856"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5E353"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F9EB6F3"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72F4DE0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C2CF4"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57564"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61DA9">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725549F"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C22B2" w14:textId="77777777" w:rsidR="00102A74" w:rsidRPr="00F61DA9" w:rsidRDefault="00102A74" w:rsidP="00BA29D7">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BAC5A"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624FE08B" w14:textId="77777777" w:rsidR="00102A74" w:rsidRPr="00F61DA9" w:rsidRDefault="00102A74" w:rsidP="00BA29D7">
            <w:pPr>
              <w:pStyle w:val="NoSpacing"/>
              <w:jc w:val="both"/>
              <w:rPr>
                <w:rFonts w:ascii="Times New Roman" w:eastAsia="Yu Mincho" w:hAnsi="Times New Roman" w:cs="Times New Roman"/>
                <w:sz w:val="22"/>
                <w:szCs w:val="22"/>
              </w:rPr>
            </w:pPr>
          </w:p>
          <w:p w14:paraId="2D662B4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lastRenderedPageBreak/>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658FF"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Iš Lietuvoje įsteigtų subjektų įrodančių dokumentų nereikalaujama. Užtenka pateikto EBVPD.</w:t>
            </w:r>
          </w:p>
          <w:p w14:paraId="79E0F631"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4651A18C"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44AF597E"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090441" w14:textId="77777777" w:rsidR="00102A74" w:rsidRPr="00F61DA9" w:rsidRDefault="00102A74" w:rsidP="00BA29D7">
            <w:pPr>
              <w:pStyle w:val="NoSpacing"/>
              <w:jc w:val="both"/>
              <w:rPr>
                <w:rFonts w:ascii="Times New Roman" w:hAnsi="Times New Roman" w:cs="Times New Roman"/>
                <w:sz w:val="22"/>
                <w:szCs w:val="22"/>
              </w:rPr>
            </w:pPr>
            <w:hyperlink r:id="rId12"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102A74" w:rsidRPr="00F61DA9" w14:paraId="0A5767B2"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7412F"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C8536"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39FE"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9C082CA" w14:textId="77777777" w:rsidR="00102A74" w:rsidRPr="00F61DA9" w:rsidRDefault="00102A74" w:rsidP="00BA29D7">
            <w:pPr>
              <w:pStyle w:val="NoSpacing"/>
              <w:jc w:val="both"/>
              <w:rPr>
                <w:rFonts w:ascii="Times New Roman" w:eastAsia="Yu Mincho" w:hAnsi="Times New Roman" w:cs="Times New Roman"/>
                <w:sz w:val="22"/>
                <w:szCs w:val="22"/>
              </w:rPr>
            </w:pPr>
          </w:p>
          <w:p w14:paraId="19665E18"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073488FA"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05779286"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CDEE4"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553FC437" w14:textId="77777777" w:rsidR="00102A74" w:rsidRPr="00F61DA9" w:rsidRDefault="00102A74" w:rsidP="00BA29D7">
            <w:pPr>
              <w:pStyle w:val="NoSpacing"/>
              <w:jc w:val="both"/>
              <w:rPr>
                <w:rFonts w:ascii="Times New Roman" w:hAnsi="Times New Roman" w:cs="Times New Roman"/>
                <w:b/>
                <w:bCs/>
                <w:iCs/>
                <w:sz w:val="22"/>
                <w:szCs w:val="22"/>
                <w:lang w:eastAsia="en-US"/>
              </w:rPr>
            </w:pPr>
          </w:p>
        </w:tc>
      </w:tr>
      <w:tr w:rsidR="00102A74" w:rsidRPr="00F61DA9" w14:paraId="5E32F1C3"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D8DA" w14:textId="77777777" w:rsidR="00102A74" w:rsidRPr="00F61DA9" w:rsidRDefault="00102A74" w:rsidP="00BA29D7">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8FE15" w14:textId="77777777" w:rsidR="00102A74" w:rsidRPr="00F61DA9" w:rsidRDefault="00102A74" w:rsidP="00BA29D7">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F61DA9">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185221" w14:textId="77777777" w:rsidR="00102A74" w:rsidRPr="00F61DA9" w:rsidRDefault="00102A74" w:rsidP="00BA29D7">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3A868"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B30979E" w14:textId="77777777" w:rsidR="00102A74" w:rsidRPr="00F61DA9" w:rsidRDefault="00102A74" w:rsidP="00BA29D7">
            <w:pPr>
              <w:pStyle w:val="NoSpacing"/>
              <w:jc w:val="both"/>
              <w:rPr>
                <w:rFonts w:ascii="Times New Roman" w:eastAsia="Yu Mincho" w:hAnsi="Times New Roman" w:cs="Times New Roman"/>
                <w:sz w:val="22"/>
                <w:szCs w:val="22"/>
              </w:rPr>
            </w:pPr>
          </w:p>
          <w:p w14:paraId="32354936"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lastRenderedPageBreak/>
              <w:t>EBVPD</w:t>
            </w:r>
            <w:r w:rsidRPr="00F61DA9">
              <w:rPr>
                <w:rFonts w:ascii="Times New Roman" w:eastAsia="Arial" w:hAnsi="Times New Roman" w:cs="Times New Roman"/>
                <w:sz w:val="22"/>
                <w:szCs w:val="22"/>
              </w:rPr>
              <w:t xml:space="preserve"> III dalies C14 punktas</w:t>
            </w:r>
          </w:p>
          <w:p w14:paraId="41467B07"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p w14:paraId="47EA9049" w14:textId="77777777" w:rsidR="00102A74" w:rsidRPr="00F61DA9" w:rsidRDefault="00102A74" w:rsidP="00BA29D7">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E2B12"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Iš Lietuvoje įsteigtų subjektų įrodančių dokumentų nereikalaujama. Užtenka pateikto EBVPD.</w:t>
            </w:r>
          </w:p>
          <w:p w14:paraId="10B71042"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59F768BA"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797C9E" w14:textId="77777777" w:rsidR="00102A74" w:rsidRPr="00F61DA9" w:rsidRDefault="00102A74" w:rsidP="00BA29D7">
            <w:pPr>
              <w:pStyle w:val="NoSpacing"/>
              <w:jc w:val="both"/>
              <w:rPr>
                <w:rFonts w:ascii="Times New Roman" w:hAnsi="Times New Roman" w:cs="Times New Roman"/>
                <w:sz w:val="22"/>
                <w:szCs w:val="22"/>
              </w:rPr>
            </w:pPr>
          </w:p>
          <w:p w14:paraId="66AE7317" w14:textId="77777777" w:rsidR="00102A74" w:rsidRPr="00F61DA9" w:rsidRDefault="00102A74" w:rsidP="00BA29D7">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https://vpt.lrv.lt/lt/nuorodos/kiti-duomenys/powerbi/nepatikimi-tiekejai-1/</w:t>
              </w:r>
            </w:hyperlink>
          </w:p>
          <w:p w14:paraId="4D823450" w14:textId="77777777" w:rsidR="00102A74" w:rsidRPr="00F61DA9" w:rsidRDefault="00102A74" w:rsidP="00BA29D7">
            <w:pPr>
              <w:pStyle w:val="NoSpacing"/>
              <w:jc w:val="both"/>
              <w:rPr>
                <w:rFonts w:ascii="Times New Roman" w:hAnsi="Times New Roman" w:cs="Times New Roman"/>
                <w:sz w:val="22"/>
                <w:szCs w:val="22"/>
              </w:rPr>
            </w:pPr>
          </w:p>
          <w:p w14:paraId="171DBDAD" w14:textId="77777777" w:rsidR="00102A74" w:rsidRPr="00F61DA9" w:rsidRDefault="00102A74" w:rsidP="00BA29D7">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6B025CCD" w14:textId="77777777" w:rsidR="00102A74" w:rsidRPr="00F61DA9" w:rsidRDefault="00102A74" w:rsidP="00BA29D7">
            <w:pPr>
              <w:pStyle w:val="NoSpacing"/>
              <w:jc w:val="both"/>
              <w:rPr>
                <w:rFonts w:ascii="Times New Roman" w:hAnsi="Times New Roman" w:cs="Times New Roman"/>
                <w:bCs/>
                <w:sz w:val="22"/>
                <w:szCs w:val="22"/>
              </w:rPr>
            </w:pPr>
          </w:p>
          <w:p w14:paraId="54AF2533" w14:textId="77777777" w:rsidR="00102A74" w:rsidRPr="00F61DA9" w:rsidRDefault="00102A74" w:rsidP="00BA29D7">
            <w:pPr>
              <w:pStyle w:val="NoSpacing"/>
              <w:jc w:val="both"/>
              <w:rPr>
                <w:rFonts w:ascii="Times New Roman" w:hAnsi="Times New Roman" w:cs="Times New Roman"/>
                <w:b/>
                <w:bCs/>
                <w:sz w:val="22"/>
                <w:szCs w:val="22"/>
              </w:rPr>
            </w:pPr>
          </w:p>
        </w:tc>
      </w:tr>
      <w:tr w:rsidR="00102A74" w:rsidRPr="00F61DA9" w14:paraId="6FC3861A"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1B6AE"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p w14:paraId="1C7A202F" w14:textId="77777777" w:rsidR="00102A74" w:rsidRPr="00F61DA9" w:rsidRDefault="00102A74" w:rsidP="00BA29D7">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15EED"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513783F" w14:textId="77777777" w:rsidR="00102A74" w:rsidRPr="00F61DA9" w:rsidRDefault="00102A74" w:rsidP="00BA29D7">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8F409"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67B6CD5E" w14:textId="77777777" w:rsidR="00102A74" w:rsidRPr="00F61DA9" w:rsidRDefault="00102A74" w:rsidP="00BA29D7">
            <w:pPr>
              <w:pStyle w:val="NoSpacing"/>
              <w:jc w:val="both"/>
              <w:rPr>
                <w:rFonts w:ascii="Times New Roman" w:eastAsia="Yu Mincho" w:hAnsi="Times New Roman" w:cs="Times New Roman"/>
                <w:sz w:val="22"/>
                <w:szCs w:val="22"/>
              </w:rPr>
            </w:pPr>
          </w:p>
          <w:p w14:paraId="6AF16FA7" w14:textId="77777777" w:rsidR="00102A74" w:rsidRPr="00F61DA9" w:rsidRDefault="00102A74" w:rsidP="00BA29D7">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55812"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5" w:history="1">
              <w:r w:rsidRPr="00F61DA9">
                <w:rPr>
                  <w:rStyle w:val="Hyperlink"/>
                  <w:rFonts w:ascii="Times New Roman" w:hAnsi="Times New Roman" w:cs="Times New Roman"/>
                  <w:sz w:val="22"/>
                  <w:szCs w:val="22"/>
                  <w:u w:val="single"/>
                </w:rPr>
                <w:t>https://www.registrucentras.lt/jar/p/index.php</w:t>
              </w:r>
            </w:hyperlink>
          </w:p>
          <w:p w14:paraId="242094DD"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lastRenderedPageBreak/>
              <w:t>paskelbtą informaciją, taip pat į šiame informaciniame pranešime pateiktą informaciją:</w:t>
            </w:r>
          </w:p>
          <w:p w14:paraId="10FBB276" w14:textId="77777777" w:rsidR="00102A74" w:rsidRPr="00F61DA9" w:rsidRDefault="00102A74" w:rsidP="00BA29D7">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22FA19FB" w14:textId="77777777" w:rsidR="00102A74" w:rsidRPr="00F61DA9" w:rsidRDefault="00102A74" w:rsidP="00BA29D7">
            <w:pPr>
              <w:pStyle w:val="NoSpacing"/>
              <w:jc w:val="both"/>
              <w:rPr>
                <w:rFonts w:ascii="Times New Roman" w:hAnsi="Times New Roman" w:cs="Times New Roman"/>
                <w:b/>
                <w:bCs/>
                <w:iCs/>
                <w:sz w:val="22"/>
                <w:szCs w:val="22"/>
              </w:rPr>
            </w:pPr>
          </w:p>
        </w:tc>
      </w:tr>
      <w:tr w:rsidR="00102A74" w:rsidRPr="00F61DA9" w14:paraId="39CCAAC6"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C7E12"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D3E4D"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BC791"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02B3FD57" w14:textId="77777777" w:rsidR="00102A74" w:rsidRPr="00F61DA9" w:rsidRDefault="00102A74" w:rsidP="00BA29D7">
            <w:pPr>
              <w:pStyle w:val="NoSpacing"/>
              <w:jc w:val="both"/>
              <w:rPr>
                <w:rFonts w:ascii="Times New Roman" w:eastAsia="Yu Mincho" w:hAnsi="Times New Roman" w:cs="Times New Roman"/>
                <w:sz w:val="22"/>
                <w:szCs w:val="22"/>
              </w:rPr>
            </w:pPr>
          </w:p>
          <w:p w14:paraId="4E0AA93A"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AFFE0"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306EAC5" w14:textId="77777777" w:rsidR="00102A74" w:rsidRPr="00F61DA9" w:rsidRDefault="00102A74" w:rsidP="00BA29D7">
            <w:pPr>
              <w:pStyle w:val="NoSpacing"/>
              <w:jc w:val="both"/>
              <w:rPr>
                <w:rFonts w:ascii="Times New Roman" w:hAnsi="Times New Roman" w:cs="Times New Roman"/>
                <w:b/>
                <w:bCs/>
                <w:iCs/>
                <w:sz w:val="22"/>
                <w:szCs w:val="22"/>
                <w:lang w:eastAsia="en-US"/>
              </w:rPr>
            </w:pPr>
          </w:p>
          <w:p w14:paraId="1B6982D3" w14:textId="77777777" w:rsidR="00102A74" w:rsidRPr="00F61DA9" w:rsidRDefault="00102A74" w:rsidP="00BA29D7">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102A74" w:rsidRPr="00F61DA9" w14:paraId="3C4CA4BB" w14:textId="77777777" w:rsidTr="00BA29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04AC3" w14:textId="77777777" w:rsidR="00102A74" w:rsidRPr="00F61DA9" w:rsidRDefault="00102A74" w:rsidP="00BA29D7">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1D11" w14:textId="77777777" w:rsidR="00102A74" w:rsidRPr="00F61DA9" w:rsidRDefault="00102A74" w:rsidP="00BA29D7">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354" w14:textId="77777777" w:rsidR="00102A74" w:rsidRPr="00F61DA9" w:rsidRDefault="00102A74" w:rsidP="00BA29D7">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6051D24C" w14:textId="77777777" w:rsidR="00102A74" w:rsidRPr="00F61DA9" w:rsidRDefault="00102A74" w:rsidP="00BA29D7">
            <w:pPr>
              <w:pStyle w:val="NoSpacing"/>
              <w:jc w:val="both"/>
              <w:rPr>
                <w:rFonts w:ascii="Times New Roman" w:eastAsia="Yu Mincho" w:hAnsi="Times New Roman" w:cs="Times New Roman"/>
                <w:sz w:val="22"/>
                <w:szCs w:val="22"/>
              </w:rPr>
            </w:pPr>
          </w:p>
          <w:p w14:paraId="3DFDA412" w14:textId="77777777" w:rsidR="00102A74" w:rsidRPr="00F61DA9" w:rsidRDefault="00102A74" w:rsidP="00BA29D7">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C270C" w14:textId="77777777" w:rsidR="00102A74" w:rsidRPr="00F61DA9" w:rsidRDefault="00102A74" w:rsidP="00BA29D7">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09C2CF67" w14:textId="77777777" w:rsidR="00102A74" w:rsidRPr="00F61DA9" w:rsidRDefault="00102A74" w:rsidP="00BA29D7">
            <w:pPr>
              <w:pStyle w:val="NoSpacing"/>
              <w:jc w:val="both"/>
              <w:rPr>
                <w:rFonts w:ascii="Times New Roman" w:hAnsi="Times New Roman" w:cs="Times New Roman"/>
                <w:bCs/>
                <w:iCs/>
                <w:sz w:val="22"/>
                <w:szCs w:val="22"/>
                <w:lang w:eastAsia="en-US"/>
              </w:rPr>
            </w:pPr>
          </w:p>
          <w:p w14:paraId="119B664E" w14:textId="77777777" w:rsidR="00102A74" w:rsidRPr="00F61DA9" w:rsidRDefault="00102A74" w:rsidP="00BA29D7">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1B0878B" w14:textId="77777777" w:rsidR="00102A74" w:rsidRPr="00F61DA9" w:rsidRDefault="00102A74" w:rsidP="00BA29D7">
            <w:pPr>
              <w:rPr>
                <w:rFonts w:ascii="Times New Roman" w:hAnsi="Times New Roman" w:cs="Times New Roman"/>
                <w:bCs/>
                <w:iCs/>
                <w:sz w:val="22"/>
                <w:szCs w:val="22"/>
                <w:lang w:eastAsia="en-US"/>
              </w:rPr>
            </w:pPr>
            <w:hyperlink r:id="rId18"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5F101EB3" w14:textId="77777777" w:rsidR="00102A74" w:rsidRPr="00307CD1" w:rsidRDefault="00102A74" w:rsidP="00CA4D77">
      <w:pPr>
        <w:rPr>
          <w:rFonts w:ascii="Times New Roman" w:hAnsi="Times New Roman" w:cs="Times New Roman"/>
          <w:b/>
          <w:bCs/>
        </w:rPr>
      </w:pPr>
    </w:p>
    <w:p w14:paraId="66C3E8E1" w14:textId="77777777" w:rsidR="008452DE" w:rsidRDefault="008452DE" w:rsidP="008452DE">
      <w:pPr>
        <w:rPr>
          <w:highlight w:val="yellow"/>
        </w:rPr>
      </w:pPr>
    </w:p>
    <w:p w14:paraId="674B80C1" w14:textId="77777777" w:rsidR="00102A74" w:rsidRDefault="00102A74" w:rsidP="008452DE">
      <w:pPr>
        <w:rPr>
          <w:highlight w:val="yellow"/>
        </w:rPr>
      </w:pPr>
    </w:p>
    <w:p w14:paraId="04D66E25" w14:textId="77777777" w:rsidR="00102A74" w:rsidRDefault="00102A74" w:rsidP="008452DE">
      <w:pPr>
        <w:rPr>
          <w:highlight w:val="yellow"/>
        </w:rPr>
      </w:pPr>
    </w:p>
    <w:p w14:paraId="1C9EB9BA" w14:textId="77777777" w:rsidR="00102A74" w:rsidRDefault="00102A74" w:rsidP="008452DE">
      <w:pPr>
        <w:rPr>
          <w:highlight w:val="yellow"/>
        </w:rPr>
      </w:pPr>
    </w:p>
    <w:p w14:paraId="545B44DB" w14:textId="77777777" w:rsidR="00102A74" w:rsidRPr="00D469B5" w:rsidRDefault="00102A74" w:rsidP="008452DE">
      <w:pPr>
        <w:rPr>
          <w:highlight w:val="yellow"/>
        </w:rPr>
      </w:pPr>
    </w:p>
    <w:p w14:paraId="1A1E7676" w14:textId="7A77921B" w:rsidR="009F50C8" w:rsidRDefault="008D704D" w:rsidP="009F50C8">
      <w:pPr>
        <w:spacing w:after="0" w:line="240" w:lineRule="auto"/>
        <w:jc w:val="right"/>
        <w:rPr>
          <w:rFonts w:ascii="Times New Roman" w:eastAsia="Calibri" w:hAnsi="Times New Roman" w:cs="Times New Roman"/>
          <w:sz w:val="22"/>
          <w:szCs w:val="22"/>
        </w:rPr>
      </w:pPr>
      <w:bookmarkStart w:id="52" w:name="_Ref38291223"/>
      <w:bookmarkStart w:id="53" w:name="_Ref38291334"/>
      <w:bookmarkStart w:id="54" w:name="_Ref38533412"/>
      <w:bookmarkStart w:id="55" w:name="_Toc132961710"/>
      <w:r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2"/>
      <w:bookmarkEnd w:id="53"/>
      <w:bookmarkEnd w:id="54"/>
      <w:bookmarkEnd w:id="55"/>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48B77229" w14:textId="3A935F78" w:rsidR="002F15A4" w:rsidRPr="002F15A4" w:rsidRDefault="002F15A4" w:rsidP="002F15A4">
      <w:pPr>
        <w:rPr>
          <w:rFonts w:ascii="Times New Roman" w:hAnsi="Times New Roman" w:cs="Times New Roman"/>
          <w:sz w:val="22"/>
          <w:szCs w:val="22"/>
        </w:rPr>
      </w:pPr>
      <w:r>
        <w:rPr>
          <w:rFonts w:ascii="Times New Roman" w:hAnsi="Times New Roman" w:cs="Times New Roman"/>
          <w:sz w:val="22"/>
          <w:szCs w:val="22"/>
        </w:rPr>
        <w:t>T</w:t>
      </w:r>
      <w:r w:rsidRPr="002F15A4">
        <w:rPr>
          <w:rFonts w:ascii="Times New Roman" w:hAnsi="Times New Roman" w:cs="Times New Roman"/>
          <w:sz w:val="22"/>
          <w:szCs w:val="22"/>
        </w:rPr>
        <w:t>iekėjų kvalifikacijos reikalavimai ir reikalavimai laikytis kokybės vadybos sistemos ir (arba) aplinkos apsaugos vadybos sistemos standartų</w:t>
      </w:r>
      <w:r>
        <w:rPr>
          <w:rFonts w:ascii="Times New Roman" w:hAnsi="Times New Roman" w:cs="Times New Roman"/>
          <w:sz w:val="22"/>
          <w:szCs w:val="22"/>
        </w:rPr>
        <w:t xml:space="preserve"> netaikomi. </w:t>
      </w:r>
    </w:p>
    <w:p w14:paraId="6821DAB9" w14:textId="754363BC" w:rsidR="00A4599F" w:rsidRPr="00C2223C" w:rsidRDefault="00A4599F" w:rsidP="00C2223C">
      <w:pPr>
        <w:spacing w:after="0" w:line="240" w:lineRule="auto"/>
        <w:rPr>
          <w:rFonts w:ascii="Times New Roman" w:eastAsiaTheme="minorHAnsi" w:hAnsi="Times New Roman" w:cs="Times New Roman"/>
          <w:lang w:eastAsia="en-US"/>
        </w:rPr>
      </w:pPr>
      <w:r w:rsidRPr="00FD157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6" w:name="_Ref38291379"/>
      <w:bookmarkStart w:id="57" w:name="_Ref38291394"/>
      <w:bookmarkStart w:id="58" w:name="_Ref38898251"/>
      <w:bookmarkStart w:id="59"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6"/>
      <w:bookmarkEnd w:id="57"/>
      <w:bookmarkEnd w:id="58"/>
      <w:bookmarkEnd w:id="59"/>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132961712"/>
      <w:bookmarkStart w:id="64"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0"/>
      <w:bookmarkEnd w:id="61"/>
      <w:bookmarkEnd w:id="62"/>
      <w:bookmarkEnd w:id="63"/>
    </w:p>
    <w:bookmarkEnd w:id="64"/>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9484039"/>
      <w:bookmarkStart w:id="66" w:name="_Ref40278562"/>
      <w:bookmarkStart w:id="67"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5"/>
      <w:bookmarkEnd w:id="66"/>
      <w:bookmarkEnd w:id="67"/>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969C0B2" w14:textId="6B6C876D" w:rsidR="00C2223C" w:rsidRPr="00102A74" w:rsidRDefault="009B6F95" w:rsidP="00102A74">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68" w:name="_Ref39586171"/>
      <w:bookmarkStart w:id="69" w:name="_Ref39673580"/>
      <w:bookmarkStart w:id="70" w:name="_Ref39674283"/>
      <w:bookmarkStart w:id="71" w:name="_Toc132961716"/>
      <w:bookmarkStart w:id="72" w:name="_Hlk135900897"/>
    </w:p>
    <w:p w14:paraId="72C4D3DF" w14:textId="77777777" w:rsidR="00C2223C" w:rsidRPr="00C2223C" w:rsidRDefault="00C2223C" w:rsidP="00C2223C"/>
    <w:p w14:paraId="040FB65E" w14:textId="00C57BFB"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102A74" w:rsidRPr="001824BD">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68"/>
      <w:bookmarkEnd w:id="69"/>
      <w:bookmarkEnd w:id="70"/>
      <w:bookmarkEnd w:id="71"/>
      <w:bookmarkEnd w:id="72"/>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9B7E" w14:textId="77777777" w:rsidR="0055219A" w:rsidRDefault="0055219A" w:rsidP="00D05666">
      <w:r>
        <w:separator/>
      </w:r>
    </w:p>
  </w:endnote>
  <w:endnote w:type="continuationSeparator" w:id="0">
    <w:p w14:paraId="306DB870" w14:textId="77777777" w:rsidR="0055219A" w:rsidRDefault="0055219A" w:rsidP="00D05666">
      <w:r>
        <w:continuationSeparator/>
      </w:r>
    </w:p>
  </w:endnote>
  <w:endnote w:type="continuationNotice" w:id="1">
    <w:p w14:paraId="272E1E67" w14:textId="77777777" w:rsidR="0055219A" w:rsidRDefault="00552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0511" w14:textId="77777777" w:rsidR="0055219A" w:rsidRDefault="0055219A" w:rsidP="00D05666">
      <w:r>
        <w:separator/>
      </w:r>
    </w:p>
  </w:footnote>
  <w:footnote w:type="continuationSeparator" w:id="0">
    <w:p w14:paraId="2659D837" w14:textId="77777777" w:rsidR="0055219A" w:rsidRDefault="0055219A" w:rsidP="00D05666">
      <w:r>
        <w:continuationSeparator/>
      </w:r>
    </w:p>
  </w:footnote>
  <w:footnote w:type="continuationNotice" w:id="1">
    <w:p w14:paraId="2B6AA6A9" w14:textId="77777777" w:rsidR="0055219A" w:rsidRDefault="0055219A">
      <w:pPr>
        <w:spacing w:after="0" w:line="240" w:lineRule="auto"/>
      </w:pPr>
    </w:p>
  </w:footnote>
  <w:footnote w:id="2">
    <w:p w14:paraId="63586D7A" w14:textId="77777777" w:rsidR="00102A74" w:rsidRPr="001620D3" w:rsidRDefault="00102A74" w:rsidP="00102A74">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26CCF77" w14:textId="77777777" w:rsidR="00102A74" w:rsidRPr="001620D3" w:rsidRDefault="00102A74" w:rsidP="00102A7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FE285" w14:textId="77777777" w:rsidR="00102A74" w:rsidRPr="001620D3" w:rsidRDefault="00102A74" w:rsidP="00102A74">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81DD70" w14:textId="77777777" w:rsidR="00102A74" w:rsidRDefault="00102A74" w:rsidP="00102A74">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118D25B" w14:textId="77777777" w:rsidR="00102A74" w:rsidRPr="001620D3" w:rsidRDefault="00102A74" w:rsidP="00102A7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4A972C" w14:textId="77777777" w:rsidR="00102A74" w:rsidRPr="001620D3" w:rsidRDefault="00102A74" w:rsidP="00102A74">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96351C" w14:textId="77777777" w:rsidR="00102A74" w:rsidRDefault="00102A74" w:rsidP="00102A74">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804542" w14:textId="77777777" w:rsidR="00102A74" w:rsidRPr="001620D3" w:rsidRDefault="00102A74" w:rsidP="00102A7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DC97E" w14:textId="77777777" w:rsidR="00102A74" w:rsidRPr="001620D3" w:rsidRDefault="00102A74" w:rsidP="00102A74">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1157E2C8" w14:textId="77777777" w:rsidR="00102A74" w:rsidRDefault="00102A74" w:rsidP="00102A74">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01E"/>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3F29"/>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A74"/>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4BD"/>
    <w:rsid w:val="00182729"/>
    <w:rsid w:val="00182CBF"/>
    <w:rsid w:val="00182E25"/>
    <w:rsid w:val="0018349F"/>
    <w:rsid w:val="00183AD9"/>
    <w:rsid w:val="00183BC8"/>
    <w:rsid w:val="00183BF1"/>
    <w:rsid w:val="00184235"/>
    <w:rsid w:val="00184288"/>
    <w:rsid w:val="001849BD"/>
    <w:rsid w:val="001853B6"/>
    <w:rsid w:val="00185454"/>
    <w:rsid w:val="001858CE"/>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3250"/>
    <w:rsid w:val="001B33A4"/>
    <w:rsid w:val="001B370C"/>
    <w:rsid w:val="001B3C7D"/>
    <w:rsid w:val="001B3F4C"/>
    <w:rsid w:val="001B4216"/>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81"/>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D2E"/>
    <w:rsid w:val="00413F8C"/>
    <w:rsid w:val="00413FA7"/>
    <w:rsid w:val="004147BD"/>
    <w:rsid w:val="004157B6"/>
    <w:rsid w:val="0041685F"/>
    <w:rsid w:val="00416CD6"/>
    <w:rsid w:val="00416D08"/>
    <w:rsid w:val="004170BC"/>
    <w:rsid w:val="00417604"/>
    <w:rsid w:val="00421D7D"/>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C34"/>
    <w:rsid w:val="005505A6"/>
    <w:rsid w:val="005505BF"/>
    <w:rsid w:val="00551B0D"/>
    <w:rsid w:val="00551FA7"/>
    <w:rsid w:val="0055219A"/>
    <w:rsid w:val="00553286"/>
    <w:rsid w:val="00553E2C"/>
    <w:rsid w:val="00553F9C"/>
    <w:rsid w:val="0055476C"/>
    <w:rsid w:val="0055710D"/>
    <w:rsid w:val="00557458"/>
    <w:rsid w:val="00557ED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662"/>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02"/>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71"/>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D2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5E0"/>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A00"/>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37"/>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8A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5138</Words>
  <Characters>29292</Characters>
  <Application>Microsoft Office Word</Application>
  <DocSecurity>0</DocSecurity>
  <Lines>244</Lines>
  <Paragraphs>68</Paragraphs>
  <ScaleCrop>false</ScaleCrop>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2026-05-11T14:02:00Z</dcterms:created>
  <dcterms:modified xsi:type="dcterms:W3CDTF">2026-05-11T14:04:00Z</dcterms:modified>
</cp:coreProperties>
</file>