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customXml/itemProps2.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word/document.xml" ContentType="application/vnd.openxmlformats-officedocument.wordprocessingml.document.main+xml"/>
  <Override PartName="/word/header2.xml" ContentType="application/vnd.openxmlformats-officedocument.wordprocessingml.header+xml"/>
  <Override PartName="/word/theme/theme1.xml" ContentType="application/vnd.openxmlformats-officedocument.theme+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214B89A8" w14:textId="77777777">
      <w:pPr>
        <w:pBdr/>
        <w:spacing/>
        <w:ind/>
        <w:jc w:val="right"/>
        <w:rPr>
          <w:b/>
          <w:bCs/>
        </w:rPr>
      </w:pPr>
      <w:r>
        <w:rPr>
          <w:b/>
          <w:bCs/>
        </w:rPr>
        <w:t xml:space="preserve">Pirkimo sąlygų 2 priedas</w:t>
      </w:r>
      <w:r>
        <w:rPr>
          <w:b/>
          <w:bCs/>
        </w:rPr>
      </w:r>
      <w:r>
        <w:rPr>
          <w:b/>
          <w:bCs/>
        </w:rPr>
      </w:r>
    </w:p>
    <w:p w14:paraId="69ECC413" w14:textId="77777777">
      <w:pPr>
        <w:pBdr/>
        <w:spacing/>
        <w:ind/>
        <w:jc w:val="right"/>
        <w:rPr>
          <w:b/>
          <w:bCs/>
        </w:rPr>
      </w:pPr>
      <w:r>
        <w:rPr>
          <w:b/>
          <w:bCs/>
        </w:rPr>
        <w:t xml:space="preserve">Pirkimo sutarties projektas</w:t>
      </w:r>
      <w:r>
        <w:rPr>
          <w:b/>
          <w:bCs/>
        </w:rPr>
      </w:r>
      <w:r>
        <w:rPr>
          <w:b/>
          <w:bCs/>
        </w:rPr>
      </w:r>
    </w:p>
    <w:p w14:paraId="3B2B0922" w14:textId="77777777">
      <w:pPr>
        <w:pBdr/>
        <w:spacing/>
        <w:ind/>
        <w:jc w:val="center"/>
        <w:rPr>
          <w:b/>
          <w:caps/>
          <w:szCs w:val="22"/>
        </w:rPr>
      </w:pPr>
      <w:r>
        <w:rPr>
          <w:b/>
          <w:caps/>
          <w:szCs w:val="22"/>
        </w:rPr>
      </w:r>
      <w:r>
        <w:rPr>
          <w:b/>
          <w:caps/>
          <w:szCs w:val="22"/>
        </w:rPr>
      </w:r>
      <w:r>
        <w:rPr>
          <w:b/>
          <w:caps/>
          <w:szCs w:val="22"/>
        </w:rPr>
      </w:r>
    </w:p>
    <w:p w14:paraId="7D0A3D55" w14:textId="77777777">
      <w:pPr>
        <w:pBdr/>
        <w:spacing/>
        <w:ind/>
        <w:jc w:val="center"/>
        <w:rPr>
          <w:b/>
          <w:caps/>
          <w:szCs w:val="22"/>
          <w:highlight w:val="none"/>
        </w:rPr>
      </w:pPr>
      <w:r>
        <w:rPr>
          <w:highlight w:val="none"/>
        </w:rPr>
      </w:r>
      <w:bookmarkStart w:id="0" w:name="_Hlk198556477"/>
      <w:r>
        <w:rPr>
          <w:b/>
          <w:caps/>
          <w:szCs w:val="22"/>
          <w:highlight w:val="none"/>
        </w:rPr>
        <w:t xml:space="preserve">Procedūrinės kėdės</w:t>
      </w:r>
      <w:r>
        <w:rPr>
          <w:b/>
          <w:caps/>
          <w:szCs w:val="22"/>
          <w:highlight w:val="none"/>
        </w:rPr>
        <w:t xml:space="preserve"> (4vnt)</w:t>
      </w:r>
      <w:r>
        <w:rPr>
          <w:b/>
          <w:caps/>
          <w:szCs w:val="22"/>
          <w:highlight w:val="none"/>
        </w:rPr>
      </w:r>
      <w:r>
        <w:rPr>
          <w:b/>
          <w:caps/>
          <w:szCs w:val="22"/>
          <w:highlight w:val="none"/>
        </w:rPr>
      </w:r>
    </w:p>
    <w:p w14:paraId="0CDFD9DF" w14:textId="77777777">
      <w:pPr>
        <w:pBdr/>
        <w:spacing/>
        <w:ind/>
        <w:jc w:val="center"/>
        <w:rPr>
          <w:b/>
          <w:caps/>
        </w:rPr>
      </w:pPr>
      <w:r>
        <w:rPr>
          <w:b/>
          <w:caps/>
          <w:szCs w:val="22"/>
        </w:rPr>
        <w:t xml:space="preserve">Pirkimo SUTARTIS</w:t>
      </w:r>
      <w:bookmarkEnd w:id="0"/>
      <w:r>
        <w:rPr>
          <w:b/>
          <w:caps/>
        </w:rPr>
      </w:r>
      <w:r>
        <w:rPr>
          <w:b/>
          <w:caps/>
        </w:rPr>
      </w:r>
    </w:p>
    <w:p w14:paraId="02B5FA63" w14:textId="77777777">
      <w:pPr>
        <w:pBdr/>
        <w:spacing/>
        <w:ind/>
        <w:jc w:val="center"/>
        <w:rPr>
          <w:caps/>
        </w:rPr>
      </w:pPr>
      <w:r>
        <w:rPr>
          <w:caps/>
        </w:rPr>
      </w:r>
      <w:r>
        <w:rPr>
          <w:caps/>
        </w:rPr>
      </w:r>
      <w:r>
        <w:rPr>
          <w:caps/>
        </w:rPr>
      </w:r>
    </w:p>
    <w:p w14:paraId="1A534830" w14:textId="77777777">
      <w:pPr>
        <w:pBdr/>
        <w:spacing/>
        <w:ind/>
        <w:jc w:val="center"/>
        <w:rPr>
          <w:szCs w:val="24"/>
        </w:rPr>
      </w:pPr>
      <w:r>
        <w:rPr>
          <w:szCs w:val="24"/>
        </w:rPr>
        <w:t xml:space="preserve">2026 m. ________ __ d. Nr. __________________</w:t>
      </w:r>
      <w:r>
        <w:rPr>
          <w:szCs w:val="24"/>
        </w:rPr>
      </w:r>
      <w:r>
        <w:rPr>
          <w:szCs w:val="24"/>
        </w:rPr>
      </w:r>
    </w:p>
    <w:p w14:paraId="080510F7" w14:textId="77777777">
      <w:pPr>
        <w:pBdr/>
        <w:spacing/>
        <w:ind/>
        <w:jc w:val="center"/>
        <w:rPr>
          <w:szCs w:val="24"/>
        </w:rPr>
      </w:pPr>
      <w:r>
        <w:rPr>
          <w:szCs w:val="24"/>
        </w:rPr>
        <w:t xml:space="preserve">Kuršėnai</w:t>
      </w:r>
      <w:r>
        <w:rPr>
          <w:szCs w:val="24"/>
        </w:rPr>
      </w:r>
      <w:r>
        <w:rPr>
          <w:szCs w:val="24"/>
        </w:rPr>
      </w:r>
    </w:p>
    <w:p w14:paraId="45688EB3" w14:textId="77777777">
      <w:pPr>
        <w:pBdr/>
        <w:spacing/>
        <w:ind/>
        <w:jc w:val="both"/>
        <w:rPr>
          <w:b/>
        </w:rPr>
      </w:pPr>
      <w:r>
        <w:rPr>
          <w:b/>
        </w:rPr>
      </w:r>
      <w:r>
        <w:rPr>
          <w:b/>
        </w:rPr>
      </w:r>
      <w:r>
        <w:rPr>
          <w:b/>
        </w:rPr>
      </w:r>
    </w:p>
    <w:p w14:paraId="573740FE" w14:textId="77777777">
      <w:pPr>
        <w:pBdr>
          <w:top w:val="none" w:color="000000" w:sz="4" w:space="0"/>
          <w:left w:val="none" w:color="000000" w:sz="4" w:space="0"/>
          <w:bottom w:val="none" w:color="000000" w:sz="4" w:space="0"/>
          <w:right w:val="none" w:color="000000" w:sz="4" w:space="0"/>
        </w:pBdr>
        <w:spacing/>
        <w:ind/>
        <w:jc w:val="both"/>
        <w:rPr>
          <w:highlight w:val="none"/>
        </w:rPr>
      </w:pPr>
      <w:r>
        <w:rPr>
          <w:highlight w:val="none"/>
        </w:rPr>
        <w:t xml:space="preserve">Viešoji įstaiga  </w:t>
      </w:r>
      <w:r>
        <w:rPr>
          <w:b/>
          <w:bCs/>
          <w:highlight w:val="none"/>
        </w:rPr>
        <w:t xml:space="preserve">Šiaulių rajono savivaldybės sveikatos centras</w:t>
      </w:r>
      <w:r>
        <w:rPr>
          <w:highlight w:val="none"/>
        </w:rPr>
        <w:t xml:space="preserve">, juridinio asmens kodas  306673280, </w:t>
      </w:r>
      <w:r>
        <w:rPr>
          <w:highlight w:val="none"/>
        </w:rPr>
      </w:r>
      <w:r>
        <w:rPr>
          <w:highlight w:val="none"/>
        </w:rPr>
      </w:r>
    </w:p>
    <w:p w14:paraId="7DC5338D" w14:textId="77777777">
      <w:pPr>
        <w:pBdr>
          <w:top w:val="none" w:color="000000" w:sz="4" w:space="0"/>
          <w:left w:val="none" w:color="000000" w:sz="4" w:space="0"/>
          <w:bottom w:val="none" w:color="000000" w:sz="4" w:space="0"/>
          <w:right w:val="none" w:color="000000" w:sz="4" w:space="0"/>
        </w:pBdr>
        <w:spacing/>
        <w:ind/>
        <w:jc w:val="both"/>
        <w:rPr>
          <w:highlight w:val="none"/>
        </w:rPr>
      </w:pPr>
      <w:r>
        <w:rPr>
          <w:highlight w:val="none"/>
        </w:rPr>
        <w:t xml:space="preserve">buveinės adresas J. Basanavičiaus g. 18, 81183 Kuršėnai, Šiaulių r. sav., atstovaujama direktorės Zitos </w:t>
      </w:r>
      <w:r>
        <w:rPr>
          <w:highlight w:val="none"/>
        </w:rPr>
      </w:r>
      <w:r>
        <w:rPr>
          <w:highlight w:val="none"/>
        </w:rPr>
      </w:r>
    </w:p>
    <w:p w14:paraId="11579BEA" w14:textId="77777777">
      <w:pPr>
        <w:pBdr>
          <w:top w:val="none" w:color="000000" w:sz="4" w:space="0"/>
          <w:left w:val="none" w:color="000000" w:sz="4" w:space="0"/>
          <w:bottom w:val="none" w:color="000000" w:sz="4" w:space="0"/>
          <w:right w:val="none" w:color="000000" w:sz="4" w:space="0"/>
        </w:pBdr>
        <w:spacing/>
        <w:ind/>
        <w:jc w:val="both"/>
        <w:rPr>
          <w:highlight w:val="none"/>
        </w:rPr>
      </w:pPr>
      <w:r>
        <w:rPr>
          <w:highlight w:val="none"/>
        </w:rPr>
        <w:t xml:space="preserve">Jablonskienės, veikiančios pagal įstaigos nuostatus  (toliau – Pirkėjas), ir</w:t>
      </w:r>
      <w:r>
        <w:rPr>
          <w:highlight w:val="none"/>
        </w:rPr>
      </w:r>
      <w:r>
        <w:rPr>
          <w:highlight w:val="none"/>
        </w:rPr>
      </w:r>
    </w:p>
    <w:p w14:paraId="690524DD" w14:textId="77777777">
      <w:pPr>
        <w:pBdr/>
        <w:tabs>
          <w:tab w:val="left" w:leader="none" w:pos="690"/>
        </w:tabs>
        <w:spacing w:before="120"/>
        <w:ind/>
        <w:jc w:val="both"/>
        <w:rPr>
          <w:szCs w:val="24"/>
        </w:rPr>
      </w:pPr>
      <w:r>
        <w:rPr>
          <w:szCs w:val="24"/>
        </w:rPr>
        <w:t xml:space="preserve"> ________ , juridinio asmens kodas _________, kurio(-s) buveinė yra ________, atstovaujama ______,veikiančio(-</w:t>
      </w:r>
      <w:r>
        <w:rPr>
          <w:szCs w:val="24"/>
        </w:rPr>
        <w:t xml:space="preserve">os</w:t>
      </w:r>
      <w:r>
        <w:rPr>
          <w:szCs w:val="24"/>
        </w:rPr>
        <w:t xml:space="preserve">) pagal ______________ (toliau – Pardavėjas),</w:t>
      </w:r>
      <w:r>
        <w:rPr>
          <w:szCs w:val="24"/>
        </w:rPr>
      </w:r>
      <w:r>
        <w:rPr>
          <w:szCs w:val="24"/>
        </w:rPr>
      </w:r>
    </w:p>
    <w:p w14:paraId="05642FB8" w14:textId="77777777">
      <w:pPr>
        <w:pBdr/>
        <w:tabs>
          <w:tab w:val="left" w:leader="none" w:pos="690"/>
        </w:tabs>
        <w:spacing w:before="120"/>
        <w:ind/>
        <w:jc w:val="both"/>
        <w:rPr>
          <w:szCs w:val="24"/>
        </w:rPr>
      </w:pPr>
      <w:r>
        <w:rPr>
          <w:szCs w:val="24"/>
        </w:rPr>
        <w:t xml:space="preserve">toliau kartu vadinami „Šalimis“, o kiekviena atskirai – „Šalimi“,</w:t>
      </w:r>
      <w:r>
        <w:rPr>
          <w:szCs w:val="24"/>
        </w:rPr>
      </w:r>
      <w:r>
        <w:rPr>
          <w:szCs w:val="24"/>
        </w:rPr>
      </w:r>
    </w:p>
    <w:p w14:paraId="6F875BDD" w14:textId="77777777">
      <w:pPr>
        <w:pBdr/>
        <w:tabs>
          <w:tab w:val="left" w:leader="none" w:pos="690"/>
        </w:tabs>
        <w:spacing w:before="120"/>
        <w:ind/>
        <w:jc w:val="both"/>
        <w:rPr>
          <w:szCs w:val="24"/>
          <w:highlight w:val="none"/>
        </w:rPr>
      </w:pPr>
      <w:r>
        <w:rPr>
          <w:szCs w:val="24"/>
          <w:highlight w:val="none"/>
        </w:rPr>
        <w:t xml:space="preserve">atsižvelgdami į </w:t>
      </w:r>
      <w:bookmarkStart w:id="1" w:name="__DdeLink__39_2041566461"/>
      <w:r>
        <w:rPr>
          <w:szCs w:val="24"/>
          <w:highlight w:val="none"/>
        </w:rPr>
        <w:t xml:space="preserve">įvykdyto atviro konkurso</w:t>
      </w:r>
      <w:r>
        <w:rPr>
          <w:szCs w:val="24"/>
          <w:highlight w:val="none"/>
        </w:rPr>
        <w:t xml:space="preserve"> “</w:t>
      </w:r>
      <w:r>
        <w:rPr>
          <w:szCs w:val="24"/>
          <w:highlight w:val="none"/>
        </w:rPr>
        <w:t xml:space="preserve">Procedūrinės kėdės</w:t>
      </w:r>
      <w:bookmarkEnd w:id="1"/>
      <w:r>
        <w:rPr>
          <w:szCs w:val="24"/>
          <w:highlight w:val="none"/>
        </w:rPr>
        <w:t xml:space="preserve"> (4 vnt)”</w:t>
      </w:r>
      <w:r>
        <w:rPr>
          <w:szCs w:val="24"/>
          <w:highlight w:val="none"/>
        </w:rPr>
        <w:t xml:space="preserve"> </w:t>
      </w:r>
      <w:r>
        <w:rPr>
          <w:bCs/>
          <w:szCs w:val="24"/>
          <w:highlight w:val="none"/>
        </w:rPr>
        <w:t xml:space="preserve">(pirkimo Nr. _____) procedūras</w:t>
      </w:r>
      <w:r>
        <w:rPr>
          <w:szCs w:val="24"/>
          <w:highlight w:val="none"/>
        </w:rPr>
        <w:t xml:space="preserve">, sudarė šią sutartį (toliau – Sutartis).</w:t>
      </w:r>
      <w:r>
        <w:rPr>
          <w:szCs w:val="24"/>
          <w:highlight w:val="none"/>
        </w:rPr>
      </w:r>
      <w:r>
        <w:rPr>
          <w:szCs w:val="24"/>
          <w:highlight w:val="none"/>
        </w:rPr>
      </w:r>
    </w:p>
    <w:p w14:paraId="36DC2C11" w14:textId="77777777">
      <w:pPr>
        <w:pBdr/>
        <w:tabs>
          <w:tab w:val="left" w:leader="none" w:pos="690"/>
        </w:tabs>
        <w:spacing w:before="120"/>
        <w:ind/>
        <w:jc w:val="both"/>
        <w:rPr>
          <w:szCs w:val="24"/>
        </w:rPr>
      </w:pPr>
      <w:r>
        <w:rPr>
          <w:szCs w:val="24"/>
        </w:rPr>
        <w:t xml:space="preserve">Sutartį sudaro Sutarties bendrosios sąlygos, Sutarties specialiosios sąlygos, Sutarties priedai, o taip pat Sutarties pakeitimai, jeigu Šalys dėl jų susitars.</w:t>
      </w:r>
      <w:r>
        <w:rPr>
          <w:szCs w:val="24"/>
        </w:rPr>
      </w:r>
      <w:r>
        <w:rPr>
          <w:szCs w:val="24"/>
        </w:rPr>
      </w:r>
    </w:p>
    <w:p w14:paraId="3793488A" w14:textId="77777777">
      <w:pPr>
        <w:pBdr/>
        <w:spacing/>
        <w:ind w:firstLine="4820"/>
        <w:jc w:val="both"/>
        <w:rPr>
          <w:color w:val="000000"/>
          <w:szCs w:val="24"/>
        </w:rPr>
      </w:pPr>
      <w:r>
        <w:rPr>
          <w:color w:val="000000"/>
          <w:szCs w:val="24"/>
        </w:rPr>
      </w:r>
      <w:r>
        <w:rPr>
          <w:color w:val="000000"/>
          <w:szCs w:val="24"/>
        </w:rPr>
      </w:r>
      <w:r>
        <w:rPr>
          <w:color w:val="000000"/>
          <w:szCs w:val="24"/>
        </w:rPr>
      </w:r>
    </w:p>
    <w:p w14:paraId="2852B119" w14:textId="77777777">
      <w:pPr>
        <w:pBdr/>
        <w:spacing/>
        <w:ind w:firstLine="4820"/>
        <w:rPr>
          <w:color w:val="000000"/>
          <w:szCs w:val="24"/>
        </w:rPr>
      </w:pPr>
      <w:r>
        <w:rPr>
          <w:color w:val="000000"/>
          <w:szCs w:val="24"/>
        </w:rPr>
      </w:r>
      <w:r>
        <w:rPr>
          <w:color w:val="000000"/>
          <w:szCs w:val="24"/>
        </w:rPr>
      </w:r>
      <w:r>
        <w:rPr>
          <w:color w:val="000000"/>
          <w:szCs w:val="24"/>
        </w:rPr>
      </w:r>
    </w:p>
    <w:p w14:paraId="0760D331" w14:textId="77777777">
      <w:pPr>
        <w:pBdr/>
        <w:spacing w:line="257" w:lineRule="atLeast"/>
        <w:ind/>
        <w:jc w:val="center"/>
        <w:rPr>
          <w:color w:val="000000"/>
          <w:szCs w:val="24"/>
        </w:rPr>
      </w:pPr>
      <w:r>
        <w:rPr>
          <w:b/>
          <w:bCs/>
          <w:caps/>
          <w:color w:val="000000"/>
          <w:szCs w:val="24"/>
        </w:rPr>
        <w:t xml:space="preserve">PREKIŲ PIRKIMO</w:t>
      </w:r>
      <w:r>
        <w:rPr>
          <w:color w:val="000000"/>
          <w:szCs w:val="24"/>
        </w:rPr>
        <w:t xml:space="preserve">–</w:t>
      </w:r>
      <w:r>
        <w:rPr>
          <w:b/>
          <w:bCs/>
          <w:caps/>
          <w:color w:val="000000"/>
          <w:szCs w:val="24"/>
        </w:rPr>
        <w:t xml:space="preserve">PARDAVIMO SUTARTIES BENDROSIOS SĄLYGOS</w:t>
      </w:r>
      <w:r>
        <w:rPr>
          <w:color w:val="000000"/>
          <w:szCs w:val="24"/>
        </w:rPr>
      </w:r>
      <w:r>
        <w:rPr>
          <w:color w:val="000000"/>
          <w:szCs w:val="24"/>
        </w:rPr>
      </w:r>
    </w:p>
    <w:p w14:paraId="2892C0BD" w14:textId="77777777">
      <w:pPr>
        <w:pBdr/>
        <w:spacing w:line="257" w:lineRule="atLeast"/>
        <w:ind w:firstLine="62"/>
        <w:jc w:val="center"/>
        <w:rPr>
          <w:color w:val="000000"/>
          <w:szCs w:val="24"/>
        </w:rPr>
      </w:pPr>
      <w:r>
        <w:rPr>
          <w:color w:val="000000"/>
          <w:szCs w:val="24"/>
        </w:rPr>
      </w:r>
      <w:r>
        <w:rPr>
          <w:color w:val="000000"/>
          <w:szCs w:val="24"/>
        </w:rPr>
      </w:r>
      <w:r>
        <w:rPr>
          <w:color w:val="000000"/>
          <w:szCs w:val="24"/>
        </w:rPr>
      </w:r>
    </w:p>
    <w:p w14:paraId="20F8E682" w14:textId="77777777">
      <w:pPr>
        <w:pBdr/>
        <w:spacing w:line="257" w:lineRule="atLeast"/>
        <w:ind/>
        <w:jc w:val="center"/>
        <w:rPr>
          <w:color w:val="000000"/>
          <w:szCs w:val="24"/>
        </w:rPr>
      </w:pPr>
      <w:r>
        <w:rPr>
          <w:b/>
          <w:bCs/>
          <w:caps/>
          <w:color w:val="000000"/>
          <w:szCs w:val="24"/>
        </w:rPr>
        <w:t xml:space="preserve">1.  PAGRINDINĖS SĄVOKOS IR SUTARTIES AIŠKINIMAS</w:t>
      </w:r>
      <w:r>
        <w:rPr>
          <w:color w:val="000000"/>
          <w:szCs w:val="24"/>
        </w:rPr>
      </w:r>
      <w:r>
        <w:rPr>
          <w:color w:val="000000"/>
          <w:szCs w:val="24"/>
        </w:rPr>
      </w:r>
    </w:p>
    <w:p w14:paraId="07AFC686"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D5FA61E" w14:textId="77777777">
      <w:pPr>
        <w:pBdr/>
        <w:spacing w:line="257" w:lineRule="atLeast"/>
        <w:ind/>
        <w:jc w:val="center"/>
        <w:rPr>
          <w:color w:val="000000"/>
          <w:szCs w:val="24"/>
        </w:rPr>
      </w:pPr>
      <w:r>
        <w:rPr>
          <w:b/>
          <w:bCs/>
          <w:color w:val="000000"/>
          <w:szCs w:val="24"/>
        </w:rPr>
        <w:t xml:space="preserve">1.1. Sąvokos</w:t>
      </w:r>
      <w:r>
        <w:rPr>
          <w:color w:val="000000"/>
          <w:szCs w:val="24"/>
        </w:rPr>
      </w:r>
      <w:r>
        <w:rPr>
          <w:color w:val="000000"/>
          <w:szCs w:val="24"/>
        </w:rPr>
      </w:r>
    </w:p>
    <w:p w14:paraId="5974C9E1"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07195AD" w14:textId="77777777">
      <w:pPr>
        <w:pBdr/>
        <w:spacing w:line="257" w:lineRule="atLeast"/>
        <w:ind/>
        <w:jc w:val="both"/>
        <w:rPr>
          <w:color w:val="000000"/>
          <w:szCs w:val="24"/>
        </w:rPr>
      </w:pPr>
      <w:r>
        <w:rPr>
          <w:color w:val="000000"/>
          <w:szCs w:val="24"/>
        </w:rPr>
        <w:t xml:space="preserve">1.1.1. Šioje Sutartyje didžiąja raide rašomos sąvokos turi paskiau nurodytas reikšmes:</w:t>
      </w:r>
      <w:r>
        <w:rPr>
          <w:color w:val="000000"/>
          <w:szCs w:val="24"/>
        </w:rPr>
      </w:r>
      <w:r>
        <w:rPr>
          <w:color w:val="000000"/>
          <w:szCs w:val="24"/>
        </w:rPr>
      </w:r>
    </w:p>
    <w:p w14:paraId="5087FEFD" w14:textId="77777777">
      <w:pPr>
        <w:pBdr/>
        <w:spacing w:line="257" w:lineRule="atLeast"/>
        <w:ind/>
        <w:jc w:val="both"/>
        <w:rPr>
          <w:color w:val="000000"/>
          <w:szCs w:val="24"/>
        </w:rPr>
      </w:pPr>
      <w:r>
        <w:rPr>
          <w:color w:val="000000"/>
          <w:szCs w:val="24"/>
        </w:rPr>
        <w:t xml:space="preserve">1.1.1.1. </w:t>
      </w:r>
      <w:r>
        <w:rPr>
          <w:b/>
          <w:bCs/>
          <w:color w:val="000000"/>
          <w:szCs w:val="24"/>
        </w:rPr>
        <w:t xml:space="preserve">Bendrosios sąlygos</w:t>
      </w:r>
      <w:r>
        <w:rPr>
          <w:color w:val="000000"/>
          <w:szCs w:val="24"/>
        </w:rPr>
        <w:t xml:space="preserve"> –  Sutarties dalis, kuri vadinasi „Prekių pirkimo–pardavimo sutarties Bendrosios sąlygos“;</w:t>
      </w:r>
      <w:r>
        <w:rPr>
          <w:color w:val="000000"/>
          <w:szCs w:val="24"/>
        </w:rPr>
      </w:r>
      <w:r>
        <w:rPr>
          <w:color w:val="000000"/>
          <w:szCs w:val="24"/>
        </w:rPr>
      </w:r>
    </w:p>
    <w:p w14:paraId="0C4E148B" w14:textId="77777777">
      <w:pPr>
        <w:pBdr/>
        <w:spacing w:line="257" w:lineRule="atLeast"/>
        <w:ind/>
        <w:jc w:val="both"/>
        <w:rPr>
          <w:color w:val="000000"/>
          <w:szCs w:val="24"/>
        </w:rPr>
      </w:pPr>
      <w:r>
        <w:rPr>
          <w:color w:val="000000"/>
          <w:szCs w:val="24"/>
        </w:rPr>
        <w:t xml:space="preserve">1.1.1.2. </w:t>
      </w:r>
      <w:r>
        <w:rPr>
          <w:b/>
          <w:bCs/>
          <w:color w:val="000000"/>
          <w:szCs w:val="24"/>
        </w:rPr>
        <w:t xml:space="preserve">Pirkėjas</w:t>
      </w:r>
      <w:r>
        <w:rPr>
          <w:color w:val="000000"/>
          <w:szCs w:val="24"/>
        </w:rPr>
        <w:t xml:space="preserve"> – asmuo, kuris Specialiosiose sąlygose yra įvardytas kaip Pirkėjas, įsigyjantis Specialiosiose sąlygose ir Sutarties prieduose nurodytas Prekes;</w:t>
      </w:r>
      <w:r>
        <w:rPr>
          <w:color w:val="000000"/>
          <w:szCs w:val="24"/>
        </w:rPr>
      </w:r>
      <w:r>
        <w:rPr>
          <w:color w:val="000000"/>
          <w:szCs w:val="24"/>
        </w:rPr>
      </w:r>
    </w:p>
    <w:p w14:paraId="2A76C9CD" w14:textId="77777777">
      <w:pPr>
        <w:pBdr/>
        <w:spacing w:line="257" w:lineRule="atLeast"/>
        <w:ind/>
        <w:jc w:val="both"/>
        <w:rPr>
          <w:color w:val="000000"/>
          <w:szCs w:val="24"/>
        </w:rPr>
      </w:pPr>
      <w:r>
        <w:rPr>
          <w:color w:val="000000"/>
          <w:szCs w:val="24"/>
        </w:rPr>
        <w:t xml:space="preserve">1.1.1.3. </w:t>
      </w:r>
      <w:r>
        <w:rPr>
          <w:b/>
          <w:bCs/>
          <w:color w:val="000000"/>
          <w:szCs w:val="24"/>
        </w:rPr>
        <w:t xml:space="preserve">Pradinės sutarties vertė </w:t>
      </w:r>
      <w:r>
        <w:rPr>
          <w:color w:val="000000"/>
          <w:szCs w:val="24"/>
        </w:rPr>
        <w:t xml:space="preserve">– Specialiosiose sąlygose nurodyta</w:t>
      </w:r>
      <w:r>
        <w:rPr>
          <w:b/>
          <w:bCs/>
          <w:color w:val="000000"/>
          <w:szCs w:val="24"/>
        </w:rPr>
        <w:t xml:space="preserve"> </w:t>
      </w:r>
      <w:r>
        <w:rPr>
          <w:color w:val="000000"/>
          <w:szCs w:val="24"/>
        </w:rPr>
        <w:t xml:space="preserve">vertė be pridėtinės vertės mokesčio (toliau – PVM);</w:t>
      </w:r>
      <w:r>
        <w:rPr>
          <w:color w:val="000000"/>
          <w:szCs w:val="24"/>
        </w:rPr>
      </w:r>
      <w:r>
        <w:rPr>
          <w:color w:val="000000"/>
          <w:szCs w:val="24"/>
        </w:rPr>
      </w:r>
    </w:p>
    <w:p w14:paraId="2A2884E2" w14:textId="77777777">
      <w:pPr>
        <w:pBdr/>
        <w:spacing w:line="257" w:lineRule="atLeast"/>
        <w:ind/>
        <w:jc w:val="both"/>
        <w:rPr>
          <w:color w:val="000000"/>
          <w:szCs w:val="24"/>
        </w:rPr>
      </w:pPr>
      <w:r>
        <w:rPr>
          <w:color w:val="000000"/>
          <w:szCs w:val="24"/>
        </w:rPr>
        <w:t xml:space="preserve">1.1.1.4. </w:t>
      </w:r>
      <w:r>
        <w:rPr>
          <w:b/>
          <w:bCs/>
          <w:color w:val="000000"/>
          <w:szCs w:val="24"/>
        </w:rPr>
        <w:t xml:space="preserve">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w:t>
      </w:r>
      <w:r>
        <w:rPr>
          <w:color w:val="000000"/>
          <w:szCs w:val="24"/>
        </w:rPr>
        <w:t xml:space="preserve">gimo ir kitos jų parengimo naudoti paslaugos (toliau – su Prekėmis susijusios paslaugos), jeigu šios paslaugos tik papildo prekių tiekimą, kurias Tiekėjas įsipareigoja tiekti Pirkėjui pagal Sutartį ir galiojančių įstatymų bei kitų teisės aktų reikalavimus;</w:t>
      </w:r>
      <w:r>
        <w:rPr>
          <w:color w:val="000000"/>
          <w:szCs w:val="24"/>
        </w:rPr>
      </w:r>
      <w:r>
        <w:rPr>
          <w:color w:val="000000"/>
          <w:szCs w:val="24"/>
        </w:rPr>
      </w:r>
    </w:p>
    <w:p w14:paraId="6F7E898C" w14:textId="77777777">
      <w:pPr>
        <w:pBdr/>
        <w:spacing w:line="257" w:lineRule="atLeast"/>
        <w:ind/>
        <w:jc w:val="both"/>
        <w:rPr>
          <w:color w:val="000000"/>
          <w:szCs w:val="24"/>
        </w:rPr>
      </w:pPr>
      <w:r>
        <w:rPr>
          <w:color w:val="000000"/>
          <w:szCs w:val="24"/>
        </w:rPr>
        <w:t xml:space="preserve">1.1.1.5. </w:t>
      </w:r>
      <w:r>
        <w:rPr>
          <w:b/>
          <w:bCs/>
          <w:color w:val="000000"/>
          <w:szCs w:val="24"/>
        </w:rPr>
        <w:t xml:space="preserve">Prekių perdavimo–priėmimo aktas </w:t>
      </w:r>
      <w:r>
        <w:rPr>
          <w:color w:val="000000"/>
          <w:szCs w:val="24"/>
        </w:rPr>
        <w:t xml:space="preserve">– dokumentas,</w:t>
      </w:r>
      <w:r>
        <w:rPr>
          <w:b/>
          <w:bCs/>
          <w:color w:val="000000"/>
          <w:szCs w:val="24"/>
        </w:rPr>
        <w:t xml:space="preserve"> </w:t>
      </w:r>
      <w:r>
        <w:rPr>
          <w:color w:val="000000"/>
          <w:szCs w:val="24"/>
        </w:rPr>
        <w:t xml:space="preserve">kuriuo Tiekėjas perdu</w:t>
      </w:r>
      <w:r>
        <w:rPr>
          <w:color w:val="000000"/>
          <w:szCs w:val="24"/>
        </w:rPr>
        <w:t xml:space="preserve">oda, o Pirkėjas priima Prekes ir kuriuo Šalys patvirtina, kad pristatytos Prekės atitinka nustatytus reikalavimus. Jeigu Sutartyje yra numatytas Prekių pristatymas dalimis, Prekių perdavimo–priėmimo aktas gali būti sudaromas dėl kiekvienos dalies atskirai;</w:t>
      </w:r>
      <w:r>
        <w:rPr>
          <w:color w:val="000000"/>
          <w:szCs w:val="24"/>
        </w:rPr>
      </w:r>
      <w:r>
        <w:rPr>
          <w:color w:val="000000"/>
          <w:szCs w:val="24"/>
        </w:rPr>
      </w:r>
    </w:p>
    <w:p w14:paraId="646FA995" w14:textId="77777777">
      <w:pPr>
        <w:pBdr/>
        <w:spacing w:line="257" w:lineRule="atLeast"/>
        <w:ind/>
        <w:jc w:val="both"/>
        <w:rPr>
          <w:color w:val="000000"/>
          <w:szCs w:val="24"/>
        </w:rPr>
      </w:pPr>
      <w:r>
        <w:rPr>
          <w:color w:val="000000"/>
          <w:szCs w:val="24"/>
        </w:rPr>
        <w:t xml:space="preserve">1.1.1.6. </w:t>
      </w:r>
      <w:r>
        <w:rPr>
          <w:b/>
          <w:bCs/>
          <w:color w:val="000000"/>
          <w:szCs w:val="24"/>
        </w:rPr>
        <w:t xml:space="preserve">Prekių trūkumai</w:t>
      </w:r>
      <w:r>
        <w:rPr>
          <w:color w:val="000000"/>
          <w:szCs w:val="24"/>
        </w:rPr>
        <w:t xml:space="preserve"> – Prekių perdavimo–priėmimo metu ar Prekių garantinio termino galiojimo metu Pirkėjo, ar (ir) trečiųjų asmenų nustatyti Prekių kok</w:t>
      </w:r>
      <w:r>
        <w:rPr>
          <w:color w:val="000000"/>
          <w:szCs w:val="24"/>
        </w:rPr>
        <w:t xml:space="preserve">ybės neatitikimai Sutarties ar (ir) įstatymų bei kitų teisės aktų reikalavimams, Prekių gedimai, paslėpti defektai, veiklos sutrikimai ar pan., dėl kurių Prekių nebūtų galima naudoti tam tikslui, kuriam Pirkėjas (jas) ketino naudoti, arba dėl kurių Prekių </w:t>
      </w:r>
      <w:r>
        <w:rPr>
          <w:color w:val="000000"/>
          <w:szCs w:val="24"/>
        </w:rPr>
        <w:t xml:space="preserve">naudingumas sumažėtų taip, kad Pirkėjas, apie tuos trūkumus žinodamas, arba apskritai nebūtų tų Prekių pirkęs,</w:t>
      </w:r>
      <w:r>
        <w:rPr>
          <w:color w:val="000000"/>
          <w:szCs w:val="24"/>
        </w:rPr>
        <w:t xml:space="preserve"> arba nebūtų už Prekes mokėjęs tokio dydžio kainą;</w:t>
      </w:r>
      <w:r>
        <w:rPr>
          <w:color w:val="000000"/>
          <w:szCs w:val="24"/>
        </w:rPr>
      </w:r>
      <w:r>
        <w:rPr>
          <w:color w:val="000000"/>
          <w:szCs w:val="24"/>
        </w:rPr>
      </w:r>
    </w:p>
    <w:p w14:paraId="2AC99E5C" w14:textId="77777777">
      <w:pPr>
        <w:pBdr/>
        <w:spacing w:line="257" w:lineRule="atLeast"/>
        <w:ind/>
        <w:jc w:val="both"/>
        <w:rPr>
          <w:color w:val="000000"/>
          <w:szCs w:val="24"/>
        </w:rPr>
      </w:pPr>
      <w:r>
        <w:rPr>
          <w:color w:val="000000"/>
          <w:szCs w:val="24"/>
        </w:rPr>
        <w:t xml:space="preserve">1.1.1.7. </w:t>
      </w:r>
      <w:r>
        <w:rPr>
          <w:b/>
          <w:bCs/>
          <w:color w:val="000000"/>
          <w:szCs w:val="24"/>
        </w:rPr>
        <w:t xml:space="preserve">Sąskaita </w:t>
      </w:r>
      <w:r>
        <w:rPr>
          <w:color w:val="000000"/>
          <w:szCs w:val="24"/>
        </w:rPr>
        <w:t xml:space="preserve">–</w:t>
      </w:r>
      <w:r>
        <w:rPr>
          <w:b/>
          <w:bCs/>
          <w:color w:val="000000"/>
          <w:szCs w:val="24"/>
        </w:rPr>
        <w:t xml:space="preserve"> </w:t>
      </w:r>
      <w:r>
        <w:rPr>
          <w:color w:val="000000"/>
          <w:szCs w:val="24"/>
        </w:rPr>
        <w:t xml:space="preserve">Tiekėjo išrašoma ir Pirkėjui apmo</w:t>
      </w:r>
      <w:r>
        <w:rPr>
          <w:color w:val="000000"/>
          <w:szCs w:val="24"/>
        </w:rPr>
        <w:t xml:space="preserve">kėjimui pateikiama sąskaita faktūra, PVM sąskaita faktūra ar kitas mokėjimo dokumentas už Tiekėjo perduotas bei Pirkėjo priimtas Prekes. Jeigu Sutartyje yra numatytas Prekių pristatymas dalimis, Sąskaita gali būti pateikiama dėl kiekvienos dalies atskirai;</w:t>
      </w:r>
      <w:r>
        <w:rPr>
          <w:color w:val="000000"/>
          <w:szCs w:val="24"/>
        </w:rPr>
      </w:r>
      <w:r>
        <w:rPr>
          <w:color w:val="000000"/>
          <w:szCs w:val="24"/>
        </w:rPr>
      </w:r>
    </w:p>
    <w:p w14:paraId="13CCF21C" w14:textId="77777777">
      <w:pPr>
        <w:pBdr/>
        <w:spacing w:line="257" w:lineRule="atLeast"/>
        <w:ind/>
        <w:jc w:val="both"/>
        <w:rPr>
          <w:color w:val="000000"/>
          <w:szCs w:val="24"/>
        </w:rPr>
      </w:pPr>
      <w:r>
        <w:rPr>
          <w:color w:val="000000"/>
          <w:szCs w:val="24"/>
        </w:rPr>
        <w:t xml:space="preserve">1.1.1.8. </w:t>
      </w:r>
      <w:r>
        <w:rPr>
          <w:b/>
          <w:bCs/>
          <w:color w:val="000000"/>
          <w:szCs w:val="24"/>
        </w:rPr>
        <w:t xml:space="preserve">Specialiosios sąlygos</w:t>
      </w:r>
      <w:r>
        <w:rPr>
          <w:color w:val="000000"/>
          <w:szCs w:val="24"/>
        </w:rPr>
        <w:t xml:space="preserve"> – Sutarties dalis, kuri vadinasi „Prekių pirkimo-pardavimo sutarties Specialiosios sąlygos“ ir kurioje yra nurodytos konkretaus pirkimo objekto įsigijimą ap</w:t>
      </w:r>
      <w:r>
        <w:rPr>
          <w:color w:val="000000"/>
          <w:szCs w:val="24"/>
        </w:rPr>
        <w:t xml:space="preserve">tariančios sąlygos (tokios kaip Pradinės sutarties vertė, Prekių tiekimo terminai ir pan.) bei kiti konkretūs duomenys (tokie kaip Šalys, Prekės ir pan.), išvardyti priedai, taip pat nurodyti Bendrųjų sąlygų pakeitimai ir papildymai (jeigu tokie padaryti);</w:t>
      </w:r>
      <w:r>
        <w:rPr>
          <w:color w:val="000000"/>
          <w:szCs w:val="24"/>
        </w:rPr>
      </w:r>
      <w:r>
        <w:rPr>
          <w:color w:val="000000"/>
          <w:szCs w:val="24"/>
        </w:rPr>
      </w:r>
    </w:p>
    <w:p w14:paraId="3870E8F9" w14:textId="77777777">
      <w:pPr>
        <w:pBdr/>
        <w:spacing w:line="257" w:lineRule="atLeast"/>
        <w:ind/>
        <w:jc w:val="both"/>
        <w:rPr>
          <w:color w:val="000000"/>
          <w:szCs w:val="24"/>
        </w:rPr>
      </w:pPr>
      <w:r>
        <w:rPr>
          <w:color w:val="000000"/>
          <w:szCs w:val="24"/>
        </w:rPr>
        <w:t xml:space="preserve">1.1.1.9. </w:t>
      </w:r>
      <w:r>
        <w:rPr>
          <w:b/>
          <w:bCs/>
          <w:color w:val="000000"/>
          <w:szCs w:val="24"/>
        </w:rPr>
        <w:t xml:space="preserve">Susitarimas </w:t>
      </w:r>
      <w:r>
        <w:rPr>
          <w:color w:val="000000"/>
          <w:szCs w:val="24"/>
        </w:rPr>
        <w:t xml:space="preserve">– tai dokumentas, kurį Šalys sudaro keisdamos Sutarties sąlygas VPĮ leidžiama apimtimi;</w:t>
      </w:r>
      <w:r>
        <w:rPr>
          <w:color w:val="000000"/>
          <w:szCs w:val="24"/>
        </w:rPr>
      </w:r>
      <w:r>
        <w:rPr>
          <w:color w:val="000000"/>
          <w:szCs w:val="24"/>
        </w:rPr>
      </w:r>
    </w:p>
    <w:p w14:paraId="5EA67943" w14:textId="77777777">
      <w:pPr>
        <w:pBdr/>
        <w:spacing w:line="257" w:lineRule="atLeast"/>
        <w:ind/>
        <w:jc w:val="both"/>
        <w:rPr>
          <w:szCs w:val="24"/>
        </w:rPr>
      </w:pPr>
      <w:r>
        <w:rPr>
          <w:szCs w:val="24"/>
        </w:rPr>
        <w:t xml:space="preserve">1.1.1.10. </w:t>
      </w:r>
      <w:r>
        <w:rPr>
          <w:b/>
          <w:bCs/>
          <w:szCs w:val="24"/>
        </w:rPr>
        <w:t xml:space="preserve">Sutarties kaina</w:t>
      </w:r>
      <w:r>
        <w:rPr>
          <w:szCs w:val="24"/>
        </w:rPr>
        <w:t xml:space="preserve"> – pagal Sutartį Tiekėjui mokėtina suma, įskaitant visus privalomus mokesčius ir išlaidas;</w:t>
      </w:r>
      <w:r>
        <w:rPr>
          <w:szCs w:val="24"/>
        </w:rPr>
      </w:r>
      <w:r>
        <w:rPr>
          <w:szCs w:val="24"/>
        </w:rPr>
      </w:r>
    </w:p>
    <w:p w14:paraId="3386F341" w14:textId="77777777">
      <w:pPr>
        <w:pBdr/>
        <w:spacing w:line="257" w:lineRule="atLeast"/>
        <w:ind/>
        <w:jc w:val="both"/>
        <w:rPr>
          <w:color w:val="000000"/>
          <w:szCs w:val="24"/>
        </w:rPr>
      </w:pPr>
      <w:r>
        <w:rPr>
          <w:color w:val="000000"/>
          <w:szCs w:val="24"/>
        </w:rPr>
        <w:t xml:space="preserve">1.1.1.11. </w:t>
      </w:r>
      <w:r>
        <w:rPr>
          <w:b/>
          <w:bCs/>
          <w:color w:val="000000"/>
          <w:szCs w:val="24"/>
        </w:rPr>
        <w:t xml:space="preserve">Sutarties sąlygos </w:t>
      </w:r>
      <w:r>
        <w:rPr>
          <w:color w:val="000000"/>
          <w:szCs w:val="24"/>
        </w:rPr>
        <w:t xml:space="preserve">– Bendrosios sąlygos ir Specialiosios sąlygos kartu;</w:t>
      </w:r>
      <w:r>
        <w:rPr>
          <w:color w:val="000000"/>
          <w:szCs w:val="24"/>
        </w:rPr>
      </w:r>
      <w:r>
        <w:rPr>
          <w:color w:val="000000"/>
          <w:szCs w:val="24"/>
        </w:rPr>
      </w:r>
    </w:p>
    <w:p w14:paraId="5B2EDE60" w14:textId="77777777">
      <w:pPr>
        <w:pBdr/>
        <w:spacing w:line="257" w:lineRule="atLeast"/>
        <w:ind/>
        <w:jc w:val="both"/>
        <w:rPr>
          <w:color w:val="000000"/>
          <w:szCs w:val="24"/>
        </w:rPr>
      </w:pPr>
      <w:r>
        <w:rPr>
          <w:color w:val="000000"/>
          <w:szCs w:val="24"/>
        </w:rPr>
        <w:t xml:space="preserve">1.1.1.12. </w:t>
      </w:r>
      <w:r>
        <w:rPr>
          <w:b/>
          <w:bCs/>
          <w:color w:val="000000"/>
          <w:szCs w:val="24"/>
        </w:rPr>
        <w:t xml:space="preserve">Sutartis </w:t>
      </w:r>
      <w:r>
        <w:rPr>
          <w:color w:val="000000"/>
          <w:szCs w:val="24"/>
        </w:rPr>
        <w:t xml:space="preserve">– Prekių pirkimo–pardavimo sutartis, kurią sudaro Sutarties sąlygos, Specialiosiose sąlygose išvardyti priedai ir Susitarimai;</w:t>
      </w:r>
      <w:r>
        <w:rPr>
          <w:color w:val="000000"/>
          <w:szCs w:val="24"/>
        </w:rPr>
      </w:r>
      <w:r>
        <w:rPr>
          <w:color w:val="000000"/>
          <w:szCs w:val="24"/>
        </w:rPr>
      </w:r>
    </w:p>
    <w:p w14:paraId="3015F9F1" w14:textId="77777777">
      <w:pPr>
        <w:pBdr/>
        <w:spacing w:line="257" w:lineRule="atLeast"/>
        <w:ind/>
        <w:jc w:val="both"/>
        <w:rPr>
          <w:color w:val="000000"/>
          <w:szCs w:val="24"/>
        </w:rPr>
      </w:pPr>
      <w:r>
        <w:rPr>
          <w:color w:val="000000"/>
          <w:szCs w:val="24"/>
        </w:rPr>
        <w:t xml:space="preserve">1.1.1.13. </w:t>
      </w:r>
      <w:r>
        <w:rPr>
          <w:b/>
          <w:bCs/>
          <w:color w:val="000000"/>
          <w:szCs w:val="24"/>
        </w:rPr>
        <w:t xml:space="preserve">Šalis</w:t>
      </w:r>
      <w:r>
        <w:rPr>
          <w:color w:val="000000"/>
          <w:szCs w:val="24"/>
        </w:rPr>
        <w:t xml:space="preserve"> – Pirkėjas arba Tiekėjas, kiekvienas atskirai, priklausomai nuo konteksto;</w:t>
      </w:r>
      <w:r>
        <w:rPr>
          <w:color w:val="000000"/>
          <w:szCs w:val="24"/>
        </w:rPr>
      </w:r>
      <w:r>
        <w:rPr>
          <w:color w:val="000000"/>
          <w:szCs w:val="24"/>
        </w:rPr>
      </w:r>
    </w:p>
    <w:p w14:paraId="5622700F" w14:textId="77777777">
      <w:pPr>
        <w:pBdr/>
        <w:spacing w:line="257" w:lineRule="atLeast"/>
        <w:ind/>
        <w:jc w:val="both"/>
        <w:rPr>
          <w:color w:val="000000"/>
          <w:szCs w:val="24"/>
        </w:rPr>
      </w:pPr>
      <w:r>
        <w:rPr>
          <w:color w:val="000000"/>
          <w:szCs w:val="24"/>
        </w:rPr>
        <w:t xml:space="preserve">1.1.1.14. </w:t>
      </w:r>
      <w:r>
        <w:rPr>
          <w:b/>
          <w:bCs/>
          <w:color w:val="000000"/>
          <w:szCs w:val="24"/>
        </w:rPr>
        <w:t xml:space="preserve">Šalys</w:t>
      </w:r>
      <w:r>
        <w:rPr>
          <w:color w:val="000000"/>
          <w:szCs w:val="24"/>
        </w:rPr>
        <w:t xml:space="preserve"> – Pirkėjas ir Tiekėjas kartu;</w:t>
      </w:r>
      <w:r>
        <w:rPr>
          <w:color w:val="000000"/>
          <w:szCs w:val="24"/>
        </w:rPr>
      </w:r>
      <w:r>
        <w:rPr>
          <w:color w:val="000000"/>
          <w:szCs w:val="24"/>
        </w:rPr>
      </w:r>
    </w:p>
    <w:p w14:paraId="0231E3AB" w14:textId="77777777">
      <w:pPr>
        <w:pBdr/>
        <w:spacing w:line="257" w:lineRule="atLeast"/>
        <w:ind/>
        <w:jc w:val="both"/>
        <w:rPr>
          <w:color w:val="000000"/>
          <w:szCs w:val="24"/>
        </w:rPr>
      </w:pPr>
      <w:r>
        <w:rPr>
          <w:color w:val="000000"/>
          <w:szCs w:val="24"/>
        </w:rPr>
        <w:t xml:space="preserve">1.1.1.15. </w:t>
      </w:r>
      <w:r>
        <w:rPr>
          <w:b/>
          <w:bCs/>
          <w:color w:val="000000"/>
          <w:szCs w:val="24"/>
        </w:rPr>
        <w:t xml:space="preserve">Tiekėjas</w:t>
      </w:r>
      <w:r>
        <w:rPr>
          <w:color w:val="000000"/>
          <w:szCs w:val="24"/>
        </w:rPr>
        <w:t xml:space="preserve"> – asmuo, kuris Specialiosiose sąlygose yra įvardytas kaip Tiekėjas, tiekiantis Specialiosiose sąlygose nurodytas Prekes;</w:t>
      </w:r>
      <w:r>
        <w:rPr>
          <w:color w:val="000000"/>
          <w:szCs w:val="24"/>
        </w:rPr>
      </w:r>
      <w:r>
        <w:rPr>
          <w:color w:val="000000"/>
          <w:szCs w:val="24"/>
        </w:rPr>
      </w:r>
    </w:p>
    <w:p w14:paraId="4EF7C008" w14:textId="77777777">
      <w:pPr>
        <w:pBdr/>
        <w:spacing w:line="257" w:lineRule="atLeast"/>
        <w:ind/>
        <w:jc w:val="both"/>
        <w:rPr>
          <w:color w:val="000000"/>
          <w:szCs w:val="24"/>
        </w:rPr>
      </w:pPr>
      <w:r>
        <w:rPr>
          <w:color w:val="000000"/>
          <w:szCs w:val="24"/>
        </w:rPr>
        <w:t xml:space="preserve">1.1.1.16. </w:t>
      </w:r>
      <w:r>
        <w:rPr>
          <w:b/>
          <w:bCs/>
          <w:color w:val="000000"/>
          <w:szCs w:val="24"/>
        </w:rPr>
        <w:t xml:space="preserve">VPĮ </w:t>
      </w:r>
      <w:r>
        <w:rPr>
          <w:color w:val="000000"/>
          <w:szCs w:val="24"/>
        </w:rPr>
        <w:t xml:space="preserve">– Lietuvos Respublikos viešųjų pirkimų įstatymas.</w:t>
      </w:r>
      <w:r>
        <w:rPr>
          <w:color w:val="000000"/>
          <w:szCs w:val="24"/>
        </w:rPr>
      </w:r>
      <w:r>
        <w:rPr>
          <w:color w:val="000000"/>
          <w:szCs w:val="24"/>
        </w:rPr>
      </w:r>
    </w:p>
    <w:p w14:paraId="118ED37F" w14:textId="77777777">
      <w:pPr>
        <w:pBdr/>
        <w:spacing w:line="257" w:lineRule="atLeast"/>
        <w:ind/>
        <w:jc w:val="both"/>
        <w:rPr>
          <w:color w:val="000000"/>
          <w:szCs w:val="24"/>
        </w:rPr>
      </w:pPr>
      <w:r>
        <w:rPr>
          <w:color w:val="000000"/>
          <w:szCs w:val="24"/>
        </w:rPr>
        <w:t xml:space="preserve">1.1.1.17. Kitų Sutartyje didžiąja raide rašomų sąvokų reikšmės yra nurodytos Sutarties tekste.</w:t>
      </w:r>
      <w:r>
        <w:rPr>
          <w:color w:val="000000"/>
          <w:szCs w:val="24"/>
        </w:rPr>
      </w:r>
      <w:r>
        <w:rPr>
          <w:color w:val="000000"/>
          <w:szCs w:val="24"/>
        </w:rPr>
      </w:r>
    </w:p>
    <w:p w14:paraId="2F54586C" w14:textId="77777777">
      <w:pPr>
        <w:pBdr/>
        <w:spacing w:line="257" w:lineRule="atLeast"/>
        <w:ind/>
        <w:jc w:val="both"/>
        <w:rPr>
          <w:color w:val="000000"/>
          <w:szCs w:val="24"/>
        </w:rPr>
      </w:pPr>
      <w:r>
        <w:rPr>
          <w:color w:val="000000"/>
          <w:szCs w:val="24"/>
        </w:rPr>
        <w:t xml:space="preserve">1.1.1.18. Sutartyje neapibrėžtos sąvokos suprantamos ir aiškinamos taip, kaip jas apibrėžia VPĮ ir kiti įstatymai bei teisės aktai, galiojantys Sutarties sudarymo ir vykdymo metu.</w:t>
      </w:r>
      <w:r>
        <w:rPr>
          <w:color w:val="000000"/>
          <w:szCs w:val="24"/>
        </w:rPr>
      </w:r>
      <w:r>
        <w:rPr>
          <w:color w:val="000000"/>
          <w:szCs w:val="24"/>
        </w:rPr>
      </w:r>
    </w:p>
    <w:p w14:paraId="51D1044B" w14:textId="77777777">
      <w:pPr>
        <w:pBdr/>
        <w:spacing w:line="257" w:lineRule="atLeast"/>
        <w:ind/>
        <w:jc w:val="both"/>
        <w:rPr>
          <w:color w:val="000000"/>
          <w:szCs w:val="24"/>
        </w:rPr>
      </w:pPr>
      <w:r>
        <w:rPr>
          <w:color w:val="000000"/>
          <w:szCs w:val="24"/>
        </w:rPr>
        <w:t xml:space="preserve">1.1.1.19. Kitos Sutartyje vartojamos sąvokos ir terminai turi bendrinę reikšmę arba artimiausią Sutarties pobūdžiui specialiąją reikšmę, jei Sutartyje nėra nustatyta ir paaiškinta kitokia jų reikšmė.</w:t>
      </w:r>
      <w:r>
        <w:rPr>
          <w:color w:val="000000"/>
          <w:szCs w:val="24"/>
        </w:rPr>
      </w:r>
      <w:r>
        <w:rPr>
          <w:color w:val="000000"/>
          <w:szCs w:val="24"/>
        </w:rPr>
      </w:r>
    </w:p>
    <w:p w14:paraId="5A9EA203"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2BA3518" w14:textId="77777777">
      <w:pPr>
        <w:pBdr/>
        <w:spacing w:line="257" w:lineRule="atLeast"/>
        <w:ind/>
        <w:jc w:val="center"/>
        <w:rPr>
          <w:color w:val="000000"/>
          <w:szCs w:val="24"/>
        </w:rPr>
      </w:pPr>
      <w:r>
        <w:rPr>
          <w:b/>
          <w:bCs/>
          <w:color w:val="000000"/>
          <w:szCs w:val="24"/>
        </w:rPr>
        <w:t xml:space="preserve">1.2.  Sutarties aiškinimas</w:t>
      </w:r>
      <w:r>
        <w:rPr>
          <w:color w:val="000000"/>
          <w:szCs w:val="24"/>
        </w:rPr>
      </w:r>
      <w:r>
        <w:rPr>
          <w:color w:val="000000"/>
          <w:szCs w:val="24"/>
        </w:rPr>
      </w:r>
    </w:p>
    <w:p w14:paraId="0C9391B2" w14:textId="77777777">
      <w:pPr>
        <w:pBdr/>
        <w:spacing w:line="257" w:lineRule="atLeast"/>
        <w:ind w:firstLine="62" w:left="792"/>
        <w:jc w:val="both"/>
        <w:rPr>
          <w:color w:val="000000"/>
          <w:szCs w:val="24"/>
        </w:rPr>
      </w:pPr>
      <w:r>
        <w:rPr>
          <w:color w:val="000000"/>
          <w:szCs w:val="24"/>
        </w:rPr>
      </w:r>
      <w:r>
        <w:rPr>
          <w:color w:val="000000"/>
          <w:szCs w:val="24"/>
        </w:rPr>
      </w:r>
      <w:r>
        <w:rPr>
          <w:color w:val="000000"/>
          <w:szCs w:val="24"/>
        </w:rPr>
      </w:r>
    </w:p>
    <w:p w14:paraId="14490114" w14:textId="77777777">
      <w:pPr>
        <w:pBdr/>
        <w:spacing w:line="257" w:lineRule="atLeast"/>
        <w:ind/>
        <w:jc w:val="both"/>
        <w:rPr>
          <w:color w:val="000000"/>
          <w:szCs w:val="24"/>
        </w:rPr>
      </w:pPr>
      <w:r>
        <w:rPr>
          <w:color w:val="000000"/>
          <w:szCs w:val="24"/>
        </w:rPr>
        <w:t xml:space="preserve">1.2.1. Sutartis yra sudaryta ir turi būti aiškinama pagal Lietuvos Respublikos teisės aktus.</w:t>
      </w:r>
      <w:r>
        <w:rPr>
          <w:color w:val="000000"/>
          <w:szCs w:val="24"/>
        </w:rPr>
      </w:r>
      <w:r>
        <w:rPr>
          <w:color w:val="000000"/>
          <w:szCs w:val="24"/>
        </w:rPr>
      </w:r>
    </w:p>
    <w:p w14:paraId="4FBB2492" w14:textId="77777777">
      <w:pPr>
        <w:pBdr/>
        <w:spacing w:line="257" w:lineRule="atLeast"/>
        <w:ind/>
        <w:jc w:val="both"/>
        <w:rPr>
          <w:color w:val="000000"/>
          <w:szCs w:val="24"/>
        </w:rPr>
      </w:pPr>
      <w:r>
        <w:rPr>
          <w:color w:val="000000"/>
          <w:szCs w:val="24"/>
        </w:rPr>
        <w:t xml:space="preserve">1.2.2. Jei Bendrosios sąlygos ir (ar) Specialiosios sąlygos prieštarauja VPĮ ir kitų teisės aktų reikalavimams, taikomos VPĮ ir kitų teisės aktų nuostatos.</w:t>
      </w:r>
      <w:r>
        <w:rPr>
          <w:color w:val="000000"/>
          <w:szCs w:val="24"/>
        </w:rPr>
      </w:r>
      <w:r>
        <w:rPr>
          <w:color w:val="000000"/>
          <w:szCs w:val="24"/>
        </w:rPr>
      </w:r>
    </w:p>
    <w:p w14:paraId="5976D9BE" w14:textId="77777777">
      <w:pPr>
        <w:pBdr/>
        <w:spacing w:line="257" w:lineRule="atLeast"/>
        <w:ind/>
        <w:jc w:val="both"/>
        <w:rPr>
          <w:color w:val="000000"/>
          <w:szCs w:val="24"/>
        </w:rPr>
      </w:pPr>
      <w:r>
        <w:rPr>
          <w:color w:val="000000"/>
          <w:szCs w:val="24"/>
        </w:rPr>
        <w:t xml:space="preserve">1.2.3. Diena Sutartyje reiškia kalendorinę dieną.</w:t>
      </w:r>
      <w:r>
        <w:rPr>
          <w:color w:val="000000"/>
          <w:szCs w:val="24"/>
        </w:rPr>
      </w:r>
      <w:r>
        <w:rPr>
          <w:color w:val="000000"/>
          <w:szCs w:val="24"/>
        </w:rPr>
      </w:r>
    </w:p>
    <w:p w14:paraId="3F8C2CA9" w14:textId="77777777">
      <w:pPr>
        <w:pBdr/>
        <w:spacing w:line="257" w:lineRule="atLeast"/>
        <w:ind/>
        <w:jc w:val="both"/>
        <w:rPr>
          <w:color w:val="000000"/>
          <w:szCs w:val="24"/>
        </w:rPr>
      </w:pPr>
      <w:r>
        <w:rPr>
          <w:color w:val="000000"/>
          <w:szCs w:val="24"/>
        </w:rPr>
        <w:t xml:space="preserve">1.2.4. Darbo diena Sutartyje reiškia bet kurią dieną, išskyrus šeštadienį, sekmadienį ir švenčių dienas Lietuvoje, nurodytas Lietuvos Respublikos darbo kodekse.</w:t>
      </w:r>
      <w:r>
        <w:rPr>
          <w:color w:val="000000"/>
          <w:szCs w:val="24"/>
        </w:rPr>
      </w:r>
      <w:r>
        <w:rPr>
          <w:color w:val="000000"/>
          <w:szCs w:val="24"/>
        </w:rPr>
      </w:r>
    </w:p>
    <w:p w14:paraId="7F9A12AD" w14:textId="77777777">
      <w:pPr>
        <w:pBdr/>
        <w:spacing w:line="257" w:lineRule="atLeast"/>
        <w:ind/>
        <w:jc w:val="both"/>
        <w:rPr>
          <w:color w:val="000000"/>
          <w:szCs w:val="24"/>
        </w:rPr>
      </w:pPr>
      <w:r>
        <w:rPr>
          <w:color w:val="000000"/>
          <w:szCs w:val="24"/>
        </w:rPr>
        <w:t xml:space="preserve">1.2.5. Terminai pagal Sutartį yra skaičiuojami metais, mėnesiais, savaitėmis, darbo dienomis, kalendorinėmis dienomis ir valandomis ir minutėmis.</w:t>
      </w:r>
      <w:r>
        <w:rPr>
          <w:color w:val="000000"/>
          <w:szCs w:val="24"/>
        </w:rPr>
      </w:r>
      <w:r>
        <w:rPr>
          <w:color w:val="000000"/>
          <w:szCs w:val="24"/>
        </w:rPr>
      </w:r>
    </w:p>
    <w:p w14:paraId="54CB7B65" w14:textId="77777777">
      <w:pPr>
        <w:pBdr/>
        <w:spacing w:line="257" w:lineRule="atLeast"/>
        <w:ind/>
        <w:jc w:val="both"/>
        <w:rPr>
          <w:color w:val="000000"/>
          <w:szCs w:val="24"/>
        </w:rPr>
      </w:pPr>
      <w:r>
        <w:rPr>
          <w:color w:val="000000"/>
          <w:szCs w:val="24"/>
        </w:rPr>
        <w:t xml:space="preserve">1.2.6. Kvalifikacija, rėmimasis kitų ūkio subjektų pajėgumais, Prekių apimtis, peržiūra suprantami taip, kaip nustatyta VPĮ bei jį įgyvendinančiuose teisės aktuose.</w:t>
      </w:r>
      <w:r>
        <w:rPr>
          <w:color w:val="000000"/>
          <w:szCs w:val="24"/>
        </w:rPr>
      </w:r>
      <w:r>
        <w:rPr>
          <w:color w:val="000000"/>
          <w:szCs w:val="24"/>
        </w:rPr>
      </w:r>
    </w:p>
    <w:p w14:paraId="1D49B7F9" w14:textId="77777777">
      <w:pPr>
        <w:pBdr/>
        <w:spacing w:line="257" w:lineRule="atLeast"/>
        <w:ind/>
        <w:jc w:val="both"/>
        <w:rPr>
          <w:color w:val="000000"/>
          <w:szCs w:val="24"/>
        </w:rPr>
      </w:pPr>
      <w:r>
        <w:rPr>
          <w:color w:val="000000"/>
          <w:szCs w:val="24"/>
        </w:rPr>
        <w:t xml:space="preserve">1.2.7. Jeigu Prekių perdavimo–priėmimo akto, kaip atskiro dokumento, reikalauti neprivaloma, Šalys susitaria, ir tai aiškiai nurodo S</w:t>
      </w:r>
      <w:r>
        <w:rPr>
          <w:color w:val="000000"/>
          <w:szCs w:val="24"/>
        </w:rPr>
        <w:t xml:space="preserve">pecialiosiose sąlygose, Prekių perdavimo–priėmimo aktu laikoma Sąskaita. Tais atvejais, kai išrašoma Sąskaita ir Prekių perdavimo–priėmimo aktas nepasirašomas, Sutarties nuostatos dėl Prekių perdavimo–priėmimo akto išrašymo taikomos ir Sąskaitos išrašymui.</w:t>
      </w:r>
      <w:r>
        <w:rPr>
          <w:color w:val="000000"/>
          <w:szCs w:val="24"/>
        </w:rPr>
      </w:r>
      <w:r>
        <w:rPr>
          <w:color w:val="000000"/>
          <w:szCs w:val="24"/>
        </w:rPr>
      </w:r>
    </w:p>
    <w:p w14:paraId="30237C9C" w14:textId="77777777">
      <w:pPr>
        <w:pBdr/>
        <w:spacing w:line="257" w:lineRule="atLeast"/>
        <w:ind/>
        <w:jc w:val="both"/>
        <w:rPr>
          <w:color w:val="000000"/>
          <w:szCs w:val="24"/>
        </w:rPr>
      </w:pPr>
      <w:r>
        <w:rPr>
          <w:color w:val="000000"/>
          <w:szCs w:val="24"/>
        </w:rPr>
        <w:t xml:space="preserve">1.2.8. Informuoti, pranešti, įspėti arba atsakyti reiškia pateikti informaciją, pranešimą, įspėjimą arba atsakymą Bendrosiose ir (ar) Specialiosiose sąlygose nustatyta tvarka.</w:t>
      </w:r>
      <w:r>
        <w:rPr>
          <w:color w:val="000000"/>
          <w:szCs w:val="24"/>
        </w:rPr>
      </w:r>
      <w:r>
        <w:rPr>
          <w:color w:val="000000"/>
          <w:szCs w:val="24"/>
        </w:rPr>
      </w:r>
    </w:p>
    <w:p w14:paraId="5C704C81" w14:textId="77777777">
      <w:pPr>
        <w:pBdr/>
        <w:spacing w:line="257" w:lineRule="atLeast"/>
        <w:ind/>
        <w:jc w:val="both"/>
        <w:rPr>
          <w:color w:val="000000"/>
          <w:szCs w:val="24"/>
        </w:rPr>
      </w:pPr>
      <w:r>
        <w:rPr>
          <w:color w:val="000000"/>
          <w:szCs w:val="24"/>
        </w:rPr>
        <w:t xml:space="preserve">1.2.9. Patvirtinti reiškia pateikti patvirtinimą raštu arba pasirašyti dokumentą be išlygų ar su išlygomis, išskyrus atvejus, kai asmuo, pasirašydamas dokumentą, nurodo, jog atsisako jį patvirtinti.</w:t>
      </w:r>
      <w:r>
        <w:rPr>
          <w:color w:val="000000"/>
          <w:szCs w:val="24"/>
        </w:rPr>
      </w:r>
      <w:r>
        <w:rPr>
          <w:color w:val="000000"/>
          <w:szCs w:val="24"/>
        </w:rPr>
      </w:r>
    </w:p>
    <w:p w14:paraId="5B33D6EA" w14:textId="77777777">
      <w:pPr>
        <w:pBdr/>
        <w:spacing w:line="257" w:lineRule="atLeast"/>
        <w:ind/>
        <w:jc w:val="both"/>
        <w:rPr>
          <w:color w:val="000000"/>
          <w:szCs w:val="24"/>
        </w:rPr>
      </w:pPr>
      <w:r>
        <w:rPr>
          <w:color w:val="000000"/>
          <w:szCs w:val="24"/>
        </w:rPr>
        <w:t xml:space="preserve">1.2.10. </w:t>
      </w:r>
      <w:r>
        <w:rPr>
          <w:color w:val="000000"/>
          <w:szCs w:val="24"/>
          <w:shd w:val="clear" w:color="auto" w:fill="ffffff"/>
        </w:rPr>
        <w:t xml:space="preserve">Jeigu Sutartyje nenurodyta kitaip, žodžiai, vartojami vienaskaitos forma taip pat reiškia ir daugiskaitą ir atvirkščiai, vienos giminės žodžiai apima ir kitos giminės atitinkamus žodžius, žodis asmuo reiškia tiek fizinius, tiek ir juridinius asmenis.</w:t>
      </w:r>
      <w:r>
        <w:rPr>
          <w:color w:val="000000"/>
          <w:szCs w:val="24"/>
        </w:rPr>
      </w:r>
      <w:r>
        <w:rPr>
          <w:color w:val="000000"/>
          <w:szCs w:val="24"/>
        </w:rPr>
      </w:r>
    </w:p>
    <w:p w14:paraId="6EC8B7FB" w14:textId="77777777">
      <w:pPr>
        <w:pBdr/>
        <w:spacing w:line="257" w:lineRule="atLeast"/>
        <w:ind/>
        <w:jc w:val="both"/>
        <w:rPr>
          <w:color w:val="000000"/>
          <w:szCs w:val="24"/>
        </w:rPr>
      </w:pPr>
      <w:r>
        <w:rPr>
          <w:color w:val="000000"/>
          <w:szCs w:val="24"/>
        </w:rPr>
        <w:t xml:space="preserve">1.2.11. </w:t>
      </w:r>
      <w:r>
        <w:rPr>
          <w:color w:val="000000"/>
          <w:szCs w:val="24"/>
          <w:shd w:val="clear" w:color="auto" w:fill="ffffff"/>
        </w:rPr>
        <w:t xml:space="preserve">Jeigu Sutartyje nurodyta reikšmė skaičiais ir žodžiais skiriasi, vadovaujamasi žodžiais nurodyta reikšme.</w:t>
      </w:r>
      <w:r>
        <w:rPr>
          <w:color w:val="000000"/>
          <w:szCs w:val="24"/>
        </w:rPr>
      </w:r>
      <w:r>
        <w:rPr>
          <w:color w:val="000000"/>
          <w:szCs w:val="24"/>
        </w:rPr>
      </w:r>
    </w:p>
    <w:p w14:paraId="25470462" w14:textId="77777777">
      <w:pPr>
        <w:pBdr/>
        <w:spacing w:line="257" w:lineRule="atLeast"/>
        <w:ind/>
        <w:jc w:val="both"/>
        <w:rPr>
          <w:color w:val="000000"/>
          <w:szCs w:val="24"/>
        </w:rPr>
      </w:pPr>
      <w:r>
        <w:rPr>
          <w:color w:val="000000"/>
          <w:szCs w:val="24"/>
        </w:rPr>
        <w:t xml:space="preserve">1.2.12. </w:t>
      </w:r>
      <w:r>
        <w:rPr>
          <w:color w:val="000000"/>
          <w:szCs w:val="24"/>
          <w:shd w:val="clear" w:color="auto" w:fill="ffffff"/>
        </w:rPr>
        <w:t xml:space="preserve">Jei pateikiamos nuorodos į teisės aktus, turi būti taikomos aktualios teisės aktų redakcijos, jeigu nenurodyta kitaip.</w:t>
      </w:r>
      <w:r>
        <w:rPr>
          <w:color w:val="000000"/>
          <w:szCs w:val="24"/>
        </w:rPr>
      </w:r>
      <w:r>
        <w:rPr>
          <w:color w:val="000000"/>
          <w:szCs w:val="24"/>
        </w:rPr>
      </w:r>
    </w:p>
    <w:p w14:paraId="307FE22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51458CC" w14:textId="77777777">
      <w:pPr>
        <w:pBdr/>
        <w:spacing w:line="257" w:lineRule="atLeast"/>
        <w:ind/>
        <w:jc w:val="center"/>
        <w:rPr>
          <w:color w:val="000000"/>
          <w:szCs w:val="24"/>
        </w:rPr>
      </w:pPr>
      <w:r>
        <w:rPr>
          <w:b/>
          <w:bCs/>
          <w:color w:val="000000"/>
          <w:szCs w:val="24"/>
        </w:rPr>
        <w:t xml:space="preserve">1.3. Dokumentų viršenybė</w:t>
      </w:r>
      <w:r>
        <w:rPr>
          <w:color w:val="000000"/>
          <w:szCs w:val="24"/>
        </w:rPr>
      </w:r>
      <w:r>
        <w:rPr>
          <w:color w:val="000000"/>
          <w:szCs w:val="24"/>
        </w:rPr>
      </w:r>
    </w:p>
    <w:p w14:paraId="689F6765"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464E6D00" w14:textId="77777777">
      <w:pPr>
        <w:pBdr/>
        <w:spacing w:line="257" w:lineRule="atLeast"/>
        <w:ind/>
        <w:jc w:val="both"/>
        <w:rPr>
          <w:color w:val="000000"/>
          <w:szCs w:val="24"/>
        </w:rPr>
      </w:pPr>
      <w:r>
        <w:rPr>
          <w:color w:val="000000"/>
          <w:szCs w:val="24"/>
        </w:rPr>
        <w:t xml:space="preserve">1.3.1. Sutartį sudarantys dokumentai turi būti suprantami kaip papildantys vienas kitą. Bet kokio Sutarties dokumentų sąlygų neatitikimo ar neaiškumo atveju, toks neatitikimas ar neaiškumas pašalinamas dokumentus aiškinant tokia eilės tvarka:</w:t>
      </w:r>
      <w:r>
        <w:rPr>
          <w:color w:val="000000"/>
          <w:szCs w:val="24"/>
        </w:rPr>
      </w:r>
      <w:r>
        <w:rPr>
          <w:color w:val="000000"/>
          <w:szCs w:val="24"/>
        </w:rPr>
      </w:r>
    </w:p>
    <w:p w14:paraId="49B874A3" w14:textId="77777777">
      <w:pPr>
        <w:pBdr/>
        <w:spacing w:line="276" w:lineRule="atLeast"/>
        <w:ind/>
        <w:jc w:val="both"/>
        <w:rPr>
          <w:color w:val="000000"/>
          <w:szCs w:val="24"/>
        </w:rPr>
      </w:pPr>
      <w:r>
        <w:rPr>
          <w:color w:val="000000"/>
          <w:szCs w:val="24"/>
        </w:rPr>
        <w:t xml:space="preserve">1.3.1.1. Techninė specifikacija;</w:t>
      </w:r>
      <w:r>
        <w:rPr>
          <w:color w:val="000000"/>
          <w:szCs w:val="24"/>
        </w:rPr>
      </w:r>
      <w:r>
        <w:rPr>
          <w:color w:val="000000"/>
          <w:szCs w:val="24"/>
        </w:rPr>
      </w:r>
    </w:p>
    <w:p w14:paraId="445F70AC" w14:textId="77777777">
      <w:pPr>
        <w:pBdr/>
        <w:spacing w:line="276" w:lineRule="atLeast"/>
        <w:ind/>
        <w:jc w:val="both"/>
        <w:rPr>
          <w:color w:val="000000"/>
          <w:szCs w:val="24"/>
        </w:rPr>
      </w:pPr>
      <w:r>
        <w:rPr>
          <w:color w:val="000000"/>
          <w:szCs w:val="24"/>
        </w:rPr>
        <w:t xml:space="preserve">1.3.1.2. Specialiosios sąlygos;</w:t>
      </w:r>
      <w:r>
        <w:rPr>
          <w:color w:val="000000"/>
          <w:szCs w:val="24"/>
        </w:rPr>
      </w:r>
      <w:r>
        <w:rPr>
          <w:color w:val="000000"/>
          <w:szCs w:val="24"/>
        </w:rPr>
      </w:r>
    </w:p>
    <w:p w14:paraId="1C726010" w14:textId="77777777">
      <w:pPr>
        <w:pBdr/>
        <w:spacing w:line="276" w:lineRule="atLeast"/>
        <w:ind/>
        <w:jc w:val="both"/>
        <w:rPr>
          <w:color w:val="000000"/>
          <w:szCs w:val="24"/>
        </w:rPr>
      </w:pPr>
      <w:r>
        <w:rPr>
          <w:color w:val="000000"/>
          <w:szCs w:val="24"/>
        </w:rPr>
        <w:t xml:space="preserve">1.3.1.3. Bendrosios sąlygos;</w:t>
      </w:r>
      <w:r>
        <w:rPr>
          <w:color w:val="000000"/>
          <w:szCs w:val="24"/>
        </w:rPr>
      </w:r>
      <w:r>
        <w:rPr>
          <w:color w:val="000000"/>
          <w:szCs w:val="24"/>
        </w:rPr>
      </w:r>
    </w:p>
    <w:p w14:paraId="6ADBF6AA" w14:textId="77777777">
      <w:pPr>
        <w:pBdr/>
        <w:spacing w:line="276" w:lineRule="atLeast"/>
        <w:ind/>
        <w:jc w:val="both"/>
        <w:rPr>
          <w:color w:val="000000"/>
          <w:szCs w:val="24"/>
        </w:rPr>
      </w:pPr>
      <w:r>
        <w:rPr>
          <w:color w:val="000000"/>
          <w:szCs w:val="24"/>
        </w:rPr>
        <w:t xml:space="preserve">1.3.1.4. Pirkimo dokumentai (išskyrus techninę specifikaciją);</w:t>
      </w:r>
      <w:r>
        <w:rPr>
          <w:color w:val="000000"/>
          <w:szCs w:val="24"/>
        </w:rPr>
      </w:r>
      <w:r>
        <w:rPr>
          <w:color w:val="000000"/>
          <w:szCs w:val="24"/>
        </w:rPr>
      </w:r>
    </w:p>
    <w:p w14:paraId="1392C216" w14:textId="77777777">
      <w:pPr>
        <w:pBdr/>
        <w:spacing w:line="276" w:lineRule="atLeast"/>
        <w:ind/>
        <w:jc w:val="both"/>
        <w:rPr>
          <w:color w:val="000000"/>
          <w:szCs w:val="24"/>
        </w:rPr>
      </w:pPr>
      <w:r>
        <w:rPr>
          <w:color w:val="000000"/>
          <w:szCs w:val="24"/>
        </w:rPr>
        <w:t xml:space="preserve">1.3.1.5. Pasiūlymas;</w:t>
      </w:r>
      <w:r>
        <w:rPr>
          <w:color w:val="000000"/>
          <w:szCs w:val="24"/>
        </w:rPr>
      </w:r>
      <w:r>
        <w:rPr>
          <w:color w:val="000000"/>
          <w:szCs w:val="24"/>
        </w:rPr>
      </w:r>
    </w:p>
    <w:p w14:paraId="002C6FE2" w14:textId="77777777">
      <w:pPr>
        <w:pBdr/>
        <w:spacing w:line="276" w:lineRule="atLeast"/>
        <w:ind/>
        <w:jc w:val="both"/>
        <w:rPr>
          <w:color w:val="000000"/>
          <w:szCs w:val="24"/>
        </w:rPr>
      </w:pPr>
      <w:r>
        <w:rPr>
          <w:color w:val="000000"/>
          <w:szCs w:val="24"/>
        </w:rPr>
        <w:t xml:space="preserve">1.3.1.6. Kiti Specialiosiose sąlygose išvardinti priedai.</w:t>
      </w:r>
      <w:r>
        <w:rPr>
          <w:color w:val="000000"/>
          <w:szCs w:val="24"/>
        </w:rPr>
      </w:r>
      <w:r>
        <w:rPr>
          <w:color w:val="000000"/>
          <w:szCs w:val="24"/>
        </w:rPr>
      </w:r>
    </w:p>
    <w:p w14:paraId="43CCD2D2" w14:textId="77777777">
      <w:pPr>
        <w:pBdr/>
        <w:spacing w:line="257" w:lineRule="atLeast"/>
        <w:ind/>
        <w:jc w:val="both"/>
        <w:rPr>
          <w:color w:val="000000"/>
          <w:szCs w:val="24"/>
        </w:rPr>
      </w:pPr>
      <w:r>
        <w:rPr>
          <w:color w:val="000000"/>
          <w:szCs w:val="24"/>
        </w:rPr>
        <w:t xml:space="preserve">1.3.2. Tuo atveju, kai Šalių Susitarimu yra keičiamos Sutarties sąlygos, naujai sutartos Sutarties sąlygos turi viršenybę prieš pakeistąsias.</w:t>
      </w:r>
      <w:r>
        <w:rPr>
          <w:color w:val="000000"/>
          <w:szCs w:val="24"/>
        </w:rPr>
      </w:r>
      <w:r>
        <w:rPr>
          <w:color w:val="000000"/>
          <w:szCs w:val="24"/>
        </w:rPr>
      </w:r>
    </w:p>
    <w:p w14:paraId="23C09217" w14:textId="77777777">
      <w:pPr>
        <w:pBdr/>
        <w:spacing w:line="257" w:lineRule="atLeast"/>
        <w:ind/>
        <w:jc w:val="both"/>
        <w:rPr>
          <w:color w:val="000000"/>
          <w:szCs w:val="24"/>
        </w:rPr>
      </w:pPr>
      <w:r>
        <w:rPr>
          <w:color w:val="000000"/>
          <w:szCs w:val="24"/>
        </w:rPr>
        <w:t xml:space="preserve">1.3.3. Jeigu Šalys susitaria dėl Sutarties sąlygų arba priedo papildymo nauja sąlyga, neatitikimo ar neaiškumo atveju tokia sąlyga turi viršenybę atitinkamai kitų Sutarties sąlygų arba kitų to priedo sąlygų atžvilgiu.</w:t>
      </w:r>
      <w:r>
        <w:rPr>
          <w:color w:val="000000"/>
          <w:szCs w:val="24"/>
        </w:rPr>
      </w:r>
      <w:r>
        <w:rPr>
          <w:color w:val="000000"/>
          <w:szCs w:val="24"/>
        </w:rPr>
      </w:r>
    </w:p>
    <w:p w14:paraId="2DB14F61" w14:textId="77777777">
      <w:pPr>
        <w:pBdr/>
        <w:spacing w:line="257" w:lineRule="atLeast"/>
        <w:ind/>
        <w:jc w:val="both"/>
        <w:rPr>
          <w:color w:val="000000"/>
          <w:szCs w:val="24"/>
        </w:rPr>
      </w:pPr>
      <w:r>
        <w:rPr>
          <w:color w:val="000000"/>
          <w:szCs w:val="24"/>
        </w:rPr>
        <w:t xml:space="preserve">1.3.4. Jeigu Šalys susitaria dėl naujo priedo, Šalys turi sutarti dėl naujojo pri</w:t>
      </w:r>
      <w:r>
        <w:rPr>
          <w:color w:val="000000"/>
          <w:szCs w:val="24"/>
        </w:rPr>
        <w:t xml:space="preserve">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 xml:space="preserve">1</w:t>
      </w:r>
      <w:r>
        <w:rPr>
          <w:color w:val="000000"/>
          <w:szCs w:val="24"/>
        </w:rPr>
        <w:t xml:space="preserve">).</w:t>
      </w:r>
      <w:r>
        <w:rPr>
          <w:color w:val="000000"/>
          <w:szCs w:val="24"/>
        </w:rPr>
      </w:r>
      <w:r>
        <w:rPr>
          <w:color w:val="000000"/>
          <w:szCs w:val="24"/>
        </w:rPr>
      </w:r>
    </w:p>
    <w:p w14:paraId="063EF99C"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8FA8015" w14:textId="77777777">
      <w:pPr>
        <w:pBdr/>
        <w:spacing w:line="257" w:lineRule="atLeast"/>
        <w:ind/>
        <w:jc w:val="center"/>
        <w:rPr>
          <w:color w:val="000000"/>
          <w:szCs w:val="24"/>
        </w:rPr>
      </w:pPr>
      <w:r>
        <w:rPr>
          <w:b/>
          <w:bCs/>
          <w:caps/>
          <w:color w:val="000000"/>
          <w:szCs w:val="24"/>
        </w:rPr>
        <w:t xml:space="preserve">2.  SUTARTIES DALYKAS</w:t>
      </w:r>
      <w:r>
        <w:rPr>
          <w:color w:val="000000"/>
          <w:szCs w:val="24"/>
        </w:rPr>
      </w:r>
      <w:r>
        <w:rPr>
          <w:color w:val="000000"/>
          <w:szCs w:val="24"/>
        </w:rPr>
      </w:r>
    </w:p>
    <w:p w14:paraId="7D10781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BDD3CF0" w14:textId="77777777">
      <w:pPr>
        <w:pBdr/>
        <w:spacing w:line="257" w:lineRule="atLeast"/>
        <w:ind/>
        <w:jc w:val="both"/>
        <w:rPr>
          <w:color w:val="000000"/>
          <w:szCs w:val="24"/>
        </w:rPr>
      </w:pPr>
      <w:r>
        <w:rPr>
          <w:color w:val="000000"/>
          <w:szCs w:val="24"/>
        </w:rPr>
        <w:t xml:space="preserve">2.1. Tiekėjas įsipareigoja Sutartyje nustatytomis sąlygomis ir tvarka pe</w:t>
      </w:r>
      <w:r>
        <w:rPr>
          <w:color w:val="000000"/>
          <w:szCs w:val="24"/>
        </w:rPr>
        <w:t xml:space="preserve">rduoti Pirkėjui Prekes, atitinkančias Sutartyje nustatytus reikalavimus, o Pirkėjas įsipareigoja priimti Sutarties sąlygas atitinkančias ir tinkamai patiektas Prekes bei sumokėti Tiekėjui Sutartyje nurodytą kainą Sutartyje nustatytomis sąlygomis ir tvarka.</w:t>
      </w:r>
      <w:r>
        <w:rPr>
          <w:color w:val="000000"/>
          <w:szCs w:val="24"/>
        </w:rPr>
      </w:r>
      <w:r>
        <w:rPr>
          <w:color w:val="000000"/>
          <w:szCs w:val="24"/>
        </w:rPr>
      </w:r>
    </w:p>
    <w:p w14:paraId="7177B0CE" w14:textId="77777777">
      <w:pPr>
        <w:pBdr/>
        <w:spacing w:line="257" w:lineRule="atLeast"/>
        <w:ind/>
        <w:jc w:val="both"/>
        <w:rPr>
          <w:color w:val="000000"/>
          <w:szCs w:val="24"/>
        </w:rPr>
      </w:pPr>
      <w:r>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w:t>
      </w:r>
      <w:r>
        <w:rPr>
          <w:color w:val="000000"/>
          <w:szCs w:val="24"/>
        </w:rPr>
        <w:t xml:space="preserve">dymui. Nė viena iš Sutarties sąlygų nereiškia ir negali būti aiškinama kaip Pirkėjo atsisakymas įstatymuose bei kituose teisės aktuose numatytų ir Sutartimi neaptartų Pirkėjo kitų teisių ir garantijų, susijusių su netinkamu Prekių tiekimu ar jų kokybe, arb</w:t>
      </w:r>
      <w:r>
        <w:rPr>
          <w:color w:val="000000"/>
          <w:szCs w:val="24"/>
        </w:rPr>
        <w:t xml:space="preserve">a kaip Tiekėjo atsisakymas įstatymuose bei kituose teisės aktuose numatytų ir Sutartimi neaptartų Tiekėjo kitų teisių ir garantijų dėl atlyginimo už Prekes gavimo.</w:t>
      </w:r>
      <w:r>
        <w:rPr>
          <w:color w:val="000000"/>
          <w:szCs w:val="24"/>
        </w:rPr>
      </w:r>
      <w:r>
        <w:rPr>
          <w:color w:val="000000"/>
          <w:szCs w:val="24"/>
        </w:rPr>
      </w:r>
    </w:p>
    <w:p w14:paraId="17C6C527" w14:textId="77777777">
      <w:pPr>
        <w:pBdr/>
        <w:spacing w:line="257" w:lineRule="atLeast"/>
        <w:ind/>
        <w:jc w:val="both"/>
        <w:rPr>
          <w:color w:val="000000"/>
          <w:szCs w:val="24"/>
        </w:rPr>
      </w:pPr>
      <w:r>
        <w:rPr>
          <w:color w:val="000000"/>
          <w:szCs w:val="24"/>
        </w:rPr>
        <w:t xml:space="preserve">2.3. Tiekėjas privalo užtikrinti, kad Prekės atitiktų techninės specifikacijos reikalavimus ir Tiekėjo pasiūlymo sąlygas, būtų kok</w:t>
      </w:r>
      <w:r>
        <w:rPr>
          <w:color w:val="000000"/>
          <w:szCs w:val="24"/>
        </w:rPr>
        <w:t xml:space="preserve">ybiškos, tiekiamos tinkamai ir laiku, laikantis Sutarties sąlygų taip, kad tai labiausiai atitiktų Pirkėjo interesus, pagal geriausius visuotinai pripažįstamus profesinius, techninius standartus ir praktiką, panaudodamas visus reikiamus įgūdžius ir žinias.</w:t>
      </w:r>
      <w:r>
        <w:rPr>
          <w:color w:val="000000"/>
          <w:szCs w:val="24"/>
        </w:rPr>
      </w:r>
      <w:r>
        <w:rPr>
          <w:color w:val="000000"/>
          <w:szCs w:val="24"/>
        </w:rPr>
      </w:r>
    </w:p>
    <w:p w14:paraId="3F861573"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5F1C408" w14:textId="77777777">
      <w:pPr>
        <w:pBdr/>
        <w:spacing w:line="257" w:lineRule="atLeast"/>
        <w:ind/>
        <w:jc w:val="center"/>
        <w:rPr>
          <w:color w:val="000000"/>
          <w:szCs w:val="24"/>
        </w:rPr>
      </w:pPr>
      <w:r>
        <w:rPr>
          <w:b/>
          <w:bCs/>
          <w:caps/>
          <w:color w:val="000000"/>
          <w:szCs w:val="24"/>
        </w:rPr>
        <w:t xml:space="preserve">3.  TIEKĖJAS IR KITI SUTARTIES VYKDYMUI PASITELKIAMI ASMENYS</w:t>
      </w:r>
      <w:r>
        <w:rPr>
          <w:color w:val="000000"/>
          <w:szCs w:val="24"/>
        </w:rPr>
      </w:r>
      <w:r>
        <w:rPr>
          <w:color w:val="000000"/>
          <w:szCs w:val="24"/>
        </w:rPr>
      </w:r>
    </w:p>
    <w:p w14:paraId="76FA25EB"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758D9F5B" w14:textId="77777777">
      <w:pPr>
        <w:pBdr/>
        <w:spacing w:line="257" w:lineRule="atLeast"/>
        <w:ind/>
        <w:jc w:val="center"/>
        <w:rPr>
          <w:color w:val="000000"/>
          <w:szCs w:val="24"/>
        </w:rPr>
      </w:pPr>
      <w:r>
        <w:rPr>
          <w:b/>
          <w:bCs/>
          <w:color w:val="000000"/>
          <w:szCs w:val="24"/>
        </w:rPr>
        <w:t xml:space="preserve">3.1.  Kvalifikacija ir kiti Tiekėjo pasiūlymu prisiimti įsipareigojimai</w:t>
      </w:r>
      <w:r>
        <w:rPr>
          <w:color w:val="000000"/>
          <w:szCs w:val="24"/>
        </w:rPr>
      </w:r>
      <w:r>
        <w:rPr>
          <w:color w:val="000000"/>
          <w:szCs w:val="24"/>
        </w:rPr>
      </w:r>
    </w:p>
    <w:p w14:paraId="552750F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05A8ED0" w14:textId="77777777">
      <w:pPr>
        <w:pBdr/>
        <w:spacing w:line="257" w:lineRule="atLeast"/>
        <w:ind/>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pajėgumais remiasi Tiekėjas, pajėgumus) įvykdyti Sutarties reikalavimus:</w:t>
      </w:r>
      <w:r>
        <w:rPr>
          <w:color w:val="000000"/>
          <w:szCs w:val="24"/>
        </w:rPr>
      </w:r>
      <w:r>
        <w:rPr>
          <w:color w:val="000000"/>
          <w:szCs w:val="24"/>
        </w:rPr>
      </w:r>
    </w:p>
    <w:p w14:paraId="0D25B568" w14:textId="77777777">
      <w:pPr>
        <w:pBdr/>
        <w:spacing w:line="257" w:lineRule="atLeast"/>
        <w:ind/>
        <w:jc w:val="both"/>
        <w:rPr>
          <w:color w:val="000000"/>
          <w:szCs w:val="24"/>
        </w:rPr>
      </w:pPr>
      <w:r>
        <w:rPr>
          <w:color w:val="000000"/>
          <w:szCs w:val="24"/>
        </w:rPr>
        <w:t xml:space="preserve">3.1.1.1. turėtų teisę verstis ta veikla, kuri yra reikalinga Sutarčiai įvykdyti. </w:t>
      </w:r>
      <w:r>
        <w:rPr>
          <w:rFonts w:eastAsia="Arial"/>
          <w:szCs w:val="24"/>
        </w:rPr>
        <w:t xml:space="preserve">Pirkėjui pareikalavus, Tiekėjas turi pateikti dokumentus, įrodančius, kad Sutartį vykdo tik tokią teisę turintys asmenys</w:t>
      </w:r>
      <w:r>
        <w:rPr>
          <w:color w:val="000000"/>
          <w:szCs w:val="24"/>
        </w:rPr>
        <w:t xml:space="preserve">;</w:t>
      </w:r>
      <w:r>
        <w:rPr>
          <w:color w:val="000000"/>
          <w:szCs w:val="24"/>
        </w:rPr>
      </w:r>
      <w:r>
        <w:rPr>
          <w:color w:val="000000"/>
          <w:szCs w:val="24"/>
        </w:rPr>
      </w:r>
    </w:p>
    <w:p w14:paraId="7AAD0336" w14:textId="77777777">
      <w:pPr>
        <w:pBdr/>
        <w:spacing w:line="257" w:lineRule="atLeast"/>
        <w:ind/>
        <w:jc w:val="both"/>
        <w:rPr>
          <w:color w:val="000000"/>
          <w:szCs w:val="24"/>
        </w:rPr>
      </w:pPr>
      <w:r>
        <w:rPr>
          <w:color w:val="000000"/>
          <w:szCs w:val="24"/>
        </w:rPr>
        <w:t xml:space="preserve">3.1.1.2. atitiktų tiekėjų kvalifikacijai pirkimo dokumentuose nustatytus reikalavimus bei neturėtų pirkimo dokumentuose nustatytų pašalinimo pagrindų;</w:t>
      </w:r>
      <w:r>
        <w:rPr>
          <w:color w:val="000000"/>
          <w:szCs w:val="24"/>
        </w:rPr>
      </w:r>
      <w:r>
        <w:rPr>
          <w:color w:val="000000"/>
          <w:szCs w:val="24"/>
        </w:rPr>
      </w:r>
    </w:p>
    <w:p w14:paraId="5A6123CE" w14:textId="77777777">
      <w:pPr>
        <w:pBdr/>
        <w:spacing w:line="257" w:lineRule="atLeast"/>
        <w:ind/>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rPr>
        <w:t xml:space="preserve">(toliau – </w:t>
      </w:r>
      <w:r>
        <w:rPr>
          <w:rFonts w:eastAsia="Arial"/>
          <w:b/>
          <w:bCs/>
        </w:rPr>
        <w:t xml:space="preserve">Kokybiniai kriterijai</w:t>
      </w:r>
      <w:r>
        <w:rPr>
          <w:rFonts w:eastAsia="Arial"/>
        </w:rPr>
        <w:t xml:space="preserve">),</w:t>
      </w:r>
      <w:r>
        <w:rPr>
          <w:color w:val="000000"/>
        </w:rPr>
        <w:t xml:space="preserve"> reikšmes ir parametrus. </w:t>
      </w:r>
      <w:r>
        <w:rPr>
          <w:rFonts w:eastAsia="Arial"/>
        </w:rPr>
        <w:t xml:space="preserve">Šiame papunktyje nurodytų įsipareigojimų laikymosi tikrinimo tvarka nustatoma Specialiosiose sąlygose;</w:t>
      </w:r>
      <w:r>
        <w:rPr>
          <w:color w:val="000000"/>
        </w:rPr>
      </w:r>
      <w:r>
        <w:rPr>
          <w:color w:val="000000"/>
        </w:rPr>
      </w:r>
    </w:p>
    <w:p w14:paraId="5BA772F8" w14:textId="77777777">
      <w:pPr>
        <w:pBdr/>
        <w:spacing w:line="257" w:lineRule="atLeast"/>
        <w:ind/>
        <w:jc w:val="both"/>
        <w:rPr>
          <w:color w:val="000000"/>
          <w:szCs w:val="24"/>
        </w:rPr>
      </w:pPr>
      <w:r>
        <w:rPr>
          <w:color w:val="000000"/>
          <w:szCs w:val="24"/>
        </w:rPr>
        <w:t xml:space="preserve">3.1.1.4. užtikrintų nustatytų kokybės vadybos sistemos ir (arba) aplinkos apsaugos vadybos sistemos standartų taikymą, jeigu to reikalaujama pirkimo dokumentuose, ir turėtų tą patvirtinančius dokumentus;</w:t>
      </w:r>
      <w:r>
        <w:rPr>
          <w:color w:val="000000"/>
          <w:szCs w:val="24"/>
        </w:rPr>
      </w:r>
      <w:r>
        <w:rPr>
          <w:color w:val="000000"/>
          <w:szCs w:val="24"/>
        </w:rPr>
      </w:r>
    </w:p>
    <w:p w14:paraId="41F28BD4" w14:textId="77777777">
      <w:pPr>
        <w:pBdr/>
        <w:spacing w:line="257" w:lineRule="atLeast"/>
        <w:ind/>
        <w:jc w:val="both"/>
        <w:rPr>
          <w:color w:val="000000"/>
          <w:szCs w:val="24"/>
        </w:rPr>
      </w:pPr>
      <w:r>
        <w:rPr>
          <w:color w:val="000000"/>
          <w:szCs w:val="24"/>
        </w:rPr>
        <w:t xml:space="preserve">3.1.1.5. </w:t>
      </w:r>
      <w:r>
        <w:rPr>
          <w:color w:val="000000"/>
          <w:szCs w:val="24"/>
          <w:shd w:val="clear" w:color="auto" w:fill="ffffff"/>
        </w:rPr>
        <w:t xml:space="preserve">atitiktų nacionalinio saugumo interesus </w:t>
      </w:r>
      <w:r>
        <w:rPr>
          <w:rFonts w:eastAsia="Arial"/>
          <w:szCs w:val="24"/>
        </w:rPr>
        <w:t xml:space="preserve">bei nebūtų registruotas (nuolat gyvenantis ar turintis pilietybę) nepatikimomis laikomose valstybėse ar teritorijose</w:t>
      </w:r>
      <w:r>
        <w:rPr>
          <w:color w:val="000000"/>
          <w:szCs w:val="24"/>
          <w:shd w:val="clear" w:color="auto" w:fill="ffffff"/>
        </w:rPr>
        <w:t xml:space="preserve">, jei tokie reikalavimai buvo numatyti pirkimo dokumentuose</w:t>
      </w:r>
      <w:r>
        <w:rPr>
          <w:color w:val="000000"/>
          <w:szCs w:val="24"/>
        </w:rPr>
        <w:t xml:space="preserve">.</w:t>
      </w:r>
      <w:r>
        <w:rPr>
          <w:color w:val="000000"/>
          <w:szCs w:val="24"/>
        </w:rPr>
      </w:r>
      <w:r>
        <w:rPr>
          <w:color w:val="000000"/>
          <w:szCs w:val="24"/>
        </w:rPr>
      </w:r>
    </w:p>
    <w:p w14:paraId="10EB27E6" w14:textId="77777777">
      <w:pPr>
        <w:pBdr/>
        <w:spacing/>
        <w:ind/>
        <w:jc w:val="both"/>
        <w:rPr>
          <w:color w:val="000000"/>
          <w:szCs w:val="24"/>
        </w:rPr>
      </w:pPr>
      <w:r>
        <w:rPr>
          <w:color w:val="000000"/>
          <w:szCs w:val="24"/>
        </w:rPr>
        <w:t xml:space="preserve">3.1.2. Tuo atveju, kai Tiekėjas yra jungtinės veiklos </w:t>
      </w:r>
      <w:r>
        <w:rPr>
          <w:rFonts w:eastAsia="Arial"/>
          <w:szCs w:val="24"/>
        </w:rPr>
        <w:t xml:space="preserve">sutarties pagrindu veikianti tiekėjų grupė</w:t>
      </w:r>
      <w:r>
        <w:rPr>
          <w:color w:val="000000"/>
          <w:szCs w:val="24"/>
        </w:rPr>
        <w:t xml:space="preserve">, jos nariai Pirkėjui už Sutarties vykdymą atsako solidariai. </w:t>
      </w:r>
      <w:r>
        <w:rPr>
          <w:color w:val="000000"/>
          <w:szCs w:val="24"/>
          <w:shd w:val="clear" w:color="auto" w:fill="ffffff"/>
        </w:rPr>
        <w:t xml:space="preserve">Jeigu Tiekėjas remiasi </w:t>
      </w:r>
      <w:r>
        <w:rPr>
          <w:color w:val="000000"/>
          <w:szCs w:val="24"/>
        </w:rPr>
        <w:t xml:space="preserve">ūkio </w:t>
      </w:r>
      <w:r>
        <w:rPr>
          <w:color w:val="000000"/>
          <w:szCs w:val="24"/>
          <w:shd w:val="clear" w:color="auto" w:fill="ffffff"/>
        </w:rPr>
        <w:t xml:space="preserve">subjektų pajėgumais, siekdamas atitikti finansinio ir ekonominio pajėgumo reikalavimus, Tiekėjas su tokiais </w:t>
      </w:r>
      <w:r>
        <w:rPr>
          <w:color w:val="000000"/>
          <w:szCs w:val="24"/>
        </w:rPr>
        <w:t xml:space="preserve">ūkio </w:t>
      </w:r>
      <w:r>
        <w:rPr>
          <w:color w:val="000000"/>
          <w:szCs w:val="24"/>
          <w:shd w:val="clear" w:color="auto" w:fill="ffffff"/>
        </w:rPr>
        <w:t xml:space="preserve">subjektais už Sutarties vykdymą atsako solidariai (jeigu to buvo reikalaujama pirkimo dokumentuose).</w:t>
      </w:r>
      <w:r>
        <w:rPr>
          <w:color w:val="000000"/>
          <w:szCs w:val="24"/>
        </w:rPr>
      </w:r>
      <w:r>
        <w:rPr>
          <w:color w:val="000000"/>
          <w:szCs w:val="24"/>
        </w:rPr>
      </w:r>
    </w:p>
    <w:p w14:paraId="28665AE7" w14:textId="77777777">
      <w:pPr>
        <w:pBdr/>
        <w:spacing/>
        <w:ind/>
        <w:jc w:val="both"/>
        <w:rPr>
          <w:color w:val="000000"/>
          <w:szCs w:val="24"/>
        </w:rPr>
      </w:pPr>
      <w:r>
        <w:rPr>
          <w:color w:val="000000"/>
          <w:szCs w:val="24"/>
        </w:rPr>
        <w:t xml:space="preserve">3.1.3. Tiekėjas taip pat atsako už tai, kad Tie</w:t>
      </w:r>
      <w:r>
        <w:rPr>
          <w:color w:val="000000"/>
          <w:szCs w:val="24"/>
        </w:rPr>
        <w:t xml:space="preserve">kėjas, Sutartį tiesiogiai vykdantys subtiekėjai ir specialistai atitiktų jiems įstatymų bei kitų teisės aktų ir (arba) pirkimo dokumentų nustatytus profesinės kvalifikacijos ir kitus reikalavimus bei turėtų teisę verstis ta veikla, kuriai jie pasitelkiami.</w:t>
      </w:r>
      <w:r>
        <w:rPr>
          <w:color w:val="000000"/>
          <w:szCs w:val="24"/>
        </w:rPr>
      </w:r>
      <w:r>
        <w:rPr>
          <w:color w:val="000000"/>
          <w:szCs w:val="24"/>
        </w:rPr>
      </w:r>
    </w:p>
    <w:p w14:paraId="79BA1A2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38AE40C" w14:textId="77777777">
      <w:pPr>
        <w:pBdr/>
        <w:spacing w:line="257" w:lineRule="atLeast"/>
        <w:ind/>
        <w:jc w:val="center"/>
        <w:rPr>
          <w:color w:val="000000"/>
          <w:szCs w:val="24"/>
        </w:rPr>
      </w:pPr>
      <w:r>
        <w:rPr>
          <w:b/>
          <w:bCs/>
          <w:color w:val="000000"/>
          <w:szCs w:val="24"/>
        </w:rPr>
        <w:t xml:space="preserve">3.2.</w:t>
      </w:r>
      <w:r>
        <w:rPr>
          <w:color w:val="000000"/>
          <w:szCs w:val="24"/>
        </w:rPr>
        <w:t xml:space="preserve">  </w:t>
      </w:r>
      <w:r>
        <w:rPr>
          <w:b/>
          <w:bCs/>
          <w:color w:val="000000"/>
          <w:szCs w:val="24"/>
        </w:rPr>
        <w:t xml:space="preserve">Subtiekėjų bei specialistų pasitelkimas ir keitimas</w:t>
      </w:r>
      <w:r>
        <w:rPr>
          <w:color w:val="000000"/>
          <w:szCs w:val="24"/>
        </w:rPr>
      </w:r>
      <w:r>
        <w:rPr>
          <w:color w:val="000000"/>
          <w:szCs w:val="24"/>
        </w:rPr>
      </w:r>
    </w:p>
    <w:p w14:paraId="325B8716"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C5A3207"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Arial"/>
          <w:szCs w:val="24"/>
          <w:shd w:val="clear" w:color="auto" w:fill="ffffff"/>
        </w:rPr>
      </w:pPr>
      <w:r>
        <w:rPr>
          <w:rFonts w:eastAsia="Arial"/>
          <w:szCs w:val="24"/>
        </w:rPr>
        <w:t xml:space="preserve">3.2.1. Tiekėjas įsipareigoja užtikrinti, kad Sutartį vykdys pirkime pasiūlyti ir kvalifikacijos bei kitus pirkimo dokumentuose nus</w:t>
      </w:r>
      <w:r>
        <w:rPr>
          <w:rFonts w:eastAsia="Arial"/>
          <w:szCs w:val="24"/>
        </w:rPr>
        <w:t xml:space="preserve">tatytus reikalavimus atitinkantys subtiekėjai ir (ar) specialistai. Šių asmenų veiksmai vykdant Sutartį Tiekėjui sukelia tokias pačias pasekmes ir atsakomybę, kaip jo paties veiksmai. Tiekėjas atsako už savo subtiekėjų ir specialistų veiksmus ar neveikimą.</w:t>
      </w:r>
      <w:r>
        <w:rPr>
          <w:rFonts w:eastAsia="Arial"/>
          <w:szCs w:val="24"/>
          <w:shd w:val="clear" w:color="auto" w:fill="ffffff"/>
        </w:rPr>
      </w:r>
      <w:r>
        <w:rPr>
          <w:rFonts w:eastAsia="Arial"/>
          <w:szCs w:val="24"/>
          <w:shd w:val="clear" w:color="auto" w:fill="ffffff"/>
        </w:rPr>
      </w:r>
    </w:p>
    <w:p w14:paraId="2B3E2AFC"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Arial"/>
          <w:szCs w:val="24"/>
          <w:shd w:val="clear" w:color="auto" w:fill="ffffff"/>
        </w:rPr>
      </w:pPr>
      <w:r>
        <w:rPr>
          <w:rFonts w:eastAsia="Arial"/>
          <w:szCs w:val="24"/>
        </w:rPr>
        <w:t xml:space="preserve">3.2.2. Sutarties vykdymui pasitelkiami subtiekėjai ir (ar) specialistai (jeigu tokie pasitelkiami) nurodomi Specialiosiose sąlygose.</w:t>
      </w:r>
      <w:r>
        <w:rPr>
          <w:rFonts w:eastAsia="Arial"/>
          <w:szCs w:val="24"/>
          <w:shd w:val="clear" w:color="auto" w:fill="ffffff"/>
        </w:rPr>
      </w:r>
      <w:r>
        <w:rPr>
          <w:rFonts w:eastAsia="Arial"/>
          <w:szCs w:val="24"/>
          <w:shd w:val="clear" w:color="auto" w:fill="ffffff"/>
        </w:rPr>
      </w:r>
    </w:p>
    <w:p w14:paraId="0B03C384"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Arial"/>
          <w:szCs w:val="24"/>
        </w:rPr>
      </w:pPr>
      <w:r>
        <w:rPr>
          <w:rFonts w:eastAsia="Arial"/>
          <w:szCs w:val="24"/>
        </w:rPr>
        <w:t xml:space="preserve">3.2.3. Tiekėjas gali keisti ir (ar) pasitelkti subtiekėjus ir (ar) specialistus šiame Sutarties poskyryje nustatytais atvejais ir tvarka.</w:t>
      </w:r>
      <w:r>
        <w:rPr>
          <w:rFonts w:eastAsia="Arial"/>
          <w:szCs w:val="24"/>
        </w:rPr>
      </w:r>
      <w:r>
        <w:rPr>
          <w:rFonts w:eastAsia="Arial"/>
          <w:szCs w:val="24"/>
        </w:rPr>
      </w:r>
    </w:p>
    <w:p w14:paraId="2A705ABF"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709"/>
          <w:tab w:val="left" w:leader="none" w:pos="851"/>
          <w:tab w:val="left" w:leader="none" w:pos="1134"/>
        </w:tabs>
        <w:spacing/>
        <w:ind/>
        <w:jc w:val="both"/>
        <w:rPr>
          <w:rFonts w:eastAsia="Cambria"/>
          <w:szCs w:val="24"/>
          <w:shd w:val="clear" w:color="auto" w:fill="ffffff"/>
        </w:rPr>
      </w:pPr>
      <w:r>
        <w:rPr>
          <w:rFonts w:eastAsia="Cambria"/>
          <w:szCs w:val="24"/>
        </w:rPr>
        <w:t xml:space="preserve">3.2.4. Naujas subtiekėjas ar specialistas gali pradėti vykdyti jiems Tiekėjo pavestus įsipareigojimus pagal Sutartį ne anksčiau, nei bus pasirašytas Susitarimas.</w:t>
      </w:r>
      <w:r>
        <w:rPr>
          <w:rFonts w:eastAsia="Cambria"/>
          <w:szCs w:val="24"/>
          <w:shd w:val="clear" w:color="auto" w:fill="ffffff"/>
        </w:rPr>
      </w:r>
      <w:r>
        <w:rPr>
          <w:rFonts w:eastAsia="Cambria"/>
          <w:szCs w:val="24"/>
          <w:shd w:val="clear" w:color="auto" w:fill="ffffff"/>
        </w:rPr>
      </w:r>
    </w:p>
    <w:p w14:paraId="33562947"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709"/>
          <w:tab w:val="left" w:leader="none" w:pos="851"/>
          <w:tab w:val="left" w:leader="none" w:pos="1134"/>
        </w:tabs>
        <w:spacing/>
        <w:ind/>
        <w:jc w:val="both"/>
        <w:rPr>
          <w:rFonts w:eastAsia="Cambria"/>
          <w:szCs w:val="24"/>
        </w:rPr>
      </w:pPr>
      <w:r>
        <w:rPr>
          <w:rFonts w:eastAsia="Cambria"/>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w:t>
      </w:r>
      <w:r>
        <w:rPr>
          <w:rFonts w:eastAsia="Cambria"/>
          <w:szCs w:val="24"/>
        </w:rPr>
        <w:t xml:space="preserve">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szCs w:val="24"/>
        </w:rPr>
        <w:t xml:space="preserve">nebūti registruotu (nuolat gyvenančiu ar turinčiu pilietybę) nepatikimomis laikomose valstybėse ar teritorijose </w:t>
      </w:r>
      <w:r>
        <w:rPr>
          <w:rFonts w:eastAsia="Cambria"/>
          <w:szCs w:val="24"/>
        </w:rPr>
        <w:t xml:space="preserve">(jei taikoma) ir Tiekėjo pasiūlyme nurodytų sąlygų pirkimo dokumentuose nustatytiems Kokybiniams kriterijams pagrįsti (jei taikoma), Tiekėjui taikoma Specialiosiose sąlygose nustatyto dydžio bauda.</w:t>
      </w:r>
      <w:r>
        <w:rPr>
          <w:rFonts w:eastAsia="Cambria"/>
          <w:szCs w:val="24"/>
        </w:rPr>
      </w:r>
      <w:r>
        <w:rPr>
          <w:rFonts w:eastAsia="Cambria"/>
          <w:szCs w:val="24"/>
        </w:rPr>
      </w:r>
    </w:p>
    <w:p w14:paraId="0B7A651C" w14:textId="77777777">
      <w:pPr>
        <w:widowControl w:val="false"/>
        <w:pBdr/>
        <w:tabs>
          <w:tab w:val="left" w:leader="none" w:pos="993"/>
        </w:tabs>
        <w:spacing/>
        <w:ind/>
        <w:jc w:val="both"/>
        <w:rPr>
          <w:rFonts w:eastAsia="Arial"/>
          <w:szCs w:val="24"/>
          <w:shd w:val="clear" w:color="auto" w:fill="ffffff"/>
        </w:rPr>
      </w:pPr>
      <w:r>
        <w:rPr>
          <w:rFonts w:eastAsia="Arial"/>
          <w:szCs w:val="24"/>
        </w:rPr>
        <w:t xml:space="preserve">3.2.6. Tiekėjas turi teisę Sutarties vykdymui pasitelkti naujus, Specialiosiose sąlygose nenurodytus </w:t>
      </w:r>
      <w:r>
        <w:rPr>
          <w:rFonts w:eastAsia="Arial"/>
          <w:szCs w:val="24"/>
        </w:rPr>
        <w:t xml:space="preserve">subtiekėjus, kurių pajėgumais Tiekėjas </w:t>
      </w:r>
      <w:r>
        <w:rPr>
          <w:rFonts w:eastAsia="Cambria"/>
          <w:szCs w:val="24"/>
        </w:rPr>
        <w:t xml:space="preserve">nesirėmė pirkimo dokumentuose numatytiems kvalifikacijos reikalavimams pagrįsti.</w:t>
      </w:r>
      <w:r>
        <w:rPr>
          <w:rFonts w:eastAsia="Arial"/>
          <w:szCs w:val="24"/>
          <w:shd w:val="clear" w:color="auto" w:fill="ffffff"/>
        </w:rPr>
      </w:r>
      <w:r>
        <w:rPr>
          <w:rFonts w:eastAsia="Arial"/>
          <w:szCs w:val="24"/>
          <w:shd w:val="clear" w:color="auto" w:fill="ffffff"/>
        </w:rPr>
      </w:r>
    </w:p>
    <w:p w14:paraId="71858E41" w14:textId="77777777">
      <w:pPr>
        <w:widowControl w:val="false"/>
        <w:pBdr/>
        <w:tabs>
          <w:tab w:val="left" w:leader="none" w:pos="993"/>
        </w:tabs>
        <w:spacing/>
        <w:ind/>
        <w:jc w:val="both"/>
        <w:rPr>
          <w:rFonts w:eastAsia="Arial"/>
          <w:szCs w:val="24"/>
          <w:shd w:val="clear" w:color="auto" w:fill="ffffff"/>
        </w:rPr>
      </w:pPr>
      <w:r>
        <w:rPr>
          <w:rFonts w:eastAsia="Arial"/>
          <w:szCs w:val="24"/>
        </w:rPr>
        <w:t xml:space="preserve">3.2.7. Sudarius Sutartį, tačiau ne vėliau negu Sutartis pradedama vykdyti, Tiekėjas įsipareigoja Pirkėjui pranešti tuo metu žinomų subtiekėjų, kurių pajėgumais Tiekėjas </w:t>
      </w:r>
      <w:r>
        <w:rPr>
          <w:rFonts w:eastAsia="Cambria"/>
          <w:szCs w:val="24"/>
        </w:rPr>
        <w:t xml:space="preserve">nesirėmė pirkimo dokumentuose numatytiems kvalifikacijos reikalavimams pagrįsti,</w:t>
      </w:r>
      <w:r>
        <w:rPr>
          <w:rFonts w:eastAsia="Arial"/>
          <w:szCs w:val="24"/>
        </w:rPr>
        <w:t xml:space="preserve"> pavadinimus, juridinio asmens kodą, kontaktinius duomenis, jų atstovus.</w:t>
      </w:r>
      <w:r>
        <w:rPr>
          <w:rFonts w:eastAsia="Arial"/>
          <w:szCs w:val="24"/>
          <w:shd w:val="clear" w:color="auto" w:fill="ffffff"/>
        </w:rPr>
      </w:r>
      <w:r>
        <w:rPr>
          <w:rFonts w:eastAsia="Arial"/>
          <w:szCs w:val="24"/>
          <w:shd w:val="clear" w:color="auto" w:fill="ffffff"/>
        </w:rPr>
      </w:r>
    </w:p>
    <w:p w14:paraId="2BAF3E76" w14:textId="77777777">
      <w:pPr>
        <w:widowControl w:val="false"/>
        <w:pBdr/>
        <w:tabs>
          <w:tab w:val="left" w:leader="none" w:pos="993"/>
        </w:tabs>
        <w:spacing/>
        <w:ind/>
        <w:jc w:val="both"/>
        <w:rPr>
          <w:rFonts w:eastAsia="Cambria"/>
          <w:szCs w:val="24"/>
          <w:shd w:val="clear" w:color="auto" w:fill="ffffff"/>
        </w:rPr>
      </w:pPr>
      <w:r>
        <w:rPr>
          <w:rFonts w:eastAsia="Arial"/>
          <w:szCs w:val="24"/>
        </w:rPr>
        <w:t xml:space="preserve">3.2.8. Tiekėjas, bet kuriuo Sutarties vykdymo metu,</w:t>
      </w:r>
      <w:r>
        <w:rPr>
          <w:rFonts w:eastAsia="Cambria"/>
          <w:szCs w:val="24"/>
        </w:rPr>
        <w:t xml:space="preserve"> subtiekėjus, kurių pajėgumais Tiekėjas nesirėmė pirkimo dokumentuose numatytiems kvalifikacijos reikalavimams pagrįsti, gali keisti savo nuožiūra.</w:t>
      </w:r>
      <w:r>
        <w:rPr>
          <w:rFonts w:eastAsia="Cambria"/>
          <w:szCs w:val="24"/>
          <w:shd w:val="clear" w:color="auto" w:fill="ffffff"/>
        </w:rPr>
      </w:r>
      <w:r>
        <w:rPr>
          <w:rFonts w:eastAsia="Cambria"/>
          <w:szCs w:val="24"/>
          <w:shd w:val="clear" w:color="auto" w:fill="ffffff"/>
        </w:rPr>
      </w:r>
    </w:p>
    <w:p w14:paraId="7CFC0F9A"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93"/>
        </w:tabs>
        <w:spacing/>
        <w:ind/>
        <w:jc w:val="both"/>
        <w:rPr>
          <w:rFonts w:eastAsia="Cambria"/>
          <w:szCs w:val="24"/>
        </w:rPr>
      </w:pPr>
      <w:r>
        <w:rPr>
          <w:rFonts w:eastAsia="Arial"/>
          <w:szCs w:val="24"/>
        </w:rPr>
        <w:t xml:space="preserve">3.2.9. Tiekėjas, bet kuriuo Sutarties vykdymo metu,</w:t>
      </w:r>
      <w:r>
        <w:rPr>
          <w:rFonts w:eastAsia="Cambria"/>
          <w:szCs w:val="24"/>
        </w:rPr>
        <w:t xml:space="preserve"> ne vėliau nei prieš 5 (penkias) darbo dienas</w:t>
      </w:r>
      <w:r>
        <w:rPr>
          <w:rFonts w:eastAsia="Arial"/>
          <w:szCs w:val="24"/>
        </w:rPr>
        <w:t xml:space="preserve"> iki numatomo naujo subtiekėjo, kurio pajėgumais Tiekėjas </w:t>
      </w:r>
      <w:r>
        <w:rPr>
          <w:rFonts w:eastAsia="Cambria"/>
          <w:szCs w:val="24"/>
        </w:rPr>
        <w:t xml:space="preserve">nesirėmė pirkimo dokumentuose numatytiems kvalifikacijos reikalavimams pagrįsti,</w:t>
      </w:r>
      <w:r>
        <w:rPr>
          <w:rFonts w:eastAsia="Arial"/>
          <w:szCs w:val="24"/>
        </w:rPr>
        <w:t xml:space="preserve"> pasitelkimo ir (arba) keitimo apie tai privalo informuoti </w:t>
      </w:r>
      <w:r>
        <w:rPr>
          <w:rFonts w:eastAsia="Calibri"/>
          <w:szCs w:val="24"/>
        </w:rPr>
        <w:t xml:space="preserve">Pirkėją</w:t>
      </w:r>
      <w:r>
        <w:rPr>
          <w:rFonts w:eastAsia="Arial"/>
          <w:szCs w:val="24"/>
        </w:rPr>
        <w:t xml:space="preserve">. </w:t>
      </w:r>
      <w:r>
        <w:rPr>
          <w:rFonts w:eastAsia="Calibri"/>
          <w:szCs w:val="24"/>
        </w:rPr>
        <w:t xml:space="preserve">Pirkėjas (jeigu buvo taikoma pirkimo dokumentuose) turi patikrinti, ar nėra </w:t>
      </w:r>
      <w:r>
        <w:rPr>
          <w:rFonts w:eastAsia="Cambria"/>
          <w:szCs w:val="24"/>
        </w:rPr>
        <w:t xml:space="preserve">subtiekėjo pašalinimo pagrindų ir subtiekėjo atitiktį nacionalinio saugumo interesams ir reikalavimams </w:t>
      </w:r>
      <w:r>
        <w:rPr>
          <w:rFonts w:eastAsia="Arial"/>
          <w:szCs w:val="24"/>
        </w:rPr>
        <w:t xml:space="preserve">nebūti registruotu (nuolat gyvenančiu ar turinčiu pilietybę) nepatikimomis laikomose valstybėse ar teritorijose</w:t>
      </w:r>
      <w:r>
        <w:rPr>
          <w:rFonts w:eastAsia="Cambria"/>
          <w:szCs w:val="24"/>
        </w:rPr>
        <w:t xml:space="preserve">. Jeigu subtiekėjo padėtis neatitinka bent vieno iš nurodytų reikalavimų, Pirkėjas reikalauja pakeisti šį subtiekėją reikalavimus atitinkančiu subtiekėju.</w:t>
      </w:r>
      <w:r>
        <w:rPr>
          <w:rFonts w:eastAsia="Calibri"/>
          <w:szCs w:val="24"/>
        </w:rPr>
        <w:t xml:space="preserve"> </w:t>
      </w:r>
      <w:r>
        <w:rPr>
          <w:rFonts w:eastAsia="Cambria"/>
          <w:szCs w:val="24"/>
        </w:rPr>
        <w:t xml:space="preserve">Pirkėjas</w:t>
      </w:r>
      <w:r>
        <w:rPr>
          <w:rFonts w:eastAsia="Calibri"/>
          <w:szCs w:val="24"/>
        </w:rPr>
        <w:t xml:space="preserve"> per 5 (penkias) darbo dienas raštu informuoja Tiekėją apie</w:t>
      </w:r>
      <w:r>
        <w:rPr>
          <w:rFonts w:eastAsia="Calibri"/>
          <w:szCs w:val="24"/>
        </w:rPr>
        <w:t xml:space="preserve"> sutikimą pasitelkti ir (ar) keisti naują subtiekėją, kurio pajėgumais Tiekėjas nesirėmė pirkimo dokumentuose numatytiems kvalifikacijos reikalavimams pagrįsti. </w:t>
      </w:r>
      <w:r>
        <w:rPr>
          <w:rFonts w:eastAsia="Cambria"/>
          <w:szCs w:val="24"/>
        </w:rPr>
        <w:t xml:space="preserve">Pirkėjui sutikus, Šalys pasirašo Susitarimą, kuris laikomas neatsiejama Sutarties dalimi.</w:t>
      </w:r>
      <w:r>
        <w:rPr>
          <w:rFonts w:eastAsia="Cambria"/>
          <w:szCs w:val="24"/>
        </w:rPr>
      </w:r>
      <w:r>
        <w:rPr>
          <w:rFonts w:eastAsia="Cambria"/>
          <w:szCs w:val="24"/>
        </w:rPr>
      </w:r>
    </w:p>
    <w:p w14:paraId="6CEF85DF"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93"/>
        </w:tabs>
        <w:spacing/>
        <w:ind/>
        <w:jc w:val="both"/>
        <w:rPr>
          <w:rFonts w:eastAsia="Arial"/>
          <w:szCs w:val="24"/>
          <w:shd w:val="clear" w:color="auto" w:fill="ffffff"/>
        </w:rPr>
      </w:pPr>
      <w:r>
        <w:rPr>
          <w:rFonts w:eastAsia="Arial"/>
          <w:szCs w:val="24"/>
        </w:rPr>
        <w:t xml:space="preserve">3.2.10. Subtiekėjai, kurių pajėgumais Tiekėjas rėmėsi, kad atitiktų pirkimo dokumentuose nustatytus kvalifikacijos reikalavimus, gali būti keičiami tik šiais atvejais:</w:t>
      </w:r>
      <w:r>
        <w:rPr>
          <w:rFonts w:eastAsia="Arial"/>
          <w:szCs w:val="24"/>
          <w:shd w:val="clear" w:color="auto" w:fill="ffffff"/>
        </w:rPr>
      </w:r>
      <w:r>
        <w:rPr>
          <w:rFonts w:eastAsia="Arial"/>
          <w:szCs w:val="24"/>
          <w:shd w:val="clear" w:color="auto" w:fill="ffffff"/>
        </w:rPr>
      </w:r>
    </w:p>
    <w:p w14:paraId="3BEFB0D3"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Arial"/>
          <w:szCs w:val="24"/>
        </w:rPr>
      </w:pPr>
      <w:r>
        <w:rPr>
          <w:rFonts w:eastAsia="Cambria"/>
          <w:szCs w:val="24"/>
        </w:rPr>
        <w:t xml:space="preserve">3.2.10.1. kai subtiekėjui </w:t>
      </w:r>
      <w:r>
        <w:rPr>
          <w:rFonts w:eastAsia="Calibri"/>
          <w:szCs w:val="24"/>
        </w:rPr>
        <w:t xml:space="preserve">iškelta bankroto byla, pradėtas bankroto procesas ne teismo tvarka, jis tampa nemokus arba yra nemokumo tikimybė, sustabdo ūkinę veiklą ar kai įstatymuose ir kituose teisės aktuose nustatyta tvarka susidaro analogiška situacija</w:t>
      </w:r>
      <w:r>
        <w:rPr>
          <w:rFonts w:eastAsia="Cambria"/>
          <w:szCs w:val="24"/>
        </w:rPr>
        <w:t xml:space="preserve">;</w:t>
      </w:r>
      <w:r>
        <w:rPr>
          <w:rFonts w:eastAsia="Arial"/>
          <w:szCs w:val="24"/>
        </w:rPr>
      </w:r>
      <w:r>
        <w:rPr>
          <w:rFonts w:eastAsia="Arial"/>
          <w:szCs w:val="24"/>
        </w:rPr>
      </w:r>
    </w:p>
    <w:p w14:paraId="755F6F6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Arial"/>
          <w:szCs w:val="24"/>
        </w:rPr>
      </w:pPr>
      <w:r>
        <w:rPr>
          <w:rFonts w:eastAsia="Cambria"/>
          <w:szCs w:val="24"/>
        </w:rPr>
        <w:t xml:space="preserve">3.2.10.2. kai subtiekėjas dėl objektyvių priežasčių (pavyzdžiui, subtiekėjui atsisakius dalyvauti Sutarties vykdyme, nutrūkus teisiniams santykiams su Tiekėju ir pan.) nebegali vykdyti visų ar dalies Sutartyje numatytų įsipareigojimų;</w:t>
      </w:r>
      <w:r>
        <w:rPr>
          <w:rFonts w:eastAsia="Arial"/>
          <w:szCs w:val="24"/>
        </w:rPr>
      </w:r>
      <w:r>
        <w:rPr>
          <w:rFonts w:eastAsia="Arial"/>
          <w:szCs w:val="24"/>
        </w:rPr>
      </w:r>
    </w:p>
    <w:p w14:paraId="6940EF8C"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Arial"/>
          <w:szCs w:val="24"/>
        </w:rPr>
      </w:pPr>
      <w:r>
        <w:rPr>
          <w:rFonts w:eastAsia="Cambria"/>
          <w:szCs w:val="24"/>
        </w:rPr>
        <w:t xml:space="preserve">3.2.10.3. Tiekėjas ar subtiekėjas privalo pakeisti subtiekėją, jei paaiškėja, kad jis neatitinka jam pirkimo dokumentuose keliamų reikalavimų.</w:t>
      </w:r>
      <w:r>
        <w:rPr>
          <w:rFonts w:eastAsia="Arial"/>
          <w:szCs w:val="24"/>
        </w:rPr>
      </w:r>
      <w:r>
        <w:rPr>
          <w:rFonts w:eastAsia="Arial"/>
          <w:szCs w:val="24"/>
        </w:rPr>
      </w:r>
    </w:p>
    <w:p w14:paraId="7B32ABE4"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93"/>
        </w:tabs>
        <w:spacing/>
        <w:ind w:hanging="720" w:left="720"/>
        <w:jc w:val="both"/>
        <w:rPr>
          <w:rFonts w:eastAsia="Cambria"/>
          <w:szCs w:val="24"/>
        </w:rPr>
      </w:pPr>
      <w:r>
        <w:rPr>
          <w:rFonts w:eastAsia="Cambria"/>
          <w:szCs w:val="24"/>
        </w:rPr>
        <w:t xml:space="preserve">3.2.11. </w:t>
      </w:r>
      <w:r>
        <w:rPr>
          <w:rFonts w:ascii="Calibri" w:hAnsi="Calibri" w:eastAsia="Calibri"/>
          <w:sz w:val="22"/>
          <w:szCs w:val="22"/>
        </w:rPr>
        <w:tab/>
      </w:r>
      <w:r>
        <w:rPr>
          <w:rFonts w:eastAsia="Cambria"/>
          <w:szCs w:val="24"/>
        </w:rPr>
        <w:t xml:space="preserve">Tiekėjo (ar subtiekėjų) specialistai, vykdantys Sutartį, gali būti keičiami šiais atvejais:</w:t>
      </w:r>
      <w:r>
        <w:rPr>
          <w:rFonts w:eastAsia="Cambria"/>
          <w:szCs w:val="24"/>
        </w:rPr>
      </w:r>
      <w:r>
        <w:rPr>
          <w:rFonts w:eastAsia="Cambria"/>
          <w:szCs w:val="24"/>
        </w:rPr>
      </w:r>
    </w:p>
    <w:p w14:paraId="61F94875"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Cambria"/>
          <w:szCs w:val="24"/>
        </w:rPr>
      </w:pPr>
      <w:r>
        <w:rPr>
          <w:rFonts w:eastAsia="Cambria"/>
          <w:szCs w:val="24"/>
        </w:rPr>
        <w:t xml:space="preserve">3.2.11.1. Tiekėjo iniciatyva dėl obje</w:t>
      </w:r>
      <w:r>
        <w:rPr>
          <w:rFonts w:eastAsia="Cambria"/>
          <w:szCs w:val="24"/>
        </w:rPr>
        <w:t xml:space="preserve">ktyvių priežasčių (pavyzdžiui, atostogų, ligos, nutrūkus darbo santykiams ir pan.), pateikus duomenis apie numatomą naujai skirti specialistą bei jo kvalifikaciją ir atitiktį kitiems pirkimo dokumentuose keliamiems reikalavimams patvirtinančius dokumentus;</w:t>
      </w:r>
      <w:r>
        <w:rPr>
          <w:rFonts w:eastAsia="Cambria"/>
          <w:szCs w:val="24"/>
        </w:rPr>
      </w:r>
      <w:r>
        <w:rPr>
          <w:rFonts w:eastAsia="Cambria"/>
          <w:szCs w:val="24"/>
        </w:rPr>
      </w:r>
    </w:p>
    <w:p w14:paraId="335D897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 w:val="left" w:leader="none" w:pos="1418"/>
        </w:tabs>
        <w:spacing/>
        <w:ind/>
        <w:jc w:val="both"/>
        <w:rPr>
          <w:rFonts w:eastAsia="Cambria"/>
          <w:szCs w:val="24"/>
        </w:rPr>
      </w:pPr>
      <w:r>
        <w:rPr>
          <w:rFonts w:eastAsia="Cambria"/>
          <w:szCs w:val="24"/>
        </w:rPr>
        <w:t xml:space="preserve">3.2.11.2. Pirkėjo iniciatyva, jei Pirkėjas turi pagrįstų įtarimų, kad Tiekėjo Sutarties vykdymui paskirtas specialistas nekompetentingas vykdyti nustatytas pareigas;</w:t>
      </w:r>
      <w:r>
        <w:rPr>
          <w:rFonts w:eastAsia="Cambria"/>
          <w:szCs w:val="24"/>
        </w:rPr>
      </w:r>
      <w:r>
        <w:rPr>
          <w:rFonts w:eastAsia="Cambria"/>
          <w:szCs w:val="24"/>
        </w:rPr>
      </w:r>
    </w:p>
    <w:p w14:paraId="266EA53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 w:val="left" w:leader="none" w:pos="1276"/>
        </w:tabs>
        <w:spacing/>
        <w:ind/>
        <w:jc w:val="both"/>
        <w:rPr>
          <w:rFonts w:eastAsia="Cambria"/>
          <w:szCs w:val="24"/>
        </w:rPr>
      </w:pPr>
      <w:r>
        <w:rPr>
          <w:rFonts w:eastAsia="Cambria"/>
          <w:szCs w:val="24"/>
        </w:rPr>
        <w:t xml:space="preserve">3.2.11.3. Tiekėjas ar subtiekėjas privalo pakeisti specialistą, jei paaiškėja, kad jis neatitinka jam pirkimo dokumentuose keliamų reikalavimų.</w:t>
      </w:r>
      <w:r>
        <w:rPr>
          <w:rFonts w:eastAsia="Cambria"/>
          <w:szCs w:val="24"/>
        </w:rPr>
      </w:r>
      <w:r>
        <w:rPr>
          <w:rFonts w:eastAsia="Cambria"/>
          <w:szCs w:val="24"/>
        </w:rPr>
      </w:r>
    </w:p>
    <w:p w14:paraId="7DC42D47"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s>
        <w:spacing/>
        <w:ind/>
        <w:jc w:val="both"/>
        <w:rPr>
          <w:rFonts w:eastAsia="Cambria"/>
          <w:szCs w:val="24"/>
        </w:rPr>
      </w:pPr>
      <w:r>
        <w:rPr>
          <w:rFonts w:eastAsia="Cambria"/>
          <w:color w:val="000000"/>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szCs w:val="24"/>
        </w:rPr>
        <w:t xml:space="preserve">ir Tiekėjo pasiūlyme nurodytas Kokybinių kriterijų reikšmes.</w:t>
      </w:r>
      <w:r>
        <w:rPr>
          <w:rFonts w:eastAsia="Cambria"/>
          <w:szCs w:val="24"/>
        </w:rPr>
      </w:r>
      <w:r>
        <w:rPr>
          <w:rFonts w:eastAsia="Cambria"/>
          <w:szCs w:val="24"/>
        </w:rPr>
      </w:r>
    </w:p>
    <w:p w14:paraId="6A09ECE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s>
        <w:spacing/>
        <w:ind/>
        <w:jc w:val="both"/>
        <w:rPr>
          <w:rFonts w:eastAsia="Cambria"/>
          <w:szCs w:val="24"/>
        </w:rPr>
      </w:pPr>
      <w:r>
        <w:rPr>
          <w:rFonts w:eastAsia="Cambria"/>
          <w:szCs w:val="24"/>
        </w:rPr>
        <w:t xml:space="preserve">3.2.13. Tiekėjas privalo ne vėliau nei prieš 5 (penkias) darbo dienas iki numatomo subtiekėjo, </w:t>
      </w:r>
      <w:r>
        <w:rPr>
          <w:rFonts w:eastAsia="Arial"/>
          <w:szCs w:val="24"/>
        </w:rPr>
        <w:t xml:space="preserve">kurio pajėgumais Tiekėjas rėmėsi, kad atitiktų pirkimo dokumentuose nustatytus kvalifikacijos reikalavimus,</w:t>
      </w:r>
      <w:r>
        <w:rPr>
          <w:rFonts w:eastAsia="Cambria"/>
          <w:szCs w:val="24"/>
        </w:rPr>
        <w:t xml:space="preserve"> </w:t>
      </w:r>
      <w:r>
        <w:rPr>
          <w:rFonts w:eastAsia="Arial"/>
          <w:szCs w:val="24"/>
        </w:rPr>
        <w:t xml:space="preserve">ir (ar) specialisto </w:t>
      </w:r>
      <w:r>
        <w:rPr>
          <w:rFonts w:eastAsia="Cambria"/>
          <w:szCs w:val="24"/>
        </w:rPr>
        <w:t xml:space="preserve">keitimo pateikti Pirkėjui šiuos dokumentus:</w:t>
      </w:r>
      <w:r>
        <w:rPr>
          <w:rFonts w:eastAsia="Cambria"/>
          <w:szCs w:val="24"/>
        </w:rPr>
      </w:r>
      <w:r>
        <w:rPr>
          <w:rFonts w:eastAsia="Cambria"/>
          <w:szCs w:val="24"/>
        </w:rPr>
      </w:r>
    </w:p>
    <w:p w14:paraId="19D1901E"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Cambria"/>
          <w:szCs w:val="24"/>
        </w:rPr>
      </w:pPr>
      <w:r>
        <w:rPr>
          <w:rFonts w:eastAsia="Cambria"/>
          <w:szCs w:val="24"/>
        </w:rPr>
        <w:t xml:space="preserve">3.2.13.1. argumentuotą rašytinį prašymą pakeisti subtiekėją ir (ar) specialistą, paaiškinant keitimo aplinkybę. Pirkėjas pasilieka teisę paprašyti įrodymų, pagrindžiančių keitimo aplinkybę;</w:t>
      </w:r>
      <w:r>
        <w:rPr>
          <w:rFonts w:eastAsia="Cambria"/>
          <w:szCs w:val="24"/>
        </w:rPr>
      </w:r>
      <w:r>
        <w:rPr>
          <w:rFonts w:eastAsia="Cambria"/>
          <w:szCs w:val="24"/>
        </w:rPr>
      </w:r>
    </w:p>
    <w:p w14:paraId="17928599"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Cambria"/>
          <w:szCs w:val="24"/>
        </w:rPr>
      </w:pPr>
      <w:r>
        <w:rPr>
          <w:rFonts w:eastAsia="Cambria"/>
          <w:szCs w:val="24"/>
        </w:rPr>
        <w:t xml:space="preserve">3.2.13.2</w:t>
      </w:r>
      <w:r>
        <w:rPr>
          <w:rFonts w:eastAsia="Cambria"/>
          <w:szCs w:val="24"/>
        </w:rPr>
        <w:t xml:space="preserve">.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szCs w:val="24"/>
        </w:rPr>
        <w:t xml:space="preserve">nacionalinio saugumo interesams bei </w:t>
      </w:r>
      <w:r>
        <w:rPr>
          <w:rFonts w:eastAsia="Arial"/>
          <w:szCs w:val="24"/>
        </w:rPr>
        <w:t xml:space="preserve">reikalavimams</w:t>
      </w:r>
      <w:r>
        <w:rPr>
          <w:rFonts w:eastAsia="Cambria"/>
          <w:szCs w:val="24"/>
        </w:rPr>
        <w:t xml:space="preserve"> </w:t>
      </w:r>
      <w:r>
        <w:rPr>
          <w:rFonts w:eastAsia="Arial"/>
          <w:szCs w:val="24"/>
        </w:rPr>
        <w:t xml:space="preserve">nebūti registruotu (nuolat gyvenančiu ar turinčiu pilietybę) nepatikimomis laikomose valstybėse ar teritorijose</w:t>
      </w:r>
      <w:r>
        <w:rPr>
          <w:rFonts w:eastAsia="Cambria"/>
          <w:szCs w:val="24"/>
        </w:rPr>
        <w:t xml:space="preserve"> (jei taikoma) įrodančius dokumentus pagal Sutarties reikalavimus.</w:t>
      </w:r>
      <w:r>
        <w:rPr>
          <w:rFonts w:eastAsia="Cambria"/>
          <w:szCs w:val="24"/>
        </w:rPr>
      </w:r>
      <w:r>
        <w:rPr>
          <w:rFonts w:eastAsia="Cambria"/>
          <w:szCs w:val="24"/>
        </w:rPr>
      </w:r>
    </w:p>
    <w:p w14:paraId="6B1C08FC"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s>
        <w:spacing/>
        <w:ind/>
        <w:jc w:val="both"/>
        <w:rPr>
          <w:rFonts w:eastAsia="Cambria"/>
          <w:szCs w:val="24"/>
        </w:rPr>
      </w:pPr>
      <w:r>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szCs w:val="24"/>
        </w:rPr>
        <w:t xml:space="preserve">kurio pajėgumais Tiekėjas rėmėsi, kad atitiktų pirkimo dokumentuose nustatytus kvalifikacijos reikalavimus,</w:t>
      </w:r>
      <w:r>
        <w:rPr>
          <w:rFonts w:eastAsia="Cambria"/>
          <w:szCs w:val="24"/>
        </w:rPr>
        <w:t xml:space="preserve"> ir (ar) specialistą. Pirkėjui sutikus, Šalys pasirašo Susitarimą, kuris laikomas neatsiejama Sutarties dalimi.</w:t>
      </w:r>
      <w:r>
        <w:rPr>
          <w:rFonts w:eastAsia="Cambria"/>
          <w:szCs w:val="24"/>
        </w:rPr>
      </w:r>
      <w:r>
        <w:rPr>
          <w:rFonts w:eastAsia="Cambria"/>
          <w:szCs w:val="24"/>
        </w:rPr>
      </w:r>
    </w:p>
    <w:p w14:paraId="2D91938C" w14:textId="77777777">
      <w:pPr>
        <w:pBdr/>
        <w:spacing w:line="257" w:lineRule="atLeast"/>
        <w:ind/>
        <w:jc w:val="both"/>
        <w:rPr>
          <w:color w:val="000000"/>
          <w:szCs w:val="24"/>
        </w:rPr>
      </w:pPr>
      <w:r>
        <w:rPr>
          <w:color w:val="000000"/>
          <w:szCs w:val="24"/>
        </w:rPr>
      </w:r>
      <w:r>
        <w:rPr>
          <w:color w:val="000000"/>
          <w:szCs w:val="24"/>
        </w:rPr>
      </w:r>
      <w:r>
        <w:rPr>
          <w:color w:val="000000"/>
          <w:szCs w:val="24"/>
        </w:rPr>
      </w:r>
    </w:p>
    <w:p w14:paraId="44D64032" w14:textId="77777777">
      <w:pPr>
        <w:pBdr/>
        <w:spacing w:line="257" w:lineRule="atLeast"/>
        <w:ind/>
        <w:jc w:val="center"/>
        <w:rPr>
          <w:color w:val="000000"/>
          <w:szCs w:val="24"/>
        </w:rPr>
      </w:pPr>
      <w:r>
        <w:rPr>
          <w:b/>
          <w:bCs/>
          <w:color w:val="000000"/>
          <w:szCs w:val="24"/>
        </w:rPr>
        <w:t xml:space="preserve">3.3. Jungtinės veiklos partnerių keitimas</w:t>
      </w:r>
      <w:r>
        <w:rPr>
          <w:color w:val="000000"/>
          <w:szCs w:val="24"/>
        </w:rPr>
      </w:r>
      <w:r>
        <w:rPr>
          <w:color w:val="000000"/>
          <w:szCs w:val="24"/>
        </w:rPr>
      </w:r>
    </w:p>
    <w:p w14:paraId="6A698BF0"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E2A64DB" w14:textId="77777777">
      <w:pPr>
        <w:pBdr/>
        <w:spacing w:line="257" w:lineRule="atLeast"/>
        <w:ind/>
        <w:jc w:val="both"/>
        <w:rPr>
          <w:color w:val="000000"/>
          <w:szCs w:val="24"/>
        </w:rPr>
      </w:pPr>
      <w:r>
        <w:rPr>
          <w:color w:val="000000"/>
          <w:szCs w:val="24"/>
          <w:shd w:val="clear" w:color="auto" w:fill="ffffff"/>
        </w:rPr>
        <w:t xml:space="preserve">3.3.1. Tiekėjas, vykdantis Sutartį </w:t>
      </w:r>
      <w:r>
        <w:rPr>
          <w:rFonts w:eastAsia="Cambria"/>
          <w:szCs w:val="24"/>
        </w:rPr>
        <w:t xml:space="preserve">kaip tiekėjų grupė, veikianti </w:t>
      </w:r>
      <w:r>
        <w:rPr>
          <w:rFonts w:eastAsia="Cambria"/>
          <w:szCs w:val="24"/>
          <w:shd w:val="clear" w:color="auto" w:fill="ffffff"/>
        </w:rPr>
        <w:t xml:space="preserve">jungtinės veiklos</w:t>
      </w:r>
      <w:r>
        <w:rPr>
          <w:rFonts w:eastAsia="Cambria"/>
          <w:szCs w:val="24"/>
        </w:rPr>
        <w:t xml:space="preserve"> sutarties</w:t>
      </w:r>
      <w:r>
        <w:rPr>
          <w:rFonts w:eastAsia="Cambria"/>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w:t>
      </w:r>
      <w:r>
        <w:rPr>
          <w:color w:val="000000"/>
          <w:szCs w:val="24"/>
          <w:shd w:val="clear" w:color="auto" w:fill="ffffff"/>
        </w:rPr>
        <w:t xml:space="preserve">ia grėsmę nacionaliniam saugumui, Partneriui pritaikytos tarptautinės sankcijos kaip jos suprantamos Lietuvos Respublikos tarptautinių sankcijų įstatyme (toliau – Sankcijų įstatymas), Partnerio sunki finansinė būklė, lemianti Sutarties nevykdymą ir (ar) at</w:t>
      </w:r>
      <w:r>
        <w:rPr>
          <w:color w:val="000000"/>
          <w:szCs w:val="24"/>
          <w:shd w:val="clear" w:color="auto" w:fill="ffffff"/>
        </w:rPr>
        <w:t xml:space="preserve">sisakymą ją vykdyti ar atsirado kitos nenumatytos objektyvios priežastys, lemiančios Partnerio pasitraukimą iš jungtinės veiklos sutarties.</w:t>
      </w:r>
      <w:r>
        <w:rPr>
          <w:color w:val="000000"/>
          <w:szCs w:val="24"/>
        </w:rPr>
      </w:r>
      <w:r>
        <w:rPr>
          <w:color w:val="000000"/>
          <w:szCs w:val="24"/>
        </w:rPr>
      </w:r>
    </w:p>
    <w:p w14:paraId="6B6C0A43" w14:textId="77777777">
      <w:pPr>
        <w:pBdr/>
        <w:spacing w:line="257" w:lineRule="atLeast"/>
        <w:ind/>
        <w:jc w:val="both"/>
        <w:rPr>
          <w:color w:val="000000"/>
          <w:szCs w:val="24"/>
        </w:rPr>
      </w:pPr>
      <w:r>
        <w:rPr>
          <w:color w:val="000000"/>
          <w:szCs w:val="24"/>
          <w:shd w:val="clear" w:color="auto" w:fill="ffffff"/>
        </w:rPr>
        <w:t xml:space="preserve">3.3.2. Tiekėjas, vykdantis Sutartį </w:t>
      </w:r>
      <w:r>
        <w:rPr>
          <w:rFonts w:eastAsia="Cambria"/>
          <w:szCs w:val="24"/>
          <w:shd w:val="clear" w:color="auto" w:fill="ffffff"/>
        </w:rPr>
        <w:t xml:space="preserve">kaip tiekėjų grupė</w:t>
      </w:r>
      <w:r>
        <w:rPr>
          <w:color w:val="000000"/>
          <w:szCs w:val="24"/>
          <w:shd w:val="clear" w:color="auto" w:fill="ffffff"/>
        </w:rPr>
        <w:t xml:space="preserve">, turi teisę pakeisti Partnerį, jei dėl reorganizavimo, restruktūriza</w:t>
      </w:r>
      <w:r>
        <w:rPr>
          <w:color w:val="000000"/>
          <w:szCs w:val="24"/>
          <w:shd w:val="clear" w:color="auto" w:fill="ffffff"/>
        </w:rPr>
        <w:t xml:space="preserve">vimo ar bankroto procedūrų, pradinio Partnerio teises ir pareigas visiškai arba iš dalies perima kitas Partneris. Toks Partnerio pakeitimas negali lemti kitų esminių Sutarties pakeitimų ir taip negali būti siekiama išvengti VPĮ ir kitų teisės aktų taikymo.</w:t>
      </w:r>
      <w:r>
        <w:rPr>
          <w:color w:val="000000"/>
          <w:szCs w:val="24"/>
        </w:rPr>
      </w:r>
      <w:r>
        <w:rPr>
          <w:color w:val="000000"/>
          <w:szCs w:val="24"/>
        </w:rPr>
      </w:r>
    </w:p>
    <w:p w14:paraId="2AD28AFA" w14:textId="77777777">
      <w:pPr>
        <w:pBdr/>
        <w:spacing w:line="257" w:lineRule="atLeast"/>
        <w:ind/>
        <w:jc w:val="both"/>
        <w:rPr>
          <w:color w:val="000000"/>
          <w:szCs w:val="24"/>
        </w:rPr>
      </w:pPr>
      <w:r>
        <w:rPr>
          <w:color w:val="000000"/>
          <w:szCs w:val="24"/>
          <w:shd w:val="clear" w:color="auto" w:fill="ffffff"/>
        </w:rPr>
        <w:t xml:space="preserve">3.3.3. Tiekėjas privalo ne vėliau nei prieš 10 (dešimt) darbo dienų iki numatomo Partnerio keitimo arba atsisakymo pateikti Pirkėjui šiuos dokumentus:</w:t>
      </w:r>
      <w:r>
        <w:rPr>
          <w:color w:val="000000"/>
          <w:szCs w:val="24"/>
        </w:rPr>
      </w:r>
      <w:r>
        <w:rPr>
          <w:color w:val="000000"/>
          <w:szCs w:val="24"/>
        </w:rPr>
      </w:r>
    </w:p>
    <w:p w14:paraId="6A2A5C2E" w14:textId="77777777">
      <w:pPr>
        <w:pBdr/>
        <w:spacing w:line="257" w:lineRule="atLeast"/>
        <w:ind/>
        <w:jc w:val="both"/>
        <w:rPr>
          <w:color w:val="000000"/>
          <w:szCs w:val="24"/>
        </w:rPr>
      </w:pPr>
      <w:r>
        <w:rPr>
          <w:color w:val="000000"/>
          <w:szCs w:val="24"/>
          <w:shd w:val="clear" w:color="auto" w:fill="ffffff"/>
        </w:rPr>
        <w:t xml:space="preserve">3.3.3.1. </w:t>
      </w:r>
      <w:r>
        <w:rPr>
          <w:rFonts w:eastAsia="Cambria"/>
          <w:szCs w:val="24"/>
          <w:shd w:val="clear" w:color="auto" w:fill="ffffff"/>
        </w:rPr>
        <w:t xml:space="preserve">argumentuotą</w:t>
      </w:r>
      <w:r>
        <w:rPr>
          <w:color w:val="000000"/>
          <w:szCs w:val="24"/>
          <w:shd w:val="clear" w:color="auto" w:fill="ffffff"/>
        </w:rPr>
        <w:t xml:space="preserve"> prašymą pakeisti Tiekėjo sudėtį ir įrodymus, pagrindžiančius bent vieną Partnerio atsisakymo ar keitimo aplinkybę, nurodytą Sutartyje;</w:t>
      </w:r>
      <w:r>
        <w:rPr>
          <w:color w:val="000000"/>
          <w:szCs w:val="24"/>
        </w:rPr>
      </w:r>
      <w:r>
        <w:rPr>
          <w:color w:val="000000"/>
          <w:szCs w:val="24"/>
        </w:rPr>
      </w:r>
    </w:p>
    <w:p w14:paraId="761F35DC" w14:textId="77777777">
      <w:pPr>
        <w:pBdr/>
        <w:spacing w:line="257" w:lineRule="atLeast"/>
        <w:ind/>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szCs w:val="24"/>
          <w:shd w:val="clear" w:color="auto" w:fill="ffffff"/>
        </w:rPr>
        <w:t xml:space="preserve">pasiliekantysis Partneris ir (ar) naujai pasitelktas Partneris</w:t>
      </w:r>
      <w:r>
        <w:rPr>
          <w:color w:val="000000"/>
          <w:szCs w:val="24"/>
          <w:shd w:val="clear" w:color="auto" w:fill="ffffff"/>
        </w:rPr>
        <w:t xml:space="preserve">;</w:t>
      </w:r>
      <w:r>
        <w:rPr>
          <w:color w:val="000000"/>
          <w:szCs w:val="24"/>
        </w:rPr>
      </w:r>
      <w:r>
        <w:rPr>
          <w:color w:val="000000"/>
          <w:szCs w:val="24"/>
        </w:rPr>
      </w:r>
    </w:p>
    <w:p w14:paraId="2662415E" w14:textId="77777777">
      <w:pPr>
        <w:pBdr/>
        <w:spacing/>
        <w:ind/>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w:t>
      </w:r>
      <w:r>
        <w:rPr>
          <w:color w:val="000000"/>
          <w:szCs w:val="24"/>
          <w:shd w:val="clear" w:color="auto" w:fill="ffffff"/>
        </w:rPr>
        <w:t xml:space="preserve">kimo dokumentuose nustatytus kvalifikacijos reikalavimus, kuriuos atitiko pasitraukiantysis Partneris, ir atitinkanti pasitraukiančiojo Partnerio pasiūlyme nurodytą specialistų kvalifikaciją ir kitas sąlygas pirkimo dokumentuose nustatytiems Kokybiniams kr</w:t>
      </w:r>
      <w:r>
        <w:rPr>
          <w:color w:val="000000"/>
          <w:szCs w:val="24"/>
          <w:shd w:val="clear" w:color="auto" w:fill="ffffff"/>
        </w:rPr>
        <w:t xml:space="preserve">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szCs w:val="24"/>
        </w:rPr>
        <w:t xml:space="preserve">bei reikalavimams </w:t>
      </w:r>
      <w:r>
        <w:rPr>
          <w:rFonts w:eastAsia="Arial"/>
          <w:szCs w:val="24"/>
          <w:shd w:val="clear" w:color="auto" w:fill="ffffff"/>
        </w:rPr>
        <w:t xml:space="preserve">nebūti registruotu (nuolat gyvenančiu ar turinčiu pilietybę) nepatikimomis laikomose valstybėse ar teritorijose</w:t>
      </w:r>
      <w:r>
        <w:rPr>
          <w:rFonts w:eastAsia="Cambria"/>
          <w:szCs w:val="24"/>
          <w:shd w:val="clear" w:color="auto" w:fill="ffffff"/>
        </w:rPr>
        <w:t xml:space="preserve"> (jei taikoma)</w:t>
      </w:r>
      <w:r>
        <w:rPr>
          <w:color w:val="000000"/>
          <w:szCs w:val="24"/>
          <w:shd w:val="clear" w:color="auto" w:fill="ffffff"/>
        </w:rPr>
        <w:t xml:space="preserve">.</w:t>
      </w:r>
      <w:r>
        <w:rPr>
          <w:color w:val="000000"/>
          <w:szCs w:val="24"/>
        </w:rPr>
      </w:r>
      <w:r>
        <w:rPr>
          <w:color w:val="000000"/>
          <w:szCs w:val="24"/>
        </w:rPr>
      </w:r>
    </w:p>
    <w:p w14:paraId="22728426"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Cambria"/>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szCs w:val="24"/>
          <w:shd w:val="clear" w:color="auto" w:fill="ffffff"/>
        </w:rPr>
        <w:t xml:space="preserve">apie sutikimą arba apie ne</w:t>
      </w:r>
      <w:r>
        <w:rPr>
          <w:rFonts w:eastAsia="Cambria"/>
          <w:szCs w:val="24"/>
        </w:rPr>
        <w:t xml:space="preserve">sutikimą </w:t>
      </w:r>
      <w:r>
        <w:rPr>
          <w:rFonts w:eastAsia="Cambria"/>
          <w:szCs w:val="24"/>
          <w:shd w:val="clear" w:color="auto" w:fill="ffffff"/>
        </w:rPr>
        <w:t xml:space="preserve">atsisakyti ar pakeisti Partnerį</w:t>
      </w:r>
      <w:r>
        <w:rPr>
          <w:color w:val="000000"/>
          <w:szCs w:val="24"/>
          <w:shd w:val="clear" w:color="auto" w:fill="ffffff"/>
        </w:rPr>
        <w:t xml:space="preserve">. Pirkėjui sutikus, Šalys pasirašo Susitarimą, kuris laikomas neatsiejama Sutarties dalimi. </w:t>
      </w:r>
      <w:r>
        <w:rPr>
          <w:rFonts w:eastAsia="Cambria"/>
          <w:szCs w:val="24"/>
          <w:shd w:val="clear" w:color="auto" w:fill="ffffff"/>
        </w:rPr>
        <w:t xml:space="preserve">Prieš Susitarimo pasirašymą, Pirkėjui pateikiama naujos jungtinės veiklos sutarties ar esamos jungtinės veiklos sutarties pakeitimo kopija arba nuorašas.</w:t>
      </w:r>
      <w:r>
        <w:rPr>
          <w:rFonts w:eastAsia="Cambria"/>
          <w:szCs w:val="24"/>
          <w:shd w:val="clear" w:color="auto" w:fill="ffffff"/>
        </w:rPr>
      </w:r>
      <w:r>
        <w:rPr>
          <w:rFonts w:eastAsia="Cambria"/>
          <w:szCs w:val="24"/>
          <w:shd w:val="clear" w:color="auto" w:fill="ffffff"/>
        </w:rPr>
      </w:r>
    </w:p>
    <w:p w14:paraId="1E4466D8"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Cambria"/>
          <w:szCs w:val="24"/>
          <w:shd w:val="clear" w:color="auto" w:fill="ffffff"/>
        </w:rPr>
      </w:pPr>
      <w:r>
        <w:rPr>
          <w:rFonts w:eastAsia="Cambria"/>
          <w:szCs w:val="24"/>
          <w:shd w:val="clear" w:color="auto" w:fill="ffffff"/>
        </w:rPr>
      </w:r>
      <w:r>
        <w:rPr>
          <w:rFonts w:eastAsia="Cambria"/>
          <w:szCs w:val="24"/>
          <w:shd w:val="clear" w:color="auto" w:fill="ffffff"/>
        </w:rPr>
      </w:r>
      <w:r>
        <w:rPr>
          <w:rFonts w:eastAsia="Cambria"/>
          <w:szCs w:val="24"/>
          <w:shd w:val="clear" w:color="auto" w:fill="ffffff"/>
        </w:rPr>
      </w:r>
    </w:p>
    <w:p w14:paraId="412A396C" w14:textId="77777777">
      <w:pPr>
        <w:pBdr/>
        <w:spacing/>
        <w:ind/>
        <w:rPr>
          <w:sz w:val="14"/>
          <w:szCs w:val="14"/>
        </w:rPr>
      </w:pPr>
      <w:r>
        <w:rPr>
          <w:sz w:val="14"/>
          <w:szCs w:val="14"/>
        </w:rPr>
      </w:r>
      <w:r>
        <w:rPr>
          <w:sz w:val="14"/>
          <w:szCs w:val="14"/>
        </w:rPr>
      </w:r>
      <w:r>
        <w:rPr>
          <w:sz w:val="14"/>
          <w:szCs w:val="14"/>
        </w:rPr>
      </w:r>
    </w:p>
    <w:p w14:paraId="0BE9AC9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E8FEEB6" w14:textId="77777777">
      <w:pPr>
        <w:pBdr/>
        <w:spacing w:line="257" w:lineRule="atLeast"/>
        <w:ind/>
        <w:jc w:val="center"/>
        <w:rPr>
          <w:color w:val="000000"/>
          <w:szCs w:val="24"/>
        </w:rPr>
      </w:pPr>
      <w:r>
        <w:rPr>
          <w:b/>
          <w:bCs/>
          <w:color w:val="000000"/>
          <w:szCs w:val="24"/>
        </w:rPr>
        <w:t xml:space="preserve">3.4.  Susitarimai dėl tiesioginio atsiskaitymo su subtiekėjais</w:t>
      </w:r>
      <w:r>
        <w:rPr>
          <w:color w:val="000000"/>
          <w:szCs w:val="24"/>
        </w:rPr>
      </w:r>
      <w:r>
        <w:rPr>
          <w:color w:val="000000"/>
          <w:szCs w:val="24"/>
        </w:rPr>
      </w:r>
    </w:p>
    <w:p w14:paraId="12C57045"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B70CABA" w14:textId="77777777">
      <w:pPr>
        <w:pBdr/>
        <w:spacing w:line="257" w:lineRule="atLeast"/>
        <w:ind/>
        <w:jc w:val="both"/>
        <w:rPr>
          <w:color w:val="000000"/>
          <w:szCs w:val="24"/>
        </w:rPr>
      </w:pPr>
      <w:r>
        <w:rPr>
          <w:color w:val="000000"/>
          <w:szCs w:val="24"/>
        </w:rPr>
        <w:t xml:space="preserve">3.4.1. </w:t>
      </w:r>
      <w:r>
        <w:rPr>
          <w:color w:val="000000"/>
          <w:szCs w:val="24"/>
          <w:shd w:val="clear" w:color="auto" w:fill="ffffff"/>
        </w:rPr>
        <w:t xml:space="preserve">Subtiekėjams pageidaujant, Pirkėjas su jais atsiskaitys tiesiogiai. Pirkėjas numato tiesioginio atsiskaitymo galimybę su Sutartyje nurodytais subtiekėjais tokiomis sąlygomis ir tvarka: </w:t>
      </w:r>
      <w:r>
        <w:rPr>
          <w:color w:val="000000"/>
          <w:szCs w:val="24"/>
        </w:rPr>
      </w:r>
      <w:r>
        <w:rPr>
          <w:color w:val="000000"/>
          <w:szCs w:val="24"/>
        </w:rPr>
      </w:r>
    </w:p>
    <w:p w14:paraId="711E1C3B" w14:textId="77777777">
      <w:pPr>
        <w:pBdr/>
        <w:spacing w:line="257" w:lineRule="atLeast"/>
        <w:ind/>
        <w:jc w:val="both"/>
        <w:rPr>
          <w:color w:val="000000"/>
          <w:szCs w:val="24"/>
        </w:rPr>
      </w:pPr>
      <w:r>
        <w:rPr>
          <w:color w:val="000000"/>
          <w:szCs w:val="24"/>
        </w:rPr>
        <w:t xml:space="preserve">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szCs w:val="24"/>
          <w:shd w:val="clear" w:color="auto" w:fill="ffffff"/>
        </w:rPr>
        <w:t xml:space="preserve">kontaktinius duomenis</w:t>
      </w:r>
      <w:r>
        <w:rPr>
          <w:color w:val="000000"/>
          <w:szCs w:val="24"/>
          <w:shd w:val="clear" w:color="auto" w:fill="ffffff"/>
        </w:rPr>
        <w:t xml:space="preserve">. Pirkėjas taip pat reikalauja, kad Tiekėjas informuotų apie minėtos informacijos pasikeitimus bei</w:t>
      </w:r>
      <w:r>
        <w:rPr>
          <w:b/>
          <w:bCs/>
          <w:color w:val="5c5d5d"/>
          <w:szCs w:val="24"/>
        </w:rPr>
        <w:t xml:space="preserve"> </w:t>
      </w:r>
      <w:r>
        <w:rPr>
          <w:color w:val="000000"/>
          <w:szCs w:val="24"/>
          <w:shd w:val="clear" w:color="auto" w:fill="ffffff"/>
        </w:rPr>
        <w:t xml:space="preserve">naujų subtiekėjų pasitelkimą visu Sutarties vykdymo metu;</w:t>
      </w:r>
      <w:r>
        <w:rPr>
          <w:color w:val="000000"/>
          <w:szCs w:val="24"/>
        </w:rPr>
      </w:r>
      <w:r>
        <w:rPr>
          <w:color w:val="000000"/>
          <w:szCs w:val="24"/>
        </w:rPr>
      </w:r>
    </w:p>
    <w:p w14:paraId="2B2DFB65" w14:textId="77777777">
      <w:pPr>
        <w:pBdr/>
        <w:spacing w:line="257" w:lineRule="atLeast"/>
        <w:ind/>
        <w:jc w:val="both"/>
        <w:rPr>
          <w:color w:val="000000"/>
          <w:szCs w:val="24"/>
        </w:rPr>
      </w:pPr>
      <w:r>
        <w:rPr>
          <w:color w:val="000000"/>
          <w:szCs w:val="24"/>
        </w:rPr>
        <w:t xml:space="preserve">3.4.1.2. </w:t>
      </w:r>
      <w:r>
        <w:rPr>
          <w:color w:val="000000"/>
          <w:szCs w:val="24"/>
          <w:shd w:val="clear" w:color="auto" w:fill="ffffff"/>
        </w:rPr>
        <w:t xml:space="preserve">Pirkėjas ne vėliau kaip per 3 (tris) darbo dienas nuo Bendrųjų sąlygų 3.4.1.1 papunktyje nurodytos informacijos gavimo dienos raštu informuoja subtiekėjus apie tiesioginio atsiskaitymo galimybę;</w:t>
      </w:r>
      <w:r>
        <w:rPr>
          <w:color w:val="000000"/>
          <w:szCs w:val="24"/>
        </w:rPr>
      </w:r>
      <w:r>
        <w:rPr>
          <w:color w:val="000000"/>
          <w:szCs w:val="24"/>
        </w:rPr>
      </w:r>
    </w:p>
    <w:p w14:paraId="1E122431" w14:textId="77777777">
      <w:pPr>
        <w:pBdr/>
        <w:spacing w:line="257" w:lineRule="atLeast"/>
        <w:ind/>
        <w:jc w:val="both"/>
        <w:rPr>
          <w:color w:val="000000"/>
          <w:szCs w:val="24"/>
        </w:rPr>
      </w:pPr>
      <w:r>
        <w:rPr>
          <w:color w:val="000000"/>
          <w:szCs w:val="24"/>
        </w:rPr>
        <w:t xml:space="preserve">3.4.1.3. </w:t>
      </w:r>
      <w:r>
        <w:rPr>
          <w:color w:val="000000"/>
          <w:szCs w:val="24"/>
          <w:shd w:val="clear" w:color="auto" w:fill="ffffff"/>
        </w:rPr>
        <w:t xml:space="preserve">subtiekėjas, norėdamas pasinaudoti tokia galimybe, raštu pateikia </w:t>
      </w:r>
      <w:r>
        <w:rPr>
          <w:color w:val="000000"/>
          <w:szCs w:val="24"/>
          <w:shd w:val="clear" w:color="auto" w:fill="ffffff"/>
        </w:rPr>
        <w:t xml:space="preserve">prašymą Pirkėjui. Kai subtiekėjas išreiškia norą pasinaudoti tiesioginio atsiskaitymo galimybe, sudaroma trišalė sutartis tarp Pirkėjo, Tiekėjo ir šio subtiekėjo, kurioje aprašoma tiesioginio atsiskaitymo su subtiekėju tvarka, atsižvelgiant į Sutartyje ir </w:t>
      </w:r>
      <w:r>
        <w:rPr>
          <w:color w:val="000000"/>
          <w:szCs w:val="24"/>
          <w:shd w:val="clear" w:color="auto" w:fill="ffffff"/>
        </w:rPr>
        <w:t xml:space="preserve">subtiekimo</w:t>
      </w:r>
      <w:r>
        <w:rPr>
          <w:color w:val="000000"/>
          <w:szCs w:val="24"/>
          <w:shd w:val="clear" w:color="auto" w:fill="ffffff"/>
        </w:rPr>
        <w:t xml:space="preserve"> sutartyje nustatytus reikalavimus;</w:t>
      </w:r>
      <w:r>
        <w:rPr>
          <w:color w:val="000000"/>
          <w:szCs w:val="24"/>
        </w:rPr>
      </w:r>
      <w:r>
        <w:rPr>
          <w:color w:val="000000"/>
          <w:szCs w:val="24"/>
        </w:rPr>
      </w:r>
    </w:p>
    <w:p w14:paraId="39031EC1" w14:textId="77777777">
      <w:pPr>
        <w:pBdr/>
        <w:spacing w:line="257" w:lineRule="atLeast"/>
        <w:ind/>
        <w:jc w:val="both"/>
        <w:rPr>
          <w:color w:val="000000"/>
          <w:szCs w:val="24"/>
        </w:rPr>
      </w:pPr>
      <w:r>
        <w:rPr>
          <w:color w:val="000000"/>
          <w:szCs w:val="24"/>
        </w:rPr>
        <w:t xml:space="preserve">3.4.1.4. </w:t>
      </w:r>
      <w:r>
        <w:rPr>
          <w:color w:val="000000"/>
          <w:szCs w:val="24"/>
          <w:shd w:val="clear" w:color="auto" w:fill="ffffff"/>
        </w:rPr>
        <w:t xml:space="preserve">tiesioginio atsiskaitymo su subtiekėjais galimybė nekeičia Tiekėjo atsakomybės dėl Sutarties įvykdymo.</w:t>
      </w:r>
      <w:r>
        <w:rPr>
          <w:color w:val="000000"/>
          <w:szCs w:val="24"/>
        </w:rPr>
      </w:r>
      <w:r>
        <w:rPr>
          <w:color w:val="000000"/>
          <w:szCs w:val="24"/>
        </w:rPr>
      </w:r>
    </w:p>
    <w:p w14:paraId="47BF995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C6BA163" w14:textId="77777777">
      <w:pPr>
        <w:pBdr/>
        <w:spacing w:line="257" w:lineRule="atLeast"/>
        <w:ind w:hanging="360" w:left="360"/>
        <w:jc w:val="center"/>
        <w:rPr>
          <w:color w:val="000000"/>
          <w:szCs w:val="24"/>
        </w:rPr>
      </w:pPr>
      <w:r>
        <w:rPr>
          <w:b/>
          <w:bCs/>
          <w:caps/>
          <w:color w:val="000000"/>
          <w:szCs w:val="24"/>
        </w:rPr>
        <w:t xml:space="preserve">4.  ŠALIŲ BENDRADARBIAVIMAS</w:t>
      </w:r>
      <w:r>
        <w:rPr>
          <w:color w:val="000000"/>
          <w:szCs w:val="24"/>
        </w:rPr>
      </w:r>
      <w:r>
        <w:rPr>
          <w:color w:val="000000"/>
          <w:szCs w:val="24"/>
        </w:rPr>
      </w:r>
    </w:p>
    <w:p w14:paraId="681B1E91"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3708514" w14:textId="77777777">
      <w:pPr>
        <w:pBdr/>
        <w:spacing w:line="257" w:lineRule="atLeast"/>
        <w:ind/>
        <w:jc w:val="center"/>
        <w:rPr>
          <w:color w:val="000000"/>
          <w:szCs w:val="24"/>
        </w:rPr>
      </w:pPr>
      <w:r>
        <w:rPr>
          <w:b/>
          <w:bCs/>
          <w:color w:val="000000"/>
          <w:szCs w:val="24"/>
        </w:rPr>
        <w:t xml:space="preserve">4.1.  Šalių bendradarbiavimo pareiga</w:t>
      </w:r>
      <w:r>
        <w:rPr>
          <w:color w:val="000000"/>
          <w:szCs w:val="24"/>
        </w:rPr>
      </w:r>
      <w:r>
        <w:rPr>
          <w:color w:val="000000"/>
          <w:szCs w:val="24"/>
        </w:rPr>
      </w:r>
    </w:p>
    <w:p w14:paraId="3EAE3964"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3CDC852C" w14:textId="77777777">
      <w:pPr>
        <w:pBdr/>
        <w:spacing w:line="257" w:lineRule="atLeast"/>
        <w:ind/>
        <w:jc w:val="both"/>
        <w:rPr>
          <w:color w:val="000000"/>
          <w:szCs w:val="24"/>
        </w:rPr>
      </w:pPr>
      <w:r>
        <w:rPr>
          <w:color w:val="000000"/>
          <w:szCs w:val="24"/>
        </w:rPr>
        <w:t xml:space="preserve">4.1.1. Vykdydamos Sutartį, Šalys privalo maksimali</w:t>
      </w:r>
      <w:r>
        <w:rPr>
          <w:color w:val="000000"/>
          <w:szCs w:val="24"/>
        </w:rPr>
        <w:t xml:space="preserve">ai bendradarbiauti ir operatyviai keistis informacija, taip pat pateikti viena kitai rašytinius pranešimus nedelsiant apie tai, kad atsirado ar egzistuoja bet koks įvykis, sąlyga ar aplinkybė, kuri gali paveikti Sutarties vykdymą ar sąlygoti jos pažeidimą.</w:t>
      </w:r>
      <w:r>
        <w:rPr>
          <w:color w:val="000000"/>
          <w:szCs w:val="24"/>
        </w:rPr>
      </w:r>
      <w:r>
        <w:rPr>
          <w:color w:val="000000"/>
          <w:szCs w:val="24"/>
        </w:rPr>
      </w:r>
    </w:p>
    <w:p w14:paraId="72EDCCA3" w14:textId="77777777">
      <w:pPr>
        <w:pBdr/>
        <w:spacing w:line="257" w:lineRule="atLeast"/>
        <w:ind/>
        <w:jc w:val="both"/>
        <w:rPr>
          <w:color w:val="000000"/>
          <w:szCs w:val="24"/>
        </w:rPr>
      </w:pPr>
      <w:r>
        <w:rPr>
          <w:color w:val="000000"/>
          <w:szCs w:val="24"/>
        </w:rPr>
        <w:t xml:space="preserve">4.1.2. Šalys įsipareigoja užtikrinti, kad viena kitai teiks dokumentus ir (ar) kitą informaciją, kurie yra būtini Šalių tinkamam įsipareigojimų įvykdymui pagal Sutartį.</w:t>
      </w:r>
      <w:r>
        <w:rPr>
          <w:color w:val="000000"/>
          <w:szCs w:val="24"/>
        </w:rPr>
      </w:r>
      <w:r>
        <w:rPr>
          <w:color w:val="000000"/>
          <w:szCs w:val="24"/>
        </w:rPr>
      </w:r>
    </w:p>
    <w:p w14:paraId="27D07962" w14:textId="77777777">
      <w:pPr>
        <w:pBdr/>
        <w:spacing w:line="257" w:lineRule="atLeast"/>
        <w:ind/>
        <w:jc w:val="both"/>
        <w:rPr>
          <w:color w:val="000000"/>
          <w:szCs w:val="24"/>
        </w:rPr>
      </w:pPr>
      <w:r>
        <w:rPr>
          <w:color w:val="000000"/>
          <w:szCs w:val="24"/>
        </w:rPr>
        <w:t xml:space="preserve">4.1.3. </w:t>
      </w:r>
      <w:r>
        <w:rPr>
          <w:color w:val="000000"/>
          <w:szCs w:val="24"/>
          <w:shd w:val="clear" w:color="auto" w:fill="ffffff"/>
        </w:rPr>
        <w:t xml:space="preserve">Jeigu Šalis susiduria su </w:t>
      </w:r>
      <w:r>
        <w:rPr>
          <w:color w:val="000000"/>
          <w:szCs w:val="24"/>
        </w:rPr>
        <w:t xml:space="preserve">S</w:t>
      </w:r>
      <w:r>
        <w:rPr>
          <w:color w:val="000000"/>
          <w:szCs w:val="24"/>
          <w:shd w:val="clear" w:color="auto" w:fill="ffffff"/>
        </w:rPr>
        <w:t xml:space="preserve">utarties vykdymo kliūtimi, ji turi nedelsdama, bet ne vėliau kaip per 5 (penkias) darbo dienas, įspėti kitą Šalį apie tokia</w:t>
      </w:r>
      <w:r>
        <w:rPr>
          <w:color w:val="000000"/>
          <w:szCs w:val="24"/>
        </w:rPr>
        <w:t xml:space="preserve">s</w:t>
      </w:r>
      <w:r>
        <w:rPr>
          <w:color w:val="000000"/>
          <w:szCs w:val="24"/>
          <w:shd w:val="clear" w:color="auto" w:fill="ffffff"/>
        </w:rPr>
        <w:t xml:space="preserve"> kliūtis</w:t>
      </w:r>
      <w:r>
        <w:rPr>
          <w:color w:val="000000"/>
          <w:szCs w:val="24"/>
        </w:rPr>
        <w:t xml:space="preserve"> ir imtis visų nuo jos priklausančių protingų priemonių toms kliūtims pašalinti.</w:t>
      </w:r>
      <w:r>
        <w:rPr>
          <w:color w:val="000000"/>
          <w:szCs w:val="24"/>
        </w:rPr>
      </w:r>
      <w:r>
        <w:rPr>
          <w:color w:val="000000"/>
          <w:szCs w:val="24"/>
        </w:rPr>
      </w:r>
    </w:p>
    <w:p w14:paraId="03CD7B4C" w14:textId="77777777">
      <w:pPr>
        <w:pBdr/>
        <w:spacing w:line="257" w:lineRule="atLeast"/>
        <w:ind w:firstLine="115"/>
        <w:jc w:val="both"/>
        <w:rPr>
          <w:color w:val="000000"/>
          <w:szCs w:val="24"/>
        </w:rPr>
      </w:pPr>
      <w:r>
        <w:rPr>
          <w:color w:val="000000"/>
          <w:szCs w:val="24"/>
        </w:rPr>
      </w:r>
      <w:r>
        <w:rPr>
          <w:color w:val="000000"/>
          <w:szCs w:val="24"/>
        </w:rPr>
      </w:r>
      <w:r>
        <w:rPr>
          <w:color w:val="000000"/>
          <w:szCs w:val="24"/>
        </w:rPr>
      </w:r>
    </w:p>
    <w:p w14:paraId="7CFFCC27" w14:textId="77777777">
      <w:pPr>
        <w:pBdr/>
        <w:spacing w:line="257" w:lineRule="atLeast"/>
        <w:ind/>
        <w:jc w:val="center"/>
        <w:rPr>
          <w:color w:val="000000"/>
          <w:szCs w:val="24"/>
        </w:rPr>
      </w:pPr>
      <w:r>
        <w:rPr>
          <w:b/>
          <w:bCs/>
          <w:color w:val="000000"/>
          <w:szCs w:val="24"/>
        </w:rPr>
        <w:t xml:space="preserve">4.2.  Kontaktiniai asmenys</w:t>
      </w:r>
      <w:r>
        <w:rPr>
          <w:color w:val="000000"/>
          <w:szCs w:val="24"/>
        </w:rPr>
      </w:r>
      <w:r>
        <w:rPr>
          <w:color w:val="000000"/>
          <w:szCs w:val="24"/>
        </w:rPr>
      </w:r>
    </w:p>
    <w:p w14:paraId="7C47E12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C96D35D" w14:textId="77777777">
      <w:pPr>
        <w:pBdr/>
        <w:spacing w:line="257" w:lineRule="atLeast"/>
        <w:ind/>
        <w:jc w:val="both"/>
        <w:rPr>
          <w:color w:val="000000"/>
          <w:szCs w:val="24"/>
        </w:rPr>
      </w:pPr>
      <w:r>
        <w:rPr>
          <w:color w:val="000000"/>
          <w:szCs w:val="24"/>
        </w:rPr>
        <w:t xml:space="preserve">4.2.1. Kiekviena iš Šalių Sutarties sudarymo metu privalo paskirti kontaktinį asmenį, atsakingą už Sutarties vykdymą (pavyzdžiui, Prekių priėmimą, užsakymų teikimą ir gavimą ir kt.), ir nurodyti jų kontaktinius duomenis Specialiosiose sąlygose.</w:t>
      </w:r>
      <w:r>
        <w:rPr>
          <w:color w:val="000000"/>
          <w:szCs w:val="24"/>
        </w:rPr>
      </w:r>
      <w:r>
        <w:rPr>
          <w:color w:val="000000"/>
          <w:szCs w:val="24"/>
        </w:rPr>
      </w:r>
    </w:p>
    <w:p w14:paraId="71378A66" w14:textId="77777777">
      <w:pPr>
        <w:pBdr/>
        <w:spacing w:line="257" w:lineRule="atLeast"/>
        <w:ind/>
        <w:jc w:val="both"/>
        <w:rPr>
          <w:color w:val="000000"/>
          <w:szCs w:val="24"/>
        </w:rPr>
      </w:pPr>
      <w:r>
        <w:rPr>
          <w:color w:val="000000"/>
          <w:szCs w:val="24"/>
        </w:rPr>
        <w:t xml:space="preserve">4.2.2. Tuo atveju, kai Šalis nori atšaukti paskirtąjį kontaktinį asmenį ir paskirti kitą asmenį arba nori paskirti kitą asmenį laikinai vykdyti kontakt</w:t>
      </w:r>
      <w:r>
        <w:rPr>
          <w:color w:val="000000"/>
          <w:szCs w:val="24"/>
        </w:rPr>
        <w:t xml:space="preserve">inio asmens funkcijas kontaktinio asmens laikino negalėjimo vykdyti savo funkcijas laikotarpiu, Šalis privalo iš anksto apie tai informuoti kitą Šalį ir pateikti kitai Šaliai tokio asmens kontaktinius duomenis: vardą, pavardę, el. paštą ir telefono numerį.</w:t>
      </w:r>
      <w:r>
        <w:rPr>
          <w:color w:val="000000"/>
          <w:szCs w:val="24"/>
        </w:rPr>
      </w:r>
      <w:r>
        <w:rPr>
          <w:color w:val="000000"/>
          <w:szCs w:val="24"/>
        </w:rPr>
      </w:r>
    </w:p>
    <w:p w14:paraId="7AC54F61" w14:textId="77777777">
      <w:pPr>
        <w:pBdr/>
        <w:spacing w:line="257" w:lineRule="atLeast"/>
        <w:ind/>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w:t>
      </w:r>
      <w:r>
        <w:rPr>
          <w:color w:val="000000"/>
          <w:szCs w:val="24"/>
        </w:rPr>
        <w:t xml:space="preserve">tą darbo dieną, paskirti kitą kontaktinį asmenį laikinai vykdyti kontaktinio asmens funkcijas ir pranešti apie tai kitai Šaliai. Keičiant kontaktinių asmenų funkcijas atliekančius asmenis Susitarimas, vadovaujantis Bendrųjų sąlygų 20.5 punktu, nesudaromas.</w:t>
      </w:r>
      <w:r>
        <w:rPr>
          <w:color w:val="000000"/>
          <w:szCs w:val="24"/>
        </w:rPr>
      </w:r>
      <w:r>
        <w:rPr>
          <w:color w:val="000000"/>
          <w:szCs w:val="24"/>
        </w:rPr>
      </w:r>
    </w:p>
    <w:p w14:paraId="7E8344D4"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0CF47E51" w14:textId="77777777">
      <w:pPr>
        <w:pBdr/>
        <w:spacing w:line="257" w:lineRule="atLeast"/>
        <w:ind/>
        <w:jc w:val="center"/>
        <w:rPr>
          <w:color w:val="000000"/>
          <w:szCs w:val="24"/>
        </w:rPr>
      </w:pPr>
      <w:r>
        <w:rPr>
          <w:b/>
          <w:bCs/>
          <w:caps/>
          <w:color w:val="000000"/>
          <w:szCs w:val="24"/>
        </w:rPr>
        <w:t xml:space="preserve">5.  SUTARTIES VYKDYMO METU PATEIKIAMI DOKUMENTAI</w:t>
      </w:r>
      <w:r>
        <w:rPr>
          <w:color w:val="000000"/>
          <w:szCs w:val="24"/>
        </w:rPr>
      </w:r>
      <w:r>
        <w:rPr>
          <w:color w:val="000000"/>
          <w:szCs w:val="24"/>
        </w:rPr>
      </w:r>
    </w:p>
    <w:p w14:paraId="1A9EA24D"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2C51247" w14:textId="77777777">
      <w:pPr>
        <w:pBdr/>
        <w:spacing w:line="257" w:lineRule="atLeast"/>
        <w:ind/>
        <w:jc w:val="both"/>
        <w:rPr>
          <w:color w:val="000000"/>
          <w:szCs w:val="24"/>
        </w:rPr>
      </w:pPr>
      <w:r>
        <w:rPr>
          <w:color w:val="000000"/>
          <w:szCs w:val="24"/>
        </w:rPr>
        <w:t xml:space="preserve">5.1. Jeigu Tiekėjas turi parengti ir (ar) pateikti Pirkėjui Prekių naudojimo instrukcijas, jos turi būti aiškios ir detalios, kad Pirkėjas, vadovaudamasis jomis, galėtų tinkamai naudoti patiektas Prekes.</w:t>
      </w:r>
      <w:r>
        <w:rPr>
          <w:color w:val="000000"/>
          <w:szCs w:val="24"/>
        </w:rPr>
      </w:r>
      <w:r>
        <w:rPr>
          <w:color w:val="000000"/>
          <w:szCs w:val="24"/>
        </w:rPr>
      </w:r>
    </w:p>
    <w:p w14:paraId="6D5B115F" w14:textId="77777777">
      <w:pPr>
        <w:pBdr/>
        <w:spacing w:line="257" w:lineRule="atLeast"/>
        <w:ind/>
        <w:jc w:val="both"/>
        <w:rPr>
          <w:color w:val="000000"/>
          <w:szCs w:val="24"/>
        </w:rPr>
      </w:pPr>
      <w:r>
        <w:rPr>
          <w:color w:val="000000"/>
          <w:szCs w:val="24"/>
        </w:rPr>
        <w:t xml:space="preserve">5.2. Tuo atveju, kai pagal Sutartį turi būti vykdomi mokymai ir (arba) atl</w:t>
      </w:r>
      <w:r>
        <w:rPr>
          <w:color w:val="000000"/>
          <w:szCs w:val="24"/>
        </w:rPr>
        <w:t xml:space="preserve">iekami bandymai, Tiekėjas privalo perduoti Pirkėjui naudojimo instrukcijas prieš tokius mokymus ir (arba) bandymus, o po mokymų ir (arba) bandymų patikslinti ir papildyti naudojimo instrukcijas, atsižvelgdamas į mokymų ir (arba) bandymų eigą ir rezultatus.</w:t>
      </w:r>
      <w:r>
        <w:rPr>
          <w:color w:val="000000"/>
          <w:szCs w:val="24"/>
        </w:rPr>
      </w:r>
      <w:r>
        <w:rPr>
          <w:color w:val="000000"/>
          <w:szCs w:val="24"/>
        </w:rPr>
      </w:r>
    </w:p>
    <w:p w14:paraId="59B652B6" w14:textId="77777777">
      <w:pPr>
        <w:pBdr/>
        <w:spacing w:line="257" w:lineRule="atLeast"/>
        <w:ind/>
        <w:jc w:val="both"/>
        <w:rPr>
          <w:color w:val="000000"/>
          <w:szCs w:val="24"/>
        </w:rPr>
      </w:pPr>
      <w:r>
        <w:rPr>
          <w:color w:val="000000"/>
          <w:szCs w:val="24"/>
        </w:rPr>
        <w:t xml:space="preserve">5.3. Jei Prekių naudojimui būtiniems dokumentams reikalingas vertimas, su tuo susijusios išlaidos tenka Tiekėjui. Jei Tiekėjas Prekių naudojimui būtinus dokumentus verčia savarankiškai, jis atsako už šių dokumentų vertimo tikslumą.</w:t>
      </w:r>
      <w:r>
        <w:rPr>
          <w:color w:val="000000"/>
          <w:szCs w:val="24"/>
        </w:rPr>
      </w:r>
      <w:r>
        <w:rPr>
          <w:color w:val="000000"/>
          <w:szCs w:val="24"/>
        </w:rPr>
      </w:r>
    </w:p>
    <w:p w14:paraId="428FEAD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2631AC20" w14:textId="77777777">
      <w:pPr>
        <w:pBdr/>
        <w:spacing w:line="257" w:lineRule="atLeast"/>
        <w:ind/>
        <w:jc w:val="center"/>
        <w:rPr>
          <w:color w:val="000000"/>
          <w:szCs w:val="24"/>
        </w:rPr>
      </w:pPr>
      <w:r>
        <w:rPr>
          <w:b/>
          <w:bCs/>
          <w:caps/>
          <w:color w:val="000000"/>
          <w:szCs w:val="24"/>
        </w:rPr>
        <w:t xml:space="preserve">6.  PREKIŲ TIEKIMO PABAIGA IR PREKIŲ PRIĖMIMAS</w:t>
      </w:r>
      <w:r>
        <w:rPr>
          <w:color w:val="000000"/>
          <w:szCs w:val="24"/>
        </w:rPr>
      </w:r>
      <w:r>
        <w:rPr>
          <w:color w:val="000000"/>
          <w:szCs w:val="24"/>
        </w:rPr>
      </w:r>
    </w:p>
    <w:p w14:paraId="5AA515EC"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0A46F7D2" w14:textId="77777777">
      <w:pPr>
        <w:pBdr/>
        <w:spacing w:line="257" w:lineRule="atLeast"/>
        <w:ind/>
        <w:jc w:val="center"/>
        <w:rPr>
          <w:color w:val="000000"/>
          <w:szCs w:val="24"/>
        </w:rPr>
      </w:pPr>
      <w:r>
        <w:rPr>
          <w:b/>
          <w:bCs/>
          <w:color w:val="000000"/>
          <w:szCs w:val="24"/>
        </w:rPr>
        <w:t xml:space="preserve">6.1.  Prekių tiekimo pabaiga</w:t>
      </w:r>
      <w:r>
        <w:rPr>
          <w:color w:val="000000"/>
          <w:szCs w:val="24"/>
        </w:rPr>
      </w:r>
      <w:r>
        <w:rPr>
          <w:color w:val="000000"/>
          <w:szCs w:val="24"/>
        </w:rPr>
      </w:r>
    </w:p>
    <w:p w14:paraId="5F9DFB25"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4AB89BB3" w14:textId="77777777">
      <w:pPr>
        <w:pBdr/>
        <w:spacing w:line="257" w:lineRule="atLeast"/>
        <w:ind/>
        <w:jc w:val="both"/>
        <w:rPr>
          <w:color w:val="000000"/>
          <w:szCs w:val="24"/>
        </w:rPr>
      </w:pPr>
      <w:r>
        <w:rPr>
          <w:color w:val="000000"/>
          <w:szCs w:val="24"/>
        </w:rPr>
        <w:t xml:space="preserve">6.1.1. Prekių tiekimas laikomas užbaigtu, kai yra įvykdytos visos šios sąlygos:</w:t>
      </w:r>
      <w:r>
        <w:rPr>
          <w:color w:val="000000"/>
          <w:szCs w:val="24"/>
        </w:rPr>
      </w:r>
      <w:r>
        <w:rPr>
          <w:color w:val="000000"/>
          <w:szCs w:val="24"/>
        </w:rPr>
      </w:r>
    </w:p>
    <w:p w14:paraId="2739F307" w14:textId="77777777">
      <w:pPr>
        <w:pBdr/>
        <w:spacing w:line="257" w:lineRule="atLeast"/>
        <w:ind/>
        <w:jc w:val="both"/>
        <w:rPr>
          <w:color w:val="000000"/>
          <w:szCs w:val="24"/>
        </w:rPr>
      </w:pPr>
      <w:r>
        <w:rPr>
          <w:color w:val="000000"/>
          <w:szCs w:val="24"/>
        </w:rPr>
        <w:t xml:space="preserve">6.1.1.1. Tiekėjas pristatė visas Prekes pagal Sutarties ir įstatymų bei kitų teisės aktų reikalavimus (ir kai suteiktos visos su Prekėmis susijusios paslaugos, jei to reikalaujama);</w:t>
      </w:r>
      <w:r>
        <w:rPr>
          <w:color w:val="000000"/>
          <w:szCs w:val="24"/>
        </w:rPr>
      </w:r>
      <w:r>
        <w:rPr>
          <w:color w:val="000000"/>
          <w:szCs w:val="24"/>
        </w:rPr>
      </w:r>
    </w:p>
    <w:p w14:paraId="752D1494" w14:textId="77777777">
      <w:pPr>
        <w:pBdr/>
        <w:spacing w:line="257" w:lineRule="atLeast"/>
        <w:ind/>
        <w:jc w:val="both"/>
        <w:rPr>
          <w:color w:val="000000"/>
          <w:szCs w:val="24"/>
        </w:rPr>
      </w:pPr>
      <w:r>
        <w:rPr>
          <w:color w:val="000000"/>
          <w:szCs w:val="24"/>
        </w:rPr>
        <w:t xml:space="preserve">6.1.1.2. Tiekėjas perdavė Pirkėjui visą reikalingą dokumentaciją, įskaitant naudojimo instrukcijas, sertifikatus ir garantijas (jei to reikalaujama);</w:t>
      </w:r>
      <w:r>
        <w:rPr>
          <w:color w:val="000000"/>
          <w:szCs w:val="24"/>
        </w:rPr>
      </w:r>
      <w:r>
        <w:rPr>
          <w:color w:val="000000"/>
          <w:szCs w:val="24"/>
        </w:rPr>
      </w:r>
    </w:p>
    <w:p w14:paraId="5D7B6514" w14:textId="77777777">
      <w:pPr>
        <w:pBdr/>
        <w:spacing w:line="257" w:lineRule="atLeast"/>
        <w:ind/>
        <w:jc w:val="both"/>
        <w:rPr>
          <w:color w:val="000000"/>
          <w:szCs w:val="24"/>
        </w:rPr>
      </w:pPr>
      <w:r>
        <w:rPr>
          <w:color w:val="000000"/>
          <w:szCs w:val="24"/>
        </w:rPr>
        <w:t xml:space="preserve">6.1.1.3. Tiekėjas apmokė Pirkėjo personalą, kaip naudoti Prekes (jeigu to reikalaujama);</w:t>
      </w:r>
      <w:r>
        <w:rPr>
          <w:color w:val="000000"/>
          <w:szCs w:val="24"/>
        </w:rPr>
      </w:r>
      <w:r>
        <w:rPr>
          <w:color w:val="000000"/>
          <w:szCs w:val="24"/>
        </w:rPr>
      </w:r>
    </w:p>
    <w:p w14:paraId="61E19F15" w14:textId="77777777">
      <w:pPr>
        <w:pBdr/>
        <w:spacing w:line="257" w:lineRule="atLeast"/>
        <w:ind/>
        <w:jc w:val="both"/>
        <w:rPr>
          <w:color w:val="000000"/>
          <w:szCs w:val="24"/>
        </w:rPr>
      </w:pPr>
      <w:r>
        <w:rPr>
          <w:color w:val="000000"/>
          <w:szCs w:val="24"/>
        </w:rPr>
        <w:t xml:space="preserve">6.1.1.4. buvo pasirašytas Prekių perdavimo-priėmimo aktas ar Prekių perdavimo–priėmimo aktai, jei numatytas Prekių pristatymas dalimis, ar kitas Sutartyje numatytas dokumentas, nuo kurio pasirašymo laikoma, kad Prekės buvo priimtos;</w:t>
      </w:r>
      <w:r>
        <w:rPr>
          <w:color w:val="000000"/>
          <w:szCs w:val="24"/>
        </w:rPr>
      </w:r>
      <w:r>
        <w:rPr>
          <w:color w:val="000000"/>
          <w:szCs w:val="24"/>
        </w:rPr>
      </w:r>
    </w:p>
    <w:p w14:paraId="27A0DB45" w14:textId="77777777">
      <w:pPr>
        <w:pBdr/>
        <w:spacing w:line="257" w:lineRule="atLeast"/>
        <w:ind/>
        <w:jc w:val="both"/>
        <w:rPr>
          <w:color w:val="000000"/>
          <w:szCs w:val="24"/>
        </w:rPr>
      </w:pPr>
      <w:r>
        <w:rPr>
          <w:color w:val="000000"/>
          <w:szCs w:val="24"/>
        </w:rPr>
        <w:t xml:space="preserve">6.1.1.5. Tiekėjas įvykdė kitas sąlygas, numatytas įstatymuose bei kituose teisės aktuose, Sutartyje ir pasiūlyme, kurios turi būti įvykdytos tam, kad būtų laikoma, jog Prekių tiekimas yra užbaigtas, ir pateikė Pirkėjui tai įrodančius dokumentus.</w:t>
      </w:r>
      <w:r>
        <w:rPr>
          <w:color w:val="000000"/>
          <w:szCs w:val="24"/>
        </w:rPr>
      </w:r>
      <w:r>
        <w:rPr>
          <w:color w:val="000000"/>
          <w:szCs w:val="24"/>
        </w:rPr>
      </w:r>
    </w:p>
    <w:p w14:paraId="6108BC75"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2732BEE7" w14:textId="77777777">
      <w:pPr>
        <w:pBdr/>
        <w:spacing w:line="257" w:lineRule="atLeast"/>
        <w:ind/>
        <w:jc w:val="center"/>
        <w:rPr>
          <w:color w:val="000000"/>
          <w:szCs w:val="24"/>
        </w:rPr>
      </w:pPr>
      <w:r>
        <w:rPr>
          <w:b/>
          <w:bCs/>
          <w:color w:val="000000"/>
          <w:szCs w:val="24"/>
        </w:rPr>
        <w:t xml:space="preserve">6.2.  Prekių perdavimas–priėmimas</w:t>
      </w:r>
      <w:r>
        <w:rPr>
          <w:color w:val="000000"/>
          <w:szCs w:val="24"/>
        </w:rPr>
      </w:r>
      <w:r>
        <w:rPr>
          <w:color w:val="000000"/>
          <w:szCs w:val="24"/>
        </w:rPr>
      </w:r>
    </w:p>
    <w:p w14:paraId="60D27B0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05C7D1CF" w14:textId="77777777">
      <w:pPr>
        <w:pBdr/>
        <w:spacing w:line="257" w:lineRule="atLeast"/>
        <w:ind/>
        <w:jc w:val="both"/>
        <w:rPr>
          <w:color w:val="000000"/>
          <w:szCs w:val="24"/>
        </w:rPr>
      </w:pPr>
      <w:r>
        <w:rPr>
          <w:color w:val="000000"/>
          <w:szCs w:val="24"/>
        </w:rPr>
        <w:t xml:space="preserve">6.2.1. Tiekėjas privalo pristatyti ir perduot</w:t>
      </w:r>
      <w:r>
        <w:rPr>
          <w:color w:val="000000"/>
          <w:szCs w:val="24"/>
        </w:rPr>
        <w:t xml:space="preserve">i Prekes Pirkėjui, o Pirkėjas privalo kokybiškas ir Sutarties bei įstatymų ir kitų teisės aktų reikalavimus atitinkančias Prekes priimti. Prekės pristatomos Specialiosiose sąlygose nurodytais terminais ir adresu, pristatymą iš anksto suderinus su Pirkėju. </w:t>
      </w:r>
      <w:r>
        <w:rPr>
          <w:color w:val="000000"/>
          <w:szCs w:val="24"/>
        </w:rPr>
      </w:r>
      <w:r>
        <w:rPr>
          <w:color w:val="000000"/>
          <w:szCs w:val="24"/>
        </w:rPr>
      </w:r>
    </w:p>
    <w:p w14:paraId="5DC8A021" w14:textId="77777777">
      <w:pPr>
        <w:pBdr/>
        <w:spacing w:line="257" w:lineRule="atLeast"/>
        <w:ind/>
        <w:jc w:val="both"/>
        <w:rPr>
          <w:color w:val="000000"/>
          <w:szCs w:val="24"/>
        </w:rPr>
      </w:pPr>
      <w:r>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w:t>
      </w:r>
      <w:r>
        <w:rPr>
          <w:color w:val="000000"/>
          <w:szCs w:val="24"/>
        </w:rPr>
        <w:t xml:space="preserve">giu elektroniniu parašu), po vieną kiekvienai Šaliai. Jeigu Prekių perdavimo–priėmimo akto, kaip atskiro dokumento, reikalauti neprivaloma, Šalys susitaria, ir tai aiškiai nurodo Specialiosiose sąlygose, jog Prekių perdavimo–priėmimo aktu laikoma Sąskaita.</w:t>
      </w:r>
      <w:r>
        <w:rPr>
          <w:color w:val="000000"/>
          <w:szCs w:val="24"/>
        </w:rPr>
      </w:r>
      <w:r>
        <w:rPr>
          <w:color w:val="000000"/>
          <w:szCs w:val="24"/>
        </w:rPr>
      </w:r>
    </w:p>
    <w:p w14:paraId="74B3F916" w14:textId="77777777">
      <w:pPr>
        <w:pBdr/>
        <w:spacing w:line="257" w:lineRule="atLeast"/>
        <w:ind/>
        <w:jc w:val="both"/>
        <w:rPr>
          <w:color w:val="000000"/>
          <w:szCs w:val="24"/>
        </w:rPr>
      </w:pPr>
      <w:r>
        <w:rPr>
          <w:color w:val="000000"/>
          <w:szCs w:val="24"/>
        </w:rPr>
        <w:t xml:space="preserve">6.2.3. Tiekėjui pristačius Prekes, Pirkėjas atlieka jų patikrinimą ir privalo:</w:t>
      </w:r>
      <w:r>
        <w:rPr>
          <w:color w:val="000000"/>
          <w:szCs w:val="24"/>
        </w:rPr>
      </w:r>
      <w:r>
        <w:rPr>
          <w:color w:val="000000"/>
          <w:szCs w:val="24"/>
        </w:rPr>
      </w:r>
    </w:p>
    <w:p w14:paraId="3767BECC" w14:textId="77777777">
      <w:pPr>
        <w:pBdr/>
        <w:spacing w:line="257" w:lineRule="atLeast"/>
        <w:ind/>
        <w:jc w:val="both"/>
        <w:rPr>
          <w:color w:val="000000"/>
          <w:szCs w:val="24"/>
        </w:rPr>
      </w:pPr>
      <w:r>
        <w:rPr>
          <w:color w:val="000000"/>
          <w:szCs w:val="24"/>
        </w:rPr>
        <w:t xml:space="preserve">6.2.3.1. ne vėliau kaip per 5 (penkias) darbo dienas nuo faktinio Prekių perdavimo priimti Prekes, pasirašydamas Prekių perdavimo–priėmimo aktą; arba</w:t>
      </w:r>
      <w:r>
        <w:rPr>
          <w:color w:val="000000"/>
          <w:szCs w:val="24"/>
        </w:rPr>
      </w:r>
      <w:r>
        <w:rPr>
          <w:color w:val="000000"/>
          <w:szCs w:val="24"/>
        </w:rPr>
      </w:r>
    </w:p>
    <w:p w14:paraId="220F710D" w14:textId="77777777">
      <w:pPr>
        <w:pBdr/>
        <w:spacing w:line="257" w:lineRule="atLeast"/>
        <w:ind/>
        <w:jc w:val="both"/>
        <w:rPr>
          <w:color w:val="000000"/>
          <w:szCs w:val="24"/>
        </w:rPr>
      </w:pPr>
      <w:r>
        <w:rPr>
          <w:color w:val="000000"/>
          <w:szCs w:val="24"/>
        </w:rPr>
        <w:t xml:space="preserve">6.2.3.2. priimti Prekes su išlyg</w:t>
      </w:r>
      <w:r>
        <w:rPr>
          <w:color w:val="000000"/>
          <w:szCs w:val="24"/>
        </w:rPr>
        <w:t xml:space="preserve">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 xml:space="preserve">Defektų aktas</w:t>
      </w:r>
      <w:r>
        <w:rPr>
          <w:color w:val="000000"/>
          <w:szCs w:val="24"/>
        </w:rPr>
        <w:t xml:space="preserve">); arba</w:t>
      </w:r>
      <w:r>
        <w:rPr>
          <w:color w:val="000000"/>
          <w:szCs w:val="24"/>
        </w:rPr>
      </w:r>
      <w:r>
        <w:rPr>
          <w:color w:val="000000"/>
          <w:szCs w:val="24"/>
        </w:rPr>
      </w:r>
    </w:p>
    <w:p w14:paraId="4570CA80" w14:textId="77777777">
      <w:pPr>
        <w:pBdr/>
        <w:spacing w:line="257" w:lineRule="atLeast"/>
        <w:ind/>
        <w:jc w:val="both"/>
        <w:rPr>
          <w:color w:val="000000"/>
          <w:szCs w:val="24"/>
        </w:rPr>
      </w:pPr>
      <w:r>
        <w:rPr>
          <w:color w:val="000000"/>
          <w:szCs w:val="24"/>
        </w:rPr>
        <w:t xml:space="preserve">6.2.3.3. atsisakyti priimti Prekes ar jų dalį ir įteikti (arba išsiųsti) Defektų aktą Tiekėjui dėl netinkamų Prekių ar jų dalies. </w:t>
      </w:r>
      <w:r>
        <w:rPr>
          <w:color w:val="000000"/>
          <w:szCs w:val="24"/>
        </w:rPr>
      </w:r>
      <w:r>
        <w:rPr>
          <w:color w:val="000000"/>
          <w:szCs w:val="24"/>
        </w:rPr>
      </w:r>
    </w:p>
    <w:p w14:paraId="131574FB" w14:textId="77777777">
      <w:pPr>
        <w:pBdr/>
        <w:spacing w:line="257" w:lineRule="atLeast"/>
        <w:ind/>
        <w:jc w:val="both"/>
        <w:rPr>
          <w:color w:val="000000"/>
          <w:szCs w:val="24"/>
        </w:rPr>
      </w:pPr>
      <w:r>
        <w:rPr>
          <w:color w:val="000000"/>
          <w:szCs w:val="24"/>
        </w:rPr>
        <w:t xml:space="preserve">6.2.4. Prekių perdavimo–priėmimo akte turi būti nurodoma data, kada Tiekėjas pristatė visas Prekes (ar atitinkamą jų dalį, kai Sutartyje numatytas pristatymas dalimis) ir pateikė visus reikiamus dokumentus.</w:t>
      </w:r>
      <w:r>
        <w:rPr>
          <w:color w:val="000000"/>
          <w:szCs w:val="24"/>
        </w:rPr>
      </w:r>
      <w:r>
        <w:rPr>
          <w:color w:val="000000"/>
          <w:szCs w:val="24"/>
        </w:rPr>
      </w:r>
    </w:p>
    <w:p w14:paraId="39358AEA" w14:textId="77777777">
      <w:pPr>
        <w:pBdr/>
        <w:spacing w:line="257" w:lineRule="atLeast"/>
        <w:ind/>
        <w:jc w:val="both"/>
        <w:rPr>
          <w:color w:val="000000"/>
          <w:szCs w:val="24"/>
        </w:rPr>
      </w:pPr>
      <w:r>
        <w:rPr>
          <w:color w:val="000000"/>
          <w:szCs w:val="24"/>
        </w:rPr>
        <w:t xml:space="preserve">6.2.5. Prekes, neatitinkančias Sutarties, įstatymų bei kitų teisės aktų (jei taikoma) reikalavimų, Tiekėjas privalo atsiimti savo sąskaita per Pirkėjo Defektų akte nustatytą terminą, taip pat Pirkėjo reikalavimu atlyginti tokių Prekių saugojimo išlaidas.</w:t>
      </w:r>
      <w:r>
        <w:rPr>
          <w:color w:val="000000"/>
          <w:szCs w:val="24"/>
        </w:rPr>
      </w:r>
      <w:r>
        <w:rPr>
          <w:color w:val="000000"/>
          <w:szCs w:val="24"/>
        </w:rPr>
      </w:r>
    </w:p>
    <w:p w14:paraId="561F02A8" w14:textId="77777777">
      <w:pPr>
        <w:pBdr/>
        <w:spacing w:line="257" w:lineRule="atLeast"/>
        <w:ind/>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w:t>
      </w:r>
      <w:r>
        <w:rPr>
          <w:color w:val="000000"/>
          <w:szCs w:val="24"/>
        </w:rPr>
        <w:t xml:space="preserve">tingus terminus Tiekėjui pašalinti Prekių trūkumus. Tiekėjas privalo pašalinti Prekių trūkumus per Pirkėjo nurodytus protingus terminus, vadovaudamasis Bendrųjų sąlygų 7.3 poskyriu „Prekių trūkumų šalinimas“. Jeigu Tiekėjas praleidžia Prekių trūkumų pašali</w:t>
      </w:r>
      <w:r>
        <w:rPr>
          <w:color w:val="000000"/>
          <w:szCs w:val="24"/>
        </w:rPr>
        <w:t xml:space="preserve">nimo terminus, taikomos Bendrųjų sąlygų 7.4 poskyrio „Pirkėjo teisės, Tiekėjui nepašalinus Prekių trūkumų“ nuostatos.</w:t>
      </w:r>
      <w:r>
        <w:rPr>
          <w:color w:val="000000"/>
          <w:szCs w:val="24"/>
        </w:rPr>
      </w:r>
      <w:r>
        <w:rPr>
          <w:color w:val="000000"/>
          <w:szCs w:val="24"/>
        </w:rPr>
      </w:r>
    </w:p>
    <w:p w14:paraId="7EB5C417" w14:textId="77777777">
      <w:pPr>
        <w:pBdr/>
        <w:spacing w:line="257" w:lineRule="atLeast"/>
        <w:ind/>
        <w:jc w:val="both"/>
        <w:rPr>
          <w:color w:val="000000"/>
          <w:szCs w:val="24"/>
        </w:rPr>
      </w:pPr>
      <w:r>
        <w:rPr>
          <w:color w:val="000000"/>
          <w:szCs w:val="24"/>
        </w:rPr>
        <w:t xml:space="preserve">6.2.7. Jeigu Pirkėjas per 5 (penkias) darbo dienas </w:t>
      </w:r>
      <w:r>
        <w:rPr>
          <w:rFonts w:eastAsia="Arial"/>
          <w:szCs w:val="24"/>
        </w:rPr>
        <w:t xml:space="preserve">nuo Prekių perdavimo–priėmimo akto gavimo </w:t>
      </w:r>
      <w:r>
        <w:rPr>
          <w:color w:val="000000"/>
          <w:szCs w:val="24"/>
        </w:rPr>
        <w:t xml:space="preserve">nepateikia (neišsiunčia) Tiekėjui Defektų akto, laikoma, kad Pirkėjas Prekes priėmė ir joms pretenzijų neturi.</w:t>
      </w:r>
      <w:r>
        <w:rPr>
          <w:color w:val="000000"/>
          <w:szCs w:val="24"/>
        </w:rPr>
      </w:r>
      <w:r>
        <w:rPr>
          <w:color w:val="000000"/>
          <w:szCs w:val="24"/>
        </w:rPr>
      </w:r>
    </w:p>
    <w:p w14:paraId="1E309720" w14:textId="77777777">
      <w:pPr>
        <w:pBdr/>
        <w:spacing w:line="257" w:lineRule="atLeast"/>
        <w:ind/>
        <w:jc w:val="both"/>
        <w:rPr>
          <w:color w:val="000000"/>
          <w:szCs w:val="24"/>
        </w:rPr>
      </w:pPr>
      <w:r>
        <w:rPr>
          <w:color w:val="000000"/>
          <w:szCs w:val="24"/>
        </w:rPr>
        <w:t xml:space="preserve">6.2.8. Prekių praradimo ar sugadinimo ar atsitiktinio žuvimo rizika Pirkėjui iš Tiekėjo pereina nuo faktinio tokių Prekių priėmimo momento.</w:t>
      </w:r>
      <w:r>
        <w:rPr>
          <w:color w:val="000000"/>
          <w:szCs w:val="24"/>
        </w:rPr>
      </w:r>
      <w:r>
        <w:rPr>
          <w:color w:val="000000"/>
          <w:szCs w:val="24"/>
        </w:rPr>
      </w:r>
    </w:p>
    <w:p w14:paraId="49226856" w14:textId="77777777">
      <w:pPr>
        <w:pBdr/>
        <w:spacing w:line="257" w:lineRule="atLeast"/>
        <w:ind/>
        <w:jc w:val="both"/>
        <w:rPr>
          <w:color w:val="000000"/>
          <w:szCs w:val="24"/>
        </w:rPr>
      </w:pPr>
      <w:r>
        <w:rPr>
          <w:color w:val="000000"/>
          <w:szCs w:val="24"/>
        </w:rPr>
        <w:t xml:space="preserve">6.2.9. Pirkėjas turi teisę naudotis Prekėmis tik po Prekių perdavimo-priėmimo akto pasirašymo.</w:t>
      </w:r>
      <w:r>
        <w:rPr>
          <w:color w:val="000000"/>
          <w:szCs w:val="24"/>
        </w:rPr>
      </w:r>
      <w:r>
        <w:rPr>
          <w:color w:val="000000"/>
          <w:szCs w:val="24"/>
        </w:rPr>
      </w:r>
    </w:p>
    <w:p w14:paraId="4809908C" w14:textId="77777777">
      <w:pPr>
        <w:pBdr/>
        <w:spacing w:line="257" w:lineRule="atLeast"/>
        <w:ind/>
        <w:jc w:val="both"/>
        <w:rPr>
          <w:color w:val="000000"/>
          <w:szCs w:val="24"/>
        </w:rPr>
      </w:pPr>
      <w:r>
        <w:rPr>
          <w:color w:val="000000"/>
          <w:szCs w:val="24"/>
        </w:rPr>
        <w:t xml:space="preserve">6.2.10. Jeigu Tiekėjas Prekes pristatė per Specialiosiose sąlygose nustatytą Prekių </w:t>
      </w:r>
      <w:r>
        <w:rPr>
          <w:color w:val="000000"/>
          <w:szCs w:val="24"/>
        </w:rPr>
        <w:t xml:space="preserve">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Pr>
          <w:color w:val="000000"/>
          <w:szCs w:val="24"/>
        </w:rPr>
      </w:r>
      <w:r>
        <w:rPr>
          <w:color w:val="000000"/>
          <w:szCs w:val="24"/>
        </w:rPr>
      </w:r>
    </w:p>
    <w:p w14:paraId="31FB1484"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084ED4A3" w14:textId="77777777">
      <w:pPr>
        <w:pBdr/>
        <w:spacing w:line="257" w:lineRule="atLeast"/>
        <w:ind/>
        <w:jc w:val="center"/>
        <w:rPr>
          <w:color w:val="000000"/>
          <w:szCs w:val="24"/>
        </w:rPr>
      </w:pPr>
      <w:r>
        <w:rPr>
          <w:b/>
          <w:bCs/>
          <w:caps/>
          <w:color w:val="000000"/>
          <w:szCs w:val="24"/>
        </w:rPr>
        <w:t xml:space="preserve">7.  TIEKĖJO GARANTINIAI ĮSIPAREIGOJIMAI</w:t>
      </w:r>
      <w:r>
        <w:rPr>
          <w:color w:val="000000"/>
          <w:szCs w:val="24"/>
        </w:rPr>
      </w:r>
      <w:r>
        <w:rPr>
          <w:color w:val="000000"/>
          <w:szCs w:val="24"/>
        </w:rPr>
      </w:r>
    </w:p>
    <w:p w14:paraId="53402C08"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5FE61F4C" w14:textId="77777777">
      <w:pPr>
        <w:pBdr/>
        <w:spacing w:line="257" w:lineRule="atLeast"/>
        <w:ind w:hanging="360" w:left="360"/>
        <w:jc w:val="center"/>
        <w:rPr>
          <w:color w:val="000000"/>
          <w:szCs w:val="24"/>
        </w:rPr>
      </w:pPr>
      <w:r>
        <w:rPr>
          <w:b/>
          <w:bCs/>
          <w:color w:val="000000"/>
          <w:szCs w:val="24"/>
        </w:rPr>
        <w:t xml:space="preserve">7.1.  Garantiniai terminai (jei taikoma)</w:t>
      </w:r>
      <w:r>
        <w:rPr>
          <w:color w:val="000000"/>
          <w:szCs w:val="24"/>
        </w:rPr>
      </w:r>
      <w:r>
        <w:rPr>
          <w:color w:val="000000"/>
          <w:szCs w:val="24"/>
        </w:rPr>
      </w:r>
    </w:p>
    <w:p w14:paraId="1A4B9222" w14:textId="77777777">
      <w:pPr>
        <w:pBdr/>
        <w:spacing w:line="257" w:lineRule="atLeast"/>
        <w:ind w:firstLine="62" w:left="360"/>
        <w:rPr>
          <w:color w:val="000000"/>
          <w:szCs w:val="24"/>
        </w:rPr>
      </w:pPr>
      <w:r>
        <w:rPr>
          <w:color w:val="000000"/>
          <w:szCs w:val="24"/>
        </w:rPr>
      </w:r>
      <w:r>
        <w:rPr>
          <w:color w:val="000000"/>
          <w:szCs w:val="24"/>
        </w:rPr>
      </w:r>
      <w:r>
        <w:rPr>
          <w:color w:val="000000"/>
          <w:szCs w:val="24"/>
        </w:rPr>
      </w:r>
    </w:p>
    <w:p w14:paraId="6031EEED" w14:textId="77777777">
      <w:pPr>
        <w:pBdr/>
        <w:spacing w:line="257" w:lineRule="atLeast"/>
        <w:ind/>
        <w:jc w:val="both"/>
        <w:rPr>
          <w:color w:val="000000"/>
          <w:szCs w:val="24"/>
        </w:rPr>
      </w:pPr>
      <w:r>
        <w:rPr>
          <w:color w:val="000000"/>
          <w:szCs w:val="24"/>
        </w:rPr>
        <w:t xml:space="preserve">7.1.1. Prekėms taikomas teisės aktuose nustatytas ir (ar) gamintojo taikomas garantinis terminas, jeigu Tiekėjo pasiūlyme, techninėje specifikacijoje ar Specialiosiose sąlygose nėra nurody</w:t>
      </w:r>
      <w:r>
        <w:rPr>
          <w:color w:val="000000"/>
          <w:szCs w:val="24"/>
        </w:rPr>
        <w:t xml:space="preserve">tas kitas garantinis terminas. Jeigu garantinis terminas nėra niekur nustatytas, Prekėms taikomas 24 (dvidešimt keturių) mėnesių garantinis terminas. Garantinis terminas pradedamas skaičiuoti nuo pristatytų Prekių perdavimo–priėmimo akto pasirašymo dienos.</w:t>
      </w:r>
      <w:r>
        <w:rPr>
          <w:color w:val="000000"/>
          <w:szCs w:val="24"/>
        </w:rPr>
      </w:r>
      <w:r>
        <w:rPr>
          <w:color w:val="000000"/>
          <w:szCs w:val="24"/>
        </w:rPr>
      </w:r>
    </w:p>
    <w:p w14:paraId="76A7EC5C" w14:textId="77777777">
      <w:pPr>
        <w:pBdr/>
        <w:spacing w:line="257" w:lineRule="atLeast"/>
        <w:ind/>
        <w:jc w:val="both"/>
        <w:rPr>
          <w:color w:val="000000"/>
          <w:szCs w:val="24"/>
        </w:rPr>
      </w:pPr>
      <w:r>
        <w:rPr>
          <w:color w:val="000000"/>
          <w:szCs w:val="24"/>
        </w:rPr>
        <w:t xml:space="preserve">7.1.2. Garantiniai terminai sustabdom</w:t>
      </w:r>
      <w:r>
        <w:rPr>
          <w:color w:val="000000"/>
          <w:szCs w:val="24"/>
        </w:rPr>
        <w:t xml:space="preserve">i tiek laiko, kiek Pirkėjas negali tinkamai naudoti Prekių dėl nustatytų Prekių trūkumų, už kuriuos atsako Tiekėjas. Jeigu Pirkėjas dėl Prekių trūkumų negali naudoti tik apibrėžtos Prekių dalies, garantiniai terminai sustabdomi tik tokios dalies atžvilgiu.</w:t>
      </w:r>
      <w:r>
        <w:rPr>
          <w:color w:val="000000"/>
          <w:szCs w:val="24"/>
        </w:rPr>
      </w:r>
      <w:r>
        <w:rPr>
          <w:color w:val="000000"/>
          <w:szCs w:val="24"/>
        </w:rPr>
      </w:r>
    </w:p>
    <w:p w14:paraId="232385B4" w14:textId="77777777">
      <w:pPr>
        <w:pBdr/>
        <w:spacing w:line="257" w:lineRule="atLeast"/>
        <w:ind/>
        <w:jc w:val="both"/>
        <w:rPr>
          <w:color w:val="000000"/>
          <w:szCs w:val="24"/>
        </w:rPr>
      </w:pPr>
      <w:r>
        <w:rPr>
          <w:color w:val="000000"/>
          <w:szCs w:val="24"/>
        </w:rPr>
        <w:t xml:space="preserve">7.1.3. Tiekėjas neatsako už Prekių</w:t>
      </w:r>
      <w:r>
        <w:rPr>
          <w:color w:val="000000"/>
          <w:szCs w:val="24"/>
        </w:rPr>
        <w:t xml:space="preserve">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Pr>
          <w:color w:val="000000"/>
          <w:szCs w:val="24"/>
        </w:rPr>
      </w:r>
      <w:r>
        <w:rPr>
          <w:color w:val="000000"/>
          <w:szCs w:val="24"/>
        </w:rPr>
      </w:r>
    </w:p>
    <w:p w14:paraId="24CCFCA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7060163" w14:textId="77777777">
      <w:pPr>
        <w:pBdr/>
        <w:spacing w:line="257" w:lineRule="atLeast"/>
        <w:ind/>
        <w:jc w:val="center"/>
        <w:rPr>
          <w:color w:val="000000"/>
          <w:szCs w:val="24"/>
        </w:rPr>
      </w:pPr>
      <w:r>
        <w:rPr>
          <w:b/>
          <w:bCs/>
          <w:color w:val="000000"/>
          <w:szCs w:val="24"/>
        </w:rPr>
        <w:t xml:space="preserve">7.2.  Pretenzijos dėl Prekių trūkumų</w:t>
      </w:r>
      <w:r>
        <w:rPr>
          <w:color w:val="000000"/>
          <w:szCs w:val="24"/>
        </w:rPr>
      </w:r>
      <w:r>
        <w:rPr>
          <w:color w:val="000000"/>
          <w:szCs w:val="24"/>
        </w:rPr>
      </w:r>
    </w:p>
    <w:p w14:paraId="6C7027ED"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25B89DB2" w14:textId="77777777">
      <w:pPr>
        <w:pBdr/>
        <w:spacing w:line="257" w:lineRule="atLeast"/>
        <w:ind/>
        <w:jc w:val="both"/>
        <w:rPr>
          <w:color w:val="000000"/>
        </w:rPr>
      </w:pPr>
      <w:r>
        <w:rPr>
          <w:color w:val="000000"/>
        </w:rPr>
        <w:t xml:space="preserve">7.2.1. Pirkėjas, per garantinius terminus nustatęs Prekių trūkumų, turi</w:t>
      </w:r>
      <w:r>
        <w:rPr>
          <w:color w:val="000000"/>
        </w:rPr>
        <w:t xml:space="preserve"> nedelsdamas, bet ne vėliau nei per 30 (trisdešimt) dienų ir ne vėliau nei iki garantinio termino pabaigos, pareikšti rašytinę pretenziją Tiekėjui ir nustatyti protingus terminus, jeigu jų nėra nustatyta Specialiosiose sąlygose, Prekių trūkumams pašalinti.</w:t>
      </w:r>
      <w:r>
        <w:rPr>
          <w:color w:val="000000"/>
        </w:rPr>
      </w:r>
      <w:r>
        <w:rPr>
          <w:color w:val="000000"/>
        </w:rPr>
      </w:r>
    </w:p>
    <w:p w14:paraId="36866D09" w14:textId="77777777">
      <w:pPr>
        <w:pBdr/>
        <w:spacing w:line="257" w:lineRule="atLeast"/>
        <w:ind/>
        <w:jc w:val="both"/>
        <w:rPr>
          <w:color w:val="000000"/>
          <w:szCs w:val="24"/>
        </w:rPr>
      </w:pPr>
      <w:r>
        <w:rPr>
          <w:color w:val="000000"/>
          <w:szCs w:val="24"/>
        </w:rPr>
        <w:t xml:space="preserve">7.2.2. Tiekėja</w:t>
      </w:r>
      <w:r>
        <w:rPr>
          <w:color w:val="000000"/>
          <w:szCs w:val="24"/>
        </w:rPr>
        <w:t xml:space="preserve">s privalo neatlygintinai pašalinti visus Prekių trūkumus, už kuriuos atsako Tiekėjas, per Pirkėjo pretenzijoje nustatytus protingus terminus, jeigu konkretūs terminai nėra nustatyti Specialiosiose sąlygose, kurie skaičiuojami nuo pretenzijos gavimo dienos.</w:t>
      </w:r>
      <w:r>
        <w:rPr>
          <w:color w:val="000000"/>
          <w:szCs w:val="24"/>
        </w:rPr>
      </w:r>
      <w:r>
        <w:rPr>
          <w:color w:val="000000"/>
          <w:szCs w:val="24"/>
        </w:rPr>
      </w:r>
    </w:p>
    <w:p w14:paraId="5E11D506" w14:textId="77777777">
      <w:pPr>
        <w:pBdr/>
        <w:spacing/>
        <w:ind/>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w:t>
      </w:r>
      <w:r>
        <w:rPr>
          <w:szCs w:val="24"/>
        </w:rPr>
        <w:t xml:space="preserve">nepasitelkia nepriklausomo su Pirkėju suderinto (Pirkėjas negali nepagrįstai neduoti pritarimo Tiekėjui pasit</w:t>
      </w:r>
      <w:r>
        <w:rPr>
          <w:szCs w:val="24"/>
        </w:rPr>
        <w:t xml:space="preserve">elkti siūlomą ekspertą) eksperto ginčui spręsti ar (ir) jei ginčas užtruko ilgiau nei 30 (trisdešimt) dienų nuo Pirkėjo pirmojo kreipimosi, tai Pirkėjas turi teisę savarankiškai kreiptis dėl ekspertizės atlikimo. Tokiu atveju ekspertizės išlaidas padengia:</w:t>
      </w:r>
      <w:r>
        <w:rPr>
          <w:szCs w:val="24"/>
        </w:rPr>
      </w:r>
      <w:r>
        <w:rPr>
          <w:szCs w:val="24"/>
        </w:rPr>
      </w:r>
    </w:p>
    <w:p w14:paraId="6D263074" w14:textId="77777777">
      <w:pPr>
        <w:pBdr/>
        <w:spacing/>
        <w:ind/>
        <w:jc w:val="both"/>
        <w:rPr>
          <w:color w:val="000000"/>
          <w:szCs w:val="24"/>
        </w:rPr>
      </w:pPr>
      <w:r>
        <w:rPr>
          <w:color w:val="000000"/>
          <w:szCs w:val="24"/>
        </w:rPr>
        <w:t xml:space="preserve">7.2.3.1. jei Prekės atitinka Sutartyje </w:t>
      </w:r>
      <w:r>
        <w:rPr>
          <w:rFonts w:eastAsia="Calibri"/>
          <w:szCs w:val="24"/>
        </w:rPr>
        <w:t xml:space="preserve">ir įstatymuose bei kituose teisės aktuose nurodytus reikalavimus</w:t>
      </w:r>
      <w:r>
        <w:rPr>
          <w:color w:val="000000"/>
          <w:szCs w:val="24"/>
        </w:rPr>
        <w:t xml:space="preserve"> – Pirkėjas;</w:t>
      </w:r>
      <w:r>
        <w:rPr>
          <w:color w:val="000000"/>
          <w:szCs w:val="24"/>
        </w:rPr>
      </w:r>
      <w:r>
        <w:rPr>
          <w:color w:val="000000"/>
          <w:szCs w:val="24"/>
        </w:rPr>
      </w:r>
    </w:p>
    <w:p w14:paraId="6D1DB3D8" w14:textId="77777777">
      <w:pPr>
        <w:pBdr/>
        <w:spacing/>
        <w:ind/>
        <w:jc w:val="both"/>
        <w:rPr>
          <w:color w:val="000000"/>
          <w:szCs w:val="24"/>
        </w:rPr>
      </w:pPr>
      <w:r>
        <w:rPr>
          <w:color w:val="000000"/>
          <w:szCs w:val="24"/>
        </w:rPr>
        <w:t xml:space="preserve">7.2.3.2. jei Prekės neatitinka Sutartyje </w:t>
      </w:r>
      <w:r>
        <w:rPr>
          <w:rFonts w:eastAsia="Calibri"/>
          <w:szCs w:val="24"/>
        </w:rPr>
        <w:t xml:space="preserve">ir įstatymuose bei kituose teisės aktuose nurodytų reikalavimų</w:t>
      </w:r>
      <w:r>
        <w:rPr>
          <w:color w:val="000000"/>
          <w:szCs w:val="24"/>
        </w:rPr>
        <w:t xml:space="preserve"> – Tiekėjas.</w:t>
      </w:r>
      <w:r>
        <w:rPr>
          <w:color w:val="000000"/>
          <w:szCs w:val="24"/>
        </w:rPr>
      </w:r>
      <w:r>
        <w:rPr>
          <w:color w:val="000000"/>
          <w:szCs w:val="24"/>
        </w:rPr>
      </w:r>
    </w:p>
    <w:p w14:paraId="27896047" w14:textId="77777777">
      <w:pPr>
        <w:pBdr/>
        <w:tabs>
          <w:tab w:val="left" w:leader="none" w:pos="567"/>
          <w:tab w:val="left" w:leader="none" w:pos="851"/>
          <w:tab w:val="left" w:leader="none" w:pos="992"/>
          <w:tab w:val="left" w:leader="none" w:pos="1134"/>
        </w:tabs>
        <w:spacing/>
        <w:ind/>
        <w:jc w:val="both"/>
        <w:rPr>
          <w:rFonts w:eastAsia="Calibri"/>
          <w:szCs w:val="24"/>
        </w:rPr>
      </w:pPr>
      <w:r>
        <w:rPr>
          <w:rFonts w:eastAsia="Calibri"/>
          <w:szCs w:val="24"/>
        </w:rPr>
        <w:t xml:space="preserve">7.2.4. Ekspertizės išvados Šalims yra privalomos.</w:t>
      </w:r>
      <w:r>
        <w:rPr>
          <w:rFonts w:eastAsia="Calibri"/>
          <w:szCs w:val="24"/>
        </w:rPr>
      </w:r>
      <w:r>
        <w:rPr>
          <w:rFonts w:eastAsia="Calibri"/>
          <w:szCs w:val="24"/>
        </w:rPr>
      </w:r>
    </w:p>
    <w:p w14:paraId="5C3F528B" w14:textId="77777777">
      <w:pPr>
        <w:pBdr/>
        <w:tabs>
          <w:tab w:val="left" w:leader="none" w:pos="567"/>
          <w:tab w:val="left" w:leader="none" w:pos="851"/>
          <w:tab w:val="left" w:leader="none" w:pos="992"/>
          <w:tab w:val="left" w:leader="none" w:pos="1134"/>
        </w:tabs>
        <w:spacing/>
        <w:ind/>
        <w:jc w:val="both"/>
        <w:rPr>
          <w:color w:val="000000"/>
          <w:szCs w:val="24"/>
        </w:rPr>
      </w:pPr>
      <w:r>
        <w:rPr>
          <w:rFonts w:eastAsia="Calibri"/>
          <w:szCs w:val="24"/>
        </w:rPr>
        <w:t xml:space="preserve">7.2.5. Pirkėjas nepraranda teisės pareikšti pretenziją dėl Prekių trūkumų, o Tiekėjas turi pareigą neatlygintinai pašalinti visus Prekių trūkumus, nepriklausomai nuo to, ar tie trūkumai galėjo būti nustatyti Prekių perdavimo–priėmimo akto pasirašymo metu.</w:t>
      </w:r>
      <w:r>
        <w:rPr>
          <w:color w:val="000000"/>
          <w:szCs w:val="24"/>
        </w:rPr>
      </w:r>
      <w:r>
        <w:rPr>
          <w:color w:val="000000"/>
          <w:szCs w:val="24"/>
        </w:rPr>
      </w:r>
    </w:p>
    <w:p w14:paraId="044E74AB" w14:textId="77777777">
      <w:pPr>
        <w:pBdr/>
        <w:spacing/>
        <w:ind/>
        <w:rPr>
          <w:sz w:val="14"/>
          <w:szCs w:val="14"/>
        </w:rPr>
      </w:pPr>
      <w:r>
        <w:rPr>
          <w:sz w:val="14"/>
          <w:szCs w:val="14"/>
        </w:rPr>
      </w:r>
      <w:r>
        <w:rPr>
          <w:sz w:val="14"/>
          <w:szCs w:val="14"/>
        </w:rPr>
      </w:r>
      <w:r>
        <w:rPr>
          <w:sz w:val="14"/>
          <w:szCs w:val="14"/>
        </w:rPr>
      </w:r>
    </w:p>
    <w:p w14:paraId="50DE7340"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00F841C2" w14:textId="77777777">
      <w:pPr>
        <w:pBdr/>
        <w:spacing w:line="257" w:lineRule="atLeast"/>
        <w:ind/>
        <w:jc w:val="center"/>
        <w:rPr>
          <w:color w:val="000000"/>
          <w:szCs w:val="24"/>
        </w:rPr>
      </w:pPr>
      <w:r>
        <w:rPr>
          <w:b/>
          <w:bCs/>
          <w:color w:val="000000"/>
          <w:szCs w:val="24"/>
        </w:rPr>
        <w:t xml:space="preserve">7.3.  Prekių trūkumų šalinimas</w:t>
      </w:r>
      <w:r>
        <w:rPr>
          <w:color w:val="000000"/>
          <w:szCs w:val="24"/>
        </w:rPr>
      </w:r>
      <w:r>
        <w:rPr>
          <w:color w:val="000000"/>
          <w:szCs w:val="24"/>
        </w:rPr>
      </w:r>
    </w:p>
    <w:p w14:paraId="4EFF6B58"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7C5EDD4" w14:textId="77777777">
      <w:pPr>
        <w:pBdr/>
        <w:spacing w:line="257" w:lineRule="atLeast"/>
        <w:ind/>
        <w:jc w:val="both"/>
        <w:rPr>
          <w:color w:val="000000"/>
          <w:szCs w:val="24"/>
        </w:rPr>
      </w:pPr>
      <w:r>
        <w:rPr>
          <w:color w:val="000000"/>
          <w:szCs w:val="24"/>
        </w:rPr>
        <w:t xml:space="preserve">7.3.1. Tiekėjas privalo nemokamai pašalinti Prekių trūkumus, sutaisydamas Prekes ar jų dalį arba pakeisdamas Prekę nauja Preke ar jos dalimi.</w:t>
      </w:r>
      <w:r>
        <w:rPr>
          <w:color w:val="000000"/>
          <w:szCs w:val="24"/>
        </w:rPr>
      </w:r>
      <w:r>
        <w:rPr>
          <w:color w:val="000000"/>
          <w:szCs w:val="24"/>
        </w:rPr>
      </w:r>
    </w:p>
    <w:p w14:paraId="3F41C1AC" w14:textId="77777777">
      <w:pPr>
        <w:pBdr/>
        <w:spacing w:line="257" w:lineRule="atLeast"/>
        <w:ind/>
        <w:jc w:val="both"/>
        <w:rPr>
          <w:color w:val="000000"/>
          <w:szCs w:val="24"/>
        </w:rPr>
      </w:pPr>
      <w:r>
        <w:rPr>
          <w:color w:val="000000"/>
          <w:szCs w:val="24"/>
        </w:rPr>
        <w:t xml:space="preserve">7.3.2. Pirkėja</w:t>
      </w:r>
      <w:r>
        <w:rPr>
          <w:color w:val="000000"/>
          <w:szCs w:val="24"/>
        </w:rPr>
        <w:t xml:space="preserve">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r>
        <w:rPr>
          <w:color w:val="000000"/>
          <w:szCs w:val="24"/>
        </w:rPr>
      </w:r>
      <w:r>
        <w:rPr>
          <w:color w:val="000000"/>
          <w:szCs w:val="24"/>
        </w:rPr>
      </w:r>
    </w:p>
    <w:p w14:paraId="58AFAD4A" w14:textId="77777777">
      <w:pPr>
        <w:pBdr/>
        <w:spacing w:line="257" w:lineRule="atLeast"/>
        <w:ind/>
        <w:jc w:val="both"/>
        <w:rPr>
          <w:color w:val="000000"/>
          <w:szCs w:val="24"/>
        </w:rPr>
      </w:pPr>
      <w:r>
        <w:rPr>
          <w:color w:val="000000"/>
          <w:szCs w:val="24"/>
        </w:rPr>
        <w:t xml:space="preserve">7.3.3. Sutaisytoje Prekių dalyje pakartotinai nustačius Prekių trūkumų, Tiekėjas privalo pakeisti Prekes naujomis kokybiškomis Prekėmis, nebent Pirkėjas raštu sutiktų Prekes dar kartą taisyti.</w:t>
      </w:r>
      <w:r>
        <w:rPr>
          <w:color w:val="000000"/>
          <w:szCs w:val="24"/>
        </w:rPr>
      </w:r>
      <w:r>
        <w:rPr>
          <w:color w:val="000000"/>
          <w:szCs w:val="24"/>
        </w:rPr>
      </w:r>
    </w:p>
    <w:p w14:paraId="6697C67F" w14:textId="77777777">
      <w:pPr>
        <w:pBdr/>
        <w:spacing w:line="257" w:lineRule="atLeast"/>
        <w:ind/>
        <w:jc w:val="both"/>
        <w:rPr>
          <w:color w:val="000000"/>
          <w:szCs w:val="24"/>
        </w:rPr>
      </w:pPr>
      <w:r>
        <w:rPr>
          <w:color w:val="000000"/>
          <w:szCs w:val="24"/>
        </w:rPr>
        <w:t xml:space="preserve">7.3.4. Pašalinus Prekių trūkumus, garantinis terminas sutaisytajai Prekių daliai ar naujoms Prekėms vėl pradedamas skaičiuoti nuo tinkamai sutaisytų ar pakeistų Prekių (ar jų dalių) perdavimo Pirkėjui dienos.</w:t>
      </w:r>
      <w:r>
        <w:rPr>
          <w:color w:val="000000"/>
          <w:szCs w:val="24"/>
        </w:rPr>
      </w:r>
      <w:r>
        <w:rPr>
          <w:color w:val="000000"/>
          <w:szCs w:val="24"/>
        </w:rPr>
      </w:r>
    </w:p>
    <w:p w14:paraId="67A6F570" w14:textId="77777777">
      <w:pPr>
        <w:pBdr/>
        <w:spacing w:line="257" w:lineRule="atLeast"/>
        <w:ind/>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w:t>
      </w:r>
      <w:r>
        <w:rPr>
          <w:color w:val="000000"/>
          <w:szCs w:val="24"/>
        </w:rPr>
        <w:t xml:space="preserve"> privalo raštu pateikti Tiekėjui tokį reikalavimą per 30 (trisdešimt) dienų po Prekių trūkumų pašalinimo. Tokie bandymai atliekami pagal anksčiau atliktų bandymų sąlygas, išskyrus tai, kad jie visais atvejais turi būti atliekami Tiekėjo rizika ir sąskaita.</w:t>
      </w:r>
      <w:r>
        <w:rPr>
          <w:color w:val="000000"/>
          <w:szCs w:val="24"/>
        </w:rPr>
      </w:r>
      <w:r>
        <w:rPr>
          <w:color w:val="000000"/>
          <w:szCs w:val="24"/>
        </w:rPr>
      </w:r>
    </w:p>
    <w:p w14:paraId="0B22BAD5" w14:textId="77777777">
      <w:pPr>
        <w:pBdr/>
        <w:spacing w:line="257" w:lineRule="atLeast"/>
        <w:ind/>
        <w:jc w:val="both"/>
        <w:rPr>
          <w:color w:val="000000"/>
          <w:szCs w:val="24"/>
        </w:rPr>
      </w:pPr>
      <w:r>
        <w:rPr>
          <w:color w:val="000000"/>
          <w:szCs w:val="24"/>
        </w:rPr>
        <w:t xml:space="preserve">7.3.6. Tiekėjas, pašalinęs visus Prekių trūkumus, privalo apie tai informuoti Pirkėją.</w:t>
      </w:r>
      <w:r>
        <w:rPr>
          <w:color w:val="000000"/>
          <w:szCs w:val="24"/>
        </w:rPr>
      </w:r>
      <w:r>
        <w:rPr>
          <w:color w:val="000000"/>
          <w:szCs w:val="24"/>
        </w:rPr>
      </w:r>
    </w:p>
    <w:p w14:paraId="4E663B7E" w14:textId="77777777">
      <w:pPr>
        <w:pBdr/>
        <w:spacing w:line="257" w:lineRule="atLeast"/>
        <w:ind/>
        <w:jc w:val="both"/>
        <w:rPr>
          <w:color w:val="000000"/>
          <w:szCs w:val="24"/>
        </w:rPr>
      </w:pPr>
      <w:r>
        <w:rPr>
          <w:color w:val="000000"/>
          <w:szCs w:val="24"/>
        </w:rPr>
        <w:t xml:space="preserve">7.3.7. Pirkėjas per 5 (penkias) darbo dienas po Tiekėjo pranešimo apie Prekių trūkumų pašalinimą gavimo privalo patikrinti trūkumus, nurodytus Defektų akte arba Pirkėjo pretenzijoje, ir raštu patvirtinti, kurie Prekių trūkumai buvo pašalinti.</w:t>
      </w:r>
      <w:r>
        <w:rPr>
          <w:color w:val="000000"/>
          <w:szCs w:val="24"/>
        </w:rPr>
      </w:r>
      <w:r>
        <w:rPr>
          <w:color w:val="000000"/>
          <w:szCs w:val="24"/>
        </w:rPr>
      </w:r>
    </w:p>
    <w:p w14:paraId="430540D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B96544C" w14:textId="77777777">
      <w:pPr>
        <w:pBdr/>
        <w:spacing w:line="257" w:lineRule="atLeast"/>
        <w:ind/>
        <w:jc w:val="center"/>
        <w:rPr>
          <w:color w:val="000000"/>
          <w:szCs w:val="24"/>
        </w:rPr>
      </w:pPr>
      <w:r>
        <w:rPr>
          <w:b/>
          <w:bCs/>
          <w:color w:val="000000"/>
          <w:szCs w:val="24"/>
        </w:rPr>
        <w:t xml:space="preserve">7.4.  Pirkėjo teisės, Tiekėjui nepašalinus Prekių trūkumų</w:t>
      </w:r>
      <w:r>
        <w:rPr>
          <w:color w:val="000000"/>
          <w:szCs w:val="24"/>
        </w:rPr>
      </w:r>
      <w:r>
        <w:rPr>
          <w:color w:val="000000"/>
          <w:szCs w:val="24"/>
        </w:rPr>
      </w:r>
    </w:p>
    <w:p w14:paraId="112CC4AC"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D81C4E2" w14:textId="77777777">
      <w:pPr>
        <w:pBdr/>
        <w:spacing w:line="257" w:lineRule="atLeast"/>
        <w:ind/>
        <w:jc w:val="both"/>
        <w:rPr>
          <w:color w:val="000000"/>
          <w:szCs w:val="24"/>
        </w:rPr>
      </w:pPr>
      <w:r>
        <w:rPr>
          <w:color w:val="000000"/>
          <w:szCs w:val="24"/>
        </w:rPr>
        <w:t xml:space="preserve">7.4.1. Jeigu Tiekėjas atsisako pašalinti arba nepašalina Prekių trūkumų per Pirkėjo nustatytus protingus terminus, Pirkėjas turi teisę:</w:t>
      </w:r>
      <w:r>
        <w:rPr>
          <w:color w:val="000000"/>
          <w:szCs w:val="24"/>
        </w:rPr>
      </w:r>
      <w:r>
        <w:rPr>
          <w:color w:val="000000"/>
          <w:szCs w:val="24"/>
        </w:rPr>
      </w:r>
    </w:p>
    <w:p w14:paraId="766B2076" w14:textId="77777777">
      <w:pPr>
        <w:pBdr/>
        <w:spacing w:line="257" w:lineRule="atLeast"/>
        <w:ind/>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 xml:space="preserve">šalinimo išlaidas ir padengti patirtus nuostolius; arba</w:t>
      </w:r>
      <w:r>
        <w:rPr>
          <w:szCs w:val="24"/>
        </w:rPr>
      </w:r>
      <w:r>
        <w:rPr>
          <w:szCs w:val="24"/>
        </w:rPr>
      </w:r>
    </w:p>
    <w:p w14:paraId="06C95392" w14:textId="77777777">
      <w:pPr>
        <w:pBdr/>
        <w:spacing w:line="257" w:lineRule="atLeast"/>
        <w:ind/>
        <w:jc w:val="both"/>
        <w:rPr>
          <w:szCs w:val="24"/>
        </w:rPr>
      </w:pPr>
      <w:r>
        <w:rPr>
          <w:szCs w:val="24"/>
        </w:rPr>
        <w:t xml:space="preserve">7.4.1.2. </w:t>
      </w:r>
      <w:r>
        <w:rPr>
          <w:szCs w:val="24"/>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r>
        <w:rPr>
          <w:szCs w:val="24"/>
        </w:rPr>
      </w:r>
      <w:r>
        <w:rPr>
          <w:szCs w:val="24"/>
        </w:rPr>
      </w:r>
    </w:p>
    <w:p w14:paraId="7497AF86" w14:textId="77777777">
      <w:pPr>
        <w:pBdr/>
        <w:spacing w:line="257" w:lineRule="atLeast"/>
        <w:ind/>
        <w:jc w:val="both"/>
        <w:rPr>
          <w:color w:val="000000"/>
          <w:szCs w:val="24"/>
        </w:rPr>
      </w:pPr>
      <w:r>
        <w:rPr>
          <w:szCs w:val="24"/>
        </w:rPr>
        <w:t xml:space="preserve">7.4.1.3. grąžinti Prekes Tiekėjui ir nemokėti už tokias Prekes ar reikalauti grąžinti </w:t>
      </w:r>
      <w:r>
        <w:rPr>
          <w:color w:val="000000"/>
          <w:szCs w:val="24"/>
        </w:rPr>
        <w:t xml:space="preserve">už Prekes sumokėtą sumą bei nutraukti Sutartį.</w:t>
      </w:r>
      <w:r>
        <w:rPr>
          <w:color w:val="000000"/>
          <w:szCs w:val="24"/>
        </w:rPr>
      </w:r>
      <w:r>
        <w:rPr>
          <w:color w:val="000000"/>
          <w:szCs w:val="24"/>
        </w:rPr>
      </w:r>
    </w:p>
    <w:p w14:paraId="7A359D50" w14:textId="77777777">
      <w:pPr>
        <w:pBdr/>
        <w:spacing w:line="257" w:lineRule="atLeast"/>
        <w:ind/>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szCs w:val="24"/>
        </w:rPr>
        <w:t xml:space="preserve">jeigu tokia Prekių vertė gali būti išskaitoma iš bendros Prekių vertės</w:t>
      </w:r>
      <w:r>
        <w:rPr>
          <w:color w:val="000000"/>
          <w:szCs w:val="24"/>
        </w:rPr>
        <w:t xml:space="preserve"> Į Prekių vertės </w:t>
      </w:r>
      <w:r>
        <w:rPr>
          <w:color w:val="000000"/>
          <w:szCs w:val="24"/>
        </w:rPr>
        <w:t xml:space="preserve">sumažėjimą, be kita ko, įskaičiuojamos Pirkėjo išlaidos Prekių trūkumų įvertinimui ir šalinimui </w:t>
      </w:r>
      <w:r>
        <w:rPr>
          <w:rFonts w:eastAsia="Arial"/>
          <w:szCs w:val="24"/>
        </w:rPr>
        <w:t xml:space="preserve">(jeigu tokių Prekių kaina buvo nurodyta pirkimo metu)</w:t>
      </w:r>
      <w:r>
        <w:rPr>
          <w:color w:val="000000"/>
          <w:szCs w:val="24"/>
        </w:rPr>
        <w:t xml:space="preserve">, Pirkėjo esamų ar būsimų išlaidų Prekių eksploatavimui padidėjimas (jeigu tokios išlaidos buvo vertinamos pirkimo metu).</w:t>
      </w:r>
      <w:r>
        <w:rPr>
          <w:color w:val="000000"/>
          <w:szCs w:val="24"/>
        </w:rPr>
      </w:r>
      <w:r>
        <w:rPr>
          <w:color w:val="000000"/>
          <w:szCs w:val="24"/>
        </w:rPr>
      </w:r>
    </w:p>
    <w:p w14:paraId="75E10D28" w14:textId="77777777">
      <w:pPr>
        <w:pBdr/>
        <w:spacing w:line="257" w:lineRule="atLeast"/>
        <w:ind/>
        <w:jc w:val="both"/>
        <w:rPr>
          <w:color w:val="000000"/>
          <w:szCs w:val="24"/>
        </w:rPr>
      </w:pPr>
      <w:r>
        <w:rPr>
          <w:color w:val="000000"/>
          <w:szCs w:val="24"/>
        </w:rPr>
        <w:t xml:space="preserve">7.4.3. Tiekėjas privalo patenkinti Pirkėjo pagal Bendrųjų sąlygų 7.4.4 punktą pareikštą piniginį reikalavimą per 30 (trisdešimt) dienų arba per ilgesnį Pirkėjo reikalavime nurodytą protingą terminą.</w:t>
      </w:r>
      <w:r>
        <w:rPr>
          <w:color w:val="000000"/>
          <w:szCs w:val="24"/>
        </w:rPr>
      </w:r>
      <w:r>
        <w:rPr>
          <w:color w:val="000000"/>
          <w:szCs w:val="24"/>
        </w:rPr>
      </w:r>
    </w:p>
    <w:p w14:paraId="55C2A48D" w14:textId="77777777">
      <w:pPr>
        <w:pBdr/>
        <w:spacing w:line="257" w:lineRule="atLeast"/>
        <w:ind/>
        <w:jc w:val="both"/>
        <w:rPr>
          <w:color w:val="000000"/>
          <w:szCs w:val="24"/>
        </w:rPr>
      </w:pPr>
      <w:r>
        <w:rPr>
          <w:color w:val="000000"/>
          <w:szCs w:val="24"/>
        </w:rPr>
        <w:t xml:space="preserve">7.4.4. Už vėlavimą pašalinti Prekių trūkumus Pirkėjas privalo reikalauti Tiekėjo sumokėti Specialiosiose sąlygose nustatyto dydžio netesybas.</w:t>
      </w:r>
      <w:r>
        <w:rPr>
          <w:color w:val="000000"/>
          <w:szCs w:val="24"/>
        </w:rPr>
      </w:r>
      <w:r>
        <w:rPr>
          <w:color w:val="000000"/>
          <w:szCs w:val="24"/>
        </w:rPr>
      </w:r>
    </w:p>
    <w:p w14:paraId="272F9A27"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8399758" w14:textId="77777777">
      <w:pPr>
        <w:pBdr/>
        <w:spacing w:line="257" w:lineRule="atLeast"/>
        <w:ind/>
        <w:jc w:val="center"/>
        <w:rPr>
          <w:color w:val="000000"/>
          <w:szCs w:val="24"/>
        </w:rPr>
      </w:pPr>
      <w:r>
        <w:rPr>
          <w:b/>
          <w:bCs/>
          <w:caps/>
          <w:color w:val="000000"/>
          <w:szCs w:val="24"/>
        </w:rPr>
        <w:t xml:space="preserve">8.  PRISTATYMO TERMINAI</w:t>
      </w:r>
      <w:r>
        <w:rPr>
          <w:color w:val="000000"/>
          <w:szCs w:val="24"/>
        </w:rPr>
      </w:r>
      <w:r>
        <w:rPr>
          <w:color w:val="000000"/>
          <w:szCs w:val="24"/>
        </w:rPr>
      </w:r>
    </w:p>
    <w:p w14:paraId="046FE842"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542DE4EC" w14:textId="77777777">
      <w:pPr>
        <w:pBdr/>
        <w:spacing w:line="257" w:lineRule="atLeast"/>
        <w:ind/>
        <w:jc w:val="center"/>
        <w:rPr>
          <w:color w:val="000000"/>
          <w:szCs w:val="24"/>
        </w:rPr>
      </w:pPr>
      <w:r>
        <w:rPr>
          <w:b/>
          <w:bCs/>
          <w:color w:val="000000"/>
          <w:szCs w:val="24"/>
        </w:rPr>
        <w:t xml:space="preserve">8.1.  Pristatymo terminai ir Prekių tiekimo grafikas</w:t>
      </w:r>
      <w:r>
        <w:rPr>
          <w:color w:val="000000"/>
          <w:szCs w:val="24"/>
        </w:rPr>
      </w:r>
      <w:r>
        <w:rPr>
          <w:color w:val="000000"/>
          <w:szCs w:val="24"/>
        </w:rPr>
      </w:r>
    </w:p>
    <w:p w14:paraId="7FB40D5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971D4F9" w14:textId="77777777">
      <w:pPr>
        <w:pBdr/>
        <w:spacing w:line="257" w:lineRule="atLeast"/>
        <w:ind/>
        <w:jc w:val="both"/>
        <w:rPr>
          <w:color w:val="000000"/>
          <w:szCs w:val="24"/>
        </w:rPr>
      </w:pPr>
      <w:r>
        <w:rPr>
          <w:color w:val="000000"/>
          <w:szCs w:val="24"/>
        </w:rPr>
        <w:t xml:space="preserve">8.1.1. Tiekėjas privalo pristatyti Prekes laikydamasis terminų, nurodytų Specialiosiose sąlygose.</w:t>
      </w:r>
      <w:r>
        <w:rPr>
          <w:color w:val="000000"/>
          <w:szCs w:val="24"/>
        </w:rPr>
      </w:r>
      <w:r>
        <w:rPr>
          <w:color w:val="000000"/>
          <w:szCs w:val="24"/>
        </w:rPr>
      </w:r>
    </w:p>
    <w:p w14:paraId="5F0417D1" w14:textId="77777777">
      <w:pPr>
        <w:pBdr/>
        <w:spacing w:line="257" w:lineRule="atLeast"/>
        <w:ind/>
        <w:jc w:val="both"/>
        <w:rPr>
          <w:color w:val="000000"/>
          <w:szCs w:val="24"/>
        </w:rPr>
      </w:pPr>
      <w:r>
        <w:rPr>
          <w:color w:val="000000"/>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 xml:space="preserve">Grafikas</w:t>
      </w:r>
      <w:r>
        <w:rPr>
          <w:color w:val="000000"/>
          <w:szCs w:val="24"/>
        </w:rPr>
        <w:t xml:space="preserve">).</w:t>
      </w:r>
      <w:r>
        <w:rPr>
          <w:color w:val="000000"/>
          <w:szCs w:val="24"/>
        </w:rPr>
      </w:r>
      <w:r>
        <w:rPr>
          <w:color w:val="000000"/>
          <w:szCs w:val="24"/>
        </w:rPr>
      </w:r>
    </w:p>
    <w:p w14:paraId="3B129214" w14:textId="77777777">
      <w:pPr>
        <w:pBdr/>
        <w:spacing w:line="257" w:lineRule="atLeast"/>
        <w:ind/>
        <w:jc w:val="both"/>
        <w:rPr>
          <w:color w:val="000000"/>
          <w:szCs w:val="24"/>
        </w:rPr>
      </w:pPr>
      <w:r>
        <w:rPr>
          <w:color w:val="000000"/>
          <w:szCs w:val="24"/>
        </w:rPr>
        <w:t xml:space="preserve">8.1.3. Jei aktualu, Grafike turi būti pažymėta, kurios Prekės gali būti pristatomos lygiagrečiai, o kurios gali būti pristatomos tik numatytu eiliškumu.</w:t>
      </w:r>
      <w:r>
        <w:rPr>
          <w:color w:val="000000"/>
          <w:szCs w:val="24"/>
        </w:rPr>
      </w:r>
      <w:r>
        <w:rPr>
          <w:color w:val="000000"/>
          <w:szCs w:val="24"/>
        </w:rPr>
      </w:r>
    </w:p>
    <w:p w14:paraId="527AEB59"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0A38641" w14:textId="77777777">
      <w:pPr>
        <w:pBdr/>
        <w:spacing w:line="257" w:lineRule="atLeast"/>
        <w:ind/>
        <w:jc w:val="center"/>
        <w:rPr>
          <w:color w:val="000000"/>
          <w:szCs w:val="24"/>
        </w:rPr>
      </w:pPr>
      <w:r>
        <w:rPr>
          <w:b/>
          <w:bCs/>
          <w:color w:val="000000"/>
          <w:szCs w:val="24"/>
        </w:rPr>
        <w:t xml:space="preserve">8.2.  Netesybos už Prekių pristatymo vėlavimą</w:t>
      </w:r>
      <w:r>
        <w:rPr>
          <w:color w:val="000000"/>
          <w:szCs w:val="24"/>
        </w:rPr>
      </w:r>
      <w:r>
        <w:rPr>
          <w:color w:val="000000"/>
          <w:szCs w:val="24"/>
        </w:rPr>
      </w:r>
    </w:p>
    <w:p w14:paraId="2C624C0C"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20C396E" w14:textId="77777777">
      <w:pPr>
        <w:pBdr/>
        <w:spacing w:line="257" w:lineRule="atLeast"/>
        <w:ind/>
        <w:jc w:val="both"/>
        <w:rPr>
          <w:color w:val="000000"/>
          <w:szCs w:val="24"/>
        </w:rPr>
      </w:pPr>
      <w:r>
        <w:rPr>
          <w:color w:val="000000"/>
          <w:szCs w:val="24"/>
        </w:rPr>
        <w:t xml:space="preserve">8.2.1. Jeigu Tiekėjas praleidžia Prekių pristatymo terminus, nustatytus Specialiosiose sąlygose, Tiekėjui iki Prekių pristatymo datos taikomos Specialiosiose sąlygose nurodyto dydžio netesybos.</w:t>
      </w:r>
      <w:r>
        <w:rPr>
          <w:color w:val="000000"/>
          <w:szCs w:val="24"/>
        </w:rPr>
      </w:r>
      <w:r>
        <w:rPr>
          <w:color w:val="000000"/>
          <w:szCs w:val="24"/>
        </w:rPr>
      </w:r>
    </w:p>
    <w:p w14:paraId="3A041F55" w14:textId="77777777">
      <w:pPr>
        <w:pBdr/>
        <w:spacing w:line="257" w:lineRule="atLeast"/>
        <w:ind/>
        <w:jc w:val="both"/>
        <w:rPr>
          <w:color w:val="000000"/>
          <w:szCs w:val="24"/>
        </w:rPr>
      </w:pPr>
      <w:r>
        <w:rPr>
          <w:color w:val="000000"/>
          <w:szCs w:val="24"/>
        </w:rPr>
        <w:t xml:space="preserve">8.2.2. Tiekėjui praleidus Prekių dalies pristatymo terminą, netesybos skaičiuojamos nuo Prekių dalies pristatymo termino pabaigos (neįskaitytinai) iki Prekių dalies pristatymo datos (įskaitytinai), nustatytos pagal Prekių perdavimo–priėmimo aktus.</w:t>
      </w:r>
      <w:r>
        <w:rPr>
          <w:color w:val="000000"/>
          <w:szCs w:val="24"/>
        </w:rPr>
      </w:r>
      <w:r>
        <w:rPr>
          <w:color w:val="000000"/>
          <w:szCs w:val="24"/>
        </w:rPr>
      </w:r>
    </w:p>
    <w:p w14:paraId="4B32C8B5" w14:textId="77777777">
      <w:pPr>
        <w:pBdr/>
        <w:spacing w:line="257" w:lineRule="atLeast"/>
        <w:ind/>
        <w:jc w:val="both"/>
        <w:rPr>
          <w:color w:val="000000"/>
          <w:szCs w:val="24"/>
        </w:rPr>
      </w:pPr>
      <w:r>
        <w:rPr>
          <w:color w:val="000000"/>
          <w:szCs w:val="24"/>
        </w:rPr>
        <w:t xml:space="preserve">8.2.3. Jei Tiekėjui pagal šią Sutartį yra priskaičiuotos netesybos, Pirkėjo už Prekes mok</w:t>
      </w:r>
      <w:r>
        <w:rPr>
          <w:color w:val="000000"/>
          <w:szCs w:val="24"/>
        </w:rPr>
        <w:t xml:space="preserve">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Pr>
          <w:color w:val="000000"/>
          <w:szCs w:val="24"/>
        </w:rPr>
      </w:r>
      <w:r>
        <w:rPr>
          <w:color w:val="000000"/>
          <w:szCs w:val="24"/>
        </w:rPr>
      </w:r>
    </w:p>
    <w:p w14:paraId="764AB6D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2B56712A" w14:textId="77777777">
      <w:pPr>
        <w:pBdr/>
        <w:spacing w:line="257" w:lineRule="atLeast"/>
        <w:ind/>
        <w:jc w:val="center"/>
        <w:rPr>
          <w:color w:val="000000"/>
          <w:szCs w:val="24"/>
        </w:rPr>
      </w:pPr>
      <w:r>
        <w:rPr>
          <w:b/>
          <w:bCs/>
          <w:caps/>
          <w:color w:val="000000"/>
          <w:szCs w:val="24"/>
        </w:rPr>
        <w:t xml:space="preserve">9.  PRIEVOLIŲ PAGAL SUTARTĮ ĮVYKDYMO UŽTIKRINIMO BŪDAI</w:t>
      </w:r>
      <w:r>
        <w:rPr>
          <w:color w:val="000000"/>
          <w:szCs w:val="24"/>
        </w:rPr>
      </w:r>
      <w:r>
        <w:rPr>
          <w:color w:val="000000"/>
          <w:szCs w:val="24"/>
        </w:rPr>
      </w:r>
    </w:p>
    <w:p w14:paraId="2E401E51"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6CD7DCE5" w14:textId="77777777">
      <w:pPr>
        <w:pBdr/>
        <w:spacing w:line="257" w:lineRule="atLeast"/>
        <w:ind/>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w:t>
      </w:r>
      <w:r>
        <w:rPr>
          <w:color w:val="000000"/>
          <w:szCs w:val="24"/>
        </w:rPr>
        <w:t xml:space="preserve"> įsipareigojimų įvykdymo užtikrinimo tvarka, Bendrųjų sąlygų 12.1.3 punkte nurodytu avanso užtikrinimu (jeigu Specialiosiose sąlygose yra nurodytas avanso dydis ir yra reikalaujama avanso užtikrinimo), Specialiųjų sąlygų 9 skyriuje nurodytomis netesybomis.</w:t>
      </w:r>
      <w:r>
        <w:rPr>
          <w:color w:val="000000"/>
          <w:szCs w:val="24"/>
        </w:rPr>
      </w:r>
      <w:r>
        <w:rPr>
          <w:color w:val="000000"/>
          <w:szCs w:val="24"/>
        </w:rPr>
      </w:r>
    </w:p>
    <w:p w14:paraId="3042245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47A08A1" w14:textId="77777777">
      <w:pPr>
        <w:pBdr/>
        <w:spacing w:line="257" w:lineRule="atLeast"/>
        <w:ind/>
        <w:jc w:val="center"/>
        <w:rPr>
          <w:color w:val="000000"/>
          <w:szCs w:val="24"/>
        </w:rPr>
      </w:pPr>
      <w:r>
        <w:rPr>
          <w:b/>
          <w:bCs/>
          <w:caps/>
          <w:color w:val="000000"/>
          <w:szCs w:val="24"/>
        </w:rPr>
        <w:t xml:space="preserve">10.  SUTARTIES ĮVYKDYMO UŽTIKRINIMAS (JEI TAIKOMA)</w:t>
      </w:r>
      <w:r>
        <w:rPr>
          <w:color w:val="000000"/>
          <w:szCs w:val="24"/>
        </w:rPr>
      </w:r>
      <w:r>
        <w:rPr>
          <w:color w:val="000000"/>
          <w:szCs w:val="24"/>
        </w:rPr>
      </w:r>
    </w:p>
    <w:p w14:paraId="08AA0A91"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E641CBC" w14:textId="77777777">
      <w:pPr>
        <w:pBdr/>
        <w:spacing w:line="257" w:lineRule="atLeast"/>
        <w:ind/>
        <w:jc w:val="both"/>
        <w:rPr>
          <w:color w:val="000000"/>
          <w:szCs w:val="24"/>
        </w:rPr>
      </w:pPr>
      <w:r>
        <w:rPr>
          <w:color w:val="000000"/>
          <w:szCs w:val="24"/>
          <w:shd w:val="clear" w:color="auto" w:fill="ffffff"/>
        </w:rPr>
        <w:t xml:space="preserve">10.1. Šio skyriaus nuostatos taikomos tuomet, jei </w:t>
      </w:r>
      <w:r>
        <w:rPr>
          <w:color w:val="000000"/>
          <w:szCs w:val="24"/>
          <w:shd w:val="clear" w:color="auto" w:fill="ffffff"/>
        </w:rPr>
        <w:t xml:space="preserve">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Pr>
          <w:color w:val="000000"/>
          <w:szCs w:val="24"/>
        </w:rPr>
      </w:r>
      <w:r>
        <w:rPr>
          <w:color w:val="000000"/>
          <w:szCs w:val="24"/>
        </w:rPr>
      </w:r>
    </w:p>
    <w:p w14:paraId="61AF641D" w14:textId="77777777">
      <w:pPr>
        <w:pBdr/>
        <w:spacing w:line="257" w:lineRule="atLeast"/>
        <w:ind/>
        <w:jc w:val="both"/>
        <w:rPr>
          <w:color w:val="000000"/>
          <w:szCs w:val="24"/>
        </w:rPr>
      </w:pPr>
      <w:r>
        <w:rPr>
          <w:b/>
          <w:bCs/>
          <w:color w:val="000000"/>
          <w:szCs w:val="24"/>
        </w:rPr>
        <w:t xml:space="preserve">Pastaba.</w:t>
      </w:r>
      <w:r>
        <w:rPr>
          <w:color w:val="000000"/>
          <w:szCs w:val="24"/>
        </w:rPr>
        <w:t xml:space="preserve">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t xml:space="preserve">gali nusimatyti papildomus reikalavimus Specialiosiose sąlygose tokio Sutarties įvykdymo užtikrinimo pateikimui, atitinkančius įstatymų bei kitų teisės aktų nuostatas.</w:t>
      </w:r>
      <w:r>
        <w:rPr>
          <w:color w:val="000000"/>
          <w:szCs w:val="24"/>
        </w:rPr>
      </w:r>
      <w:r>
        <w:rPr>
          <w:color w:val="000000"/>
          <w:szCs w:val="24"/>
        </w:rPr>
      </w:r>
    </w:p>
    <w:p w14:paraId="20A08447" w14:textId="77777777">
      <w:pPr>
        <w:pBdr/>
        <w:spacing w:line="257" w:lineRule="atLeast"/>
        <w:ind/>
        <w:jc w:val="both"/>
        <w:rPr>
          <w:color w:val="000000"/>
          <w:szCs w:val="24"/>
        </w:rPr>
      </w:pPr>
      <w:r>
        <w:rPr>
          <w:color w:val="000000"/>
          <w:szCs w:val="24"/>
          <w:shd w:val="clear" w:color="auto" w:fill="ffffff"/>
        </w:rPr>
        <w:t xml:space="preserve">10.2. Tiekėjas privalo pateikti Pirkėjui Specialiosiose sąlygose nurodytos rūšies ir dydžio Sutarties įvykdymo užtikrinimą – pirmo pareikalavimo banko garantiją arba draudimo bendrovės laidavimo draudimo raštą (</w:t>
      </w:r>
      <w:r>
        <w:rPr>
          <w:color w:val="000000"/>
          <w:szCs w:val="24"/>
        </w:rPr>
        <w:t xml:space="preserve">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 xml:space="preserve">Sutarties įvykdymo užtikrinimas</w:t>
      </w:r>
      <w:r>
        <w:rPr>
          <w:color w:val="000000"/>
          <w:szCs w:val="24"/>
          <w:shd w:val="clear" w:color="auto" w:fill="ffffff"/>
        </w:rPr>
        <w:t xml:space="preserve">).</w:t>
      </w:r>
      <w:r>
        <w:rPr>
          <w:color w:val="000000"/>
          <w:szCs w:val="24"/>
        </w:rPr>
      </w:r>
      <w:r>
        <w:rPr>
          <w:color w:val="000000"/>
          <w:szCs w:val="24"/>
        </w:rPr>
      </w:r>
    </w:p>
    <w:p w14:paraId="48FF662B" w14:textId="77777777">
      <w:pPr>
        <w:pBdr/>
        <w:spacing w:line="257" w:lineRule="atLeast"/>
        <w:ind/>
        <w:jc w:val="both"/>
        <w:rPr>
          <w:color w:val="000000"/>
          <w:szCs w:val="24"/>
        </w:rPr>
      </w:pPr>
      <w:r>
        <w:rPr>
          <w:color w:val="000000"/>
          <w:szCs w:val="24"/>
        </w:rPr>
        <w:t xml:space="preserve">10.3. Jei</w:t>
      </w:r>
      <w:r>
        <w:rPr>
          <w:color w:val="000000"/>
          <w:szCs w:val="24"/>
        </w:rPr>
        <w:t xml:space="preserve"> Tiekėjas nepateikia Pirkėjui Sutartyje nustatytos vertės Sutarties įvykdymo užtikrinimo per Sutartyje nustatytą terminą, laikoma, kad Tiekėjas atsisakė sudaryti Sutartį ir Pirkėjas turi teisę VPĮ nustatyta tvarka pasiūlyti sudaryti Sutartį kitam tiekėjui.</w:t>
      </w:r>
      <w:r>
        <w:rPr>
          <w:color w:val="000000"/>
          <w:szCs w:val="24"/>
        </w:rPr>
      </w:r>
      <w:r>
        <w:rPr>
          <w:color w:val="000000"/>
          <w:szCs w:val="24"/>
        </w:rPr>
      </w:r>
    </w:p>
    <w:p w14:paraId="08FF5950" w14:textId="77777777">
      <w:pPr>
        <w:pBdr/>
        <w:spacing w:line="257" w:lineRule="atLeast"/>
        <w:ind/>
        <w:jc w:val="both"/>
        <w:rPr>
          <w:color w:val="000000"/>
          <w:szCs w:val="24"/>
        </w:rPr>
      </w:pPr>
      <w:r>
        <w:rPr>
          <w:color w:val="000000"/>
          <w:szCs w:val="24"/>
        </w:rPr>
        <w:t xml:space="preserve">10.4. Prieš pateikdamas Sutarties įvykdymo už</w:t>
      </w:r>
      <w:r>
        <w:rPr>
          <w:color w:val="000000"/>
          <w:szCs w:val="24"/>
        </w:rPr>
        <w:t xml:space="preserve">tikrinimą, Tiekėjas gali prašyti Pirkėjo patvirtinti, kad Pirkėjas sutinka priimti Tiekėjo siūlomą Sutarties įvykdymo užtikrinimą. Tokiu atveju, Pirkėjas privalo atsakyti Tiekėjui ne vėliau kaip per 3 (tris) darbo dienas nuo Tiekėjo prašymo gavimo dienos. </w:t>
      </w:r>
      <w:r>
        <w:rPr>
          <w:color w:val="000000"/>
          <w:szCs w:val="24"/>
        </w:rPr>
      </w:r>
      <w:r>
        <w:rPr>
          <w:color w:val="000000"/>
          <w:szCs w:val="24"/>
        </w:rPr>
      </w:r>
    </w:p>
    <w:p w14:paraId="471215CC" w14:textId="77777777">
      <w:pPr>
        <w:pBdr/>
        <w:spacing w:line="257" w:lineRule="atLeast"/>
        <w:ind/>
        <w:jc w:val="both"/>
        <w:rPr>
          <w:color w:val="000000"/>
          <w:szCs w:val="24"/>
        </w:rPr>
      </w:pPr>
      <w:r>
        <w:rPr>
          <w:color w:val="000000"/>
          <w:szCs w:val="24"/>
        </w:rPr>
        <w:t xml:space="preserve">10.5. Sutarties įvykdymo užtikrinime bankas (draudimo bendrovė) privalo neatšaukiamai ir besąlygiškai įsipareigoti ne vėliau kaip per 15 (penkiolika) dienų n</w:t>
      </w:r>
      <w:r>
        <w:rPr>
          <w:color w:val="000000"/>
          <w:szCs w:val="24"/>
        </w:rPr>
        <w:t xml:space="preserve">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Pr>
          <w:color w:val="000000"/>
          <w:szCs w:val="24"/>
        </w:rPr>
      </w:r>
      <w:r>
        <w:rPr>
          <w:color w:val="000000"/>
          <w:szCs w:val="24"/>
        </w:rPr>
      </w:r>
    </w:p>
    <w:p w14:paraId="1BDB14BE" w14:textId="77777777">
      <w:pPr>
        <w:pBdr/>
        <w:spacing w:line="257" w:lineRule="atLeast"/>
        <w:ind/>
        <w:jc w:val="both"/>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w:t>
      </w:r>
      <w:r>
        <w:rPr>
          <w:color w:val="000000"/>
          <w:szCs w:val="24"/>
        </w:rPr>
        <w:t xml:space="preserve"> (draudimo bendrovei) nurodo, kad Sutarties įvykdymo užtikrinimo suma jam priklauso dėl to, kad Tiekėjas iš dalies ar visiškai neįvykdė Sutarties ir (arba) ji buvo nutraukta dėl Tiekėjo kaltės. Pirkėjas neįsipareigoja įrodyti realiai patirtų nuostolių ir T</w:t>
      </w:r>
      <w:r>
        <w:rPr>
          <w:color w:val="000000"/>
          <w:szCs w:val="24"/>
        </w:rPr>
        <w:t xml:space="preserve">iekėjas, pasirašydamas Sutartį ir pateikdamas Sutarties įvykdymo užtikrinimą, patvirtina, kad Sutarties įvykdymo užtikrinimo suma laikytina minimaliais neįrodinėjamais Pirkėjo nuostoliais. </w:t>
      </w:r>
      <w:r>
        <w:rPr>
          <w:color w:val="000000"/>
          <w:szCs w:val="24"/>
        </w:rPr>
      </w:r>
      <w:r>
        <w:rPr>
          <w:color w:val="000000"/>
          <w:szCs w:val="24"/>
        </w:rPr>
      </w:r>
    </w:p>
    <w:p w14:paraId="3EB78A80" w14:textId="77777777">
      <w:pPr>
        <w:pBdr/>
        <w:spacing w:line="257" w:lineRule="atLeast"/>
        <w:ind/>
        <w:jc w:val="both"/>
        <w:rPr>
          <w:color w:val="000000"/>
          <w:szCs w:val="24"/>
        </w:rPr>
      </w:pPr>
      <w:r>
        <w:rPr>
          <w:color w:val="000000"/>
          <w:szCs w:val="24"/>
        </w:rPr>
        <w:t xml:space="preserve">10.7. Sutarties įvykdymo užtikrinimas turi įsigalioti ne vėliau negu jo pateikimo Pirkėjui dieną. </w:t>
      </w:r>
      <w:r>
        <w:rPr>
          <w:color w:val="000000"/>
          <w:szCs w:val="24"/>
        </w:rPr>
      </w:r>
      <w:r>
        <w:rPr>
          <w:color w:val="000000"/>
          <w:szCs w:val="24"/>
        </w:rPr>
      </w:r>
    </w:p>
    <w:p w14:paraId="2249234C" w14:textId="77777777">
      <w:pPr>
        <w:pBdr/>
        <w:spacing w:line="257" w:lineRule="atLeast"/>
        <w:ind/>
        <w:jc w:val="both"/>
        <w:rPr>
          <w:color w:val="000000"/>
          <w:szCs w:val="24"/>
        </w:rPr>
      </w:pPr>
      <w:r>
        <w:rPr>
          <w:color w:val="000000"/>
          <w:szCs w:val="24"/>
        </w:rPr>
        <w:t xml:space="preserve">10.8. Sutarties įvykdymo užtikrinimo suma turi būti nurodoma ir išmokama eurais. </w:t>
      </w:r>
      <w:r>
        <w:rPr>
          <w:color w:val="000000"/>
          <w:szCs w:val="24"/>
        </w:rPr>
      </w:r>
      <w:r>
        <w:rPr>
          <w:color w:val="000000"/>
          <w:szCs w:val="24"/>
        </w:rPr>
      </w:r>
    </w:p>
    <w:p w14:paraId="6ADBE96F" w14:textId="77777777">
      <w:pPr>
        <w:pBdr/>
        <w:spacing w:line="257" w:lineRule="atLeast"/>
        <w:ind/>
        <w:jc w:val="both"/>
        <w:rPr>
          <w:szCs w:val="24"/>
        </w:rPr>
      </w:pPr>
      <w:r>
        <w:rPr>
          <w:color w:val="000000"/>
          <w:szCs w:val="24"/>
        </w:rPr>
        <w:t xml:space="preserve">10.9. Sutarties įvykdymo užtikrinimas turi būti surašytas lietuvių arba kita kalba (esant Pirkėjo </w:t>
      </w:r>
      <w:r>
        <w:rPr>
          <w:szCs w:val="24"/>
        </w:rPr>
        <w:t xml:space="preserve">prašymui, turi būti pateiktas vertimas į lietuvių kalbą). </w:t>
      </w:r>
      <w:r>
        <w:rPr>
          <w:szCs w:val="24"/>
        </w:rPr>
      </w:r>
      <w:r>
        <w:rPr>
          <w:szCs w:val="24"/>
        </w:rPr>
      </w:r>
    </w:p>
    <w:p w14:paraId="11972477" w14:textId="77777777">
      <w:pPr>
        <w:pBdr/>
        <w:spacing w:line="257" w:lineRule="atLeast"/>
        <w:ind/>
        <w:jc w:val="both"/>
        <w:rPr>
          <w:szCs w:val="24"/>
        </w:rPr>
      </w:pPr>
      <w:r>
        <w:rPr>
          <w:szCs w:val="24"/>
        </w:rPr>
        <w:t xml:space="preserve">10.10. Sutarties įvykdymo užtikrinime nurodytas jo galiojimo terminas turi būti ne trumpesnis nei nurodytas </w:t>
      </w:r>
      <w:r>
        <w:rPr>
          <w:rFonts w:eastAsia="Calibri"/>
          <w:szCs w:val="24"/>
        </w:rPr>
        <w:t xml:space="preserve">Specialiosiose sąlygose</w:t>
      </w:r>
      <w:r>
        <w:rPr>
          <w:szCs w:val="24"/>
        </w:rPr>
        <w:t xml:space="preserve">. </w:t>
      </w:r>
      <w:r>
        <w:rPr>
          <w:szCs w:val="24"/>
        </w:rPr>
      </w:r>
      <w:r>
        <w:rPr>
          <w:szCs w:val="24"/>
        </w:rPr>
      </w:r>
    </w:p>
    <w:p w14:paraId="6E5E9450" w14:textId="77777777">
      <w:pPr>
        <w:pBdr/>
        <w:spacing w:line="257" w:lineRule="atLeast"/>
        <w:ind/>
        <w:jc w:val="both"/>
        <w:rPr>
          <w:color w:val="000000"/>
          <w:szCs w:val="24"/>
        </w:rPr>
      </w:pPr>
      <w:r>
        <w:rPr>
          <w:color w:val="000000"/>
          <w:szCs w:val="24"/>
        </w:rPr>
        <w:t xml:space="preserve">10.11. Jeigu Sutarties trukmė yra ilgesnė nei 1 (vieneri) metai, Tiekėjas turi teisę pateikti 1 (vienerius) metus galiojan</w:t>
      </w:r>
      <w:r>
        <w:rPr>
          <w:color w:val="000000"/>
          <w:szCs w:val="24"/>
        </w:rPr>
        <w:t xml:space="preserve">tį Sutarties įvykdymo užtikrinimą, tačiau privalo pratęsti Sutarties įvykdymo užtikrinimo terminą arba pateikti naują Sutarties įvykdymo užtikrinimą ne vėliau kaip prieš 10 (dešimt) darbo dienų iki Sutarties įvykdymo užtikrinimo galiojimo termino pabaigos.</w:t>
      </w:r>
      <w:r>
        <w:rPr>
          <w:color w:val="000000"/>
          <w:szCs w:val="24"/>
        </w:rPr>
      </w:r>
      <w:r>
        <w:rPr>
          <w:color w:val="000000"/>
          <w:szCs w:val="24"/>
        </w:rPr>
      </w:r>
    </w:p>
    <w:p w14:paraId="3D6CABE9" w14:textId="77777777">
      <w:pPr>
        <w:pBdr/>
        <w:spacing w:line="257" w:lineRule="atLeast"/>
        <w:ind/>
        <w:jc w:val="both"/>
        <w:rPr>
          <w:color w:val="000000"/>
          <w:szCs w:val="24"/>
        </w:rPr>
      </w:pPr>
      <w:r>
        <w:rPr>
          <w:color w:val="000000"/>
          <w:szCs w:val="24"/>
        </w:rPr>
        <w:t xml:space="preserve">10.12. Jeigu Sutartyje nustatytomis sąlygomis Prekių pristatymo terminas yra pratęsiamas arba nukeliamas dėl Sutarties sustabdymo arba pristatyti Prekes arba taisyti Prekių trūkumus yra vėluojama, Tiekėj</w:t>
      </w:r>
      <w:r>
        <w:rPr>
          <w:color w:val="000000"/>
          <w:szCs w:val="24"/>
        </w:rPr>
        <w:t xml:space="preserve">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Pr>
          <w:color w:val="000000"/>
          <w:szCs w:val="24"/>
        </w:rPr>
      </w:r>
      <w:r>
        <w:rPr>
          <w:color w:val="000000"/>
          <w:szCs w:val="24"/>
        </w:rPr>
      </w:r>
    </w:p>
    <w:p w14:paraId="0D0BE463" w14:textId="77777777">
      <w:pPr>
        <w:pBdr/>
        <w:spacing w:line="257" w:lineRule="atLeast"/>
        <w:ind/>
        <w:jc w:val="both"/>
        <w:rPr>
          <w:color w:val="000000"/>
          <w:szCs w:val="24"/>
        </w:rPr>
      </w:pPr>
      <w:r>
        <w:rPr>
          <w:color w:val="000000"/>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r>
        <w:rPr>
          <w:color w:val="000000"/>
          <w:szCs w:val="24"/>
        </w:rPr>
      </w:r>
      <w:r>
        <w:rPr>
          <w:color w:val="000000"/>
          <w:szCs w:val="24"/>
        </w:rPr>
      </w:r>
    </w:p>
    <w:p w14:paraId="1C455C2B" w14:textId="77777777">
      <w:pPr>
        <w:pBdr/>
        <w:spacing w:line="257" w:lineRule="atLeast"/>
        <w:ind/>
        <w:jc w:val="both"/>
        <w:rPr>
          <w:color w:val="000000"/>
          <w:szCs w:val="24"/>
        </w:rPr>
      </w:pPr>
      <w:r>
        <w:rPr>
          <w:color w:val="000000"/>
          <w:szCs w:val="24"/>
        </w:rPr>
        <w:t xml:space="preserve">10.14. Pirkėjas nepriima Sutarties įvykdymo užtikrinimo ir (ar) laiko jį negaliojančiu, ir (ar) kreipiasi į Tiekėją dėl naujo Sutarties įvykdymo užt</w:t>
      </w:r>
      <w:r>
        <w:rPr>
          <w:color w:val="000000"/>
          <w:szCs w:val="24"/>
        </w:rPr>
        <w:t xml:space="preserve">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t xml:space="preserve">įvykdymo užtikrinimą išdavusio banko (draudimo bendrovės) veiklos sustabdymu arba galimu veiklos sustabdymu (įskaitant nemokumą, likvidavimą ar teisinės apsaugos taikymo procedūras). </w:t>
      </w:r>
      <w:r>
        <w:rPr>
          <w:color w:val="000000"/>
          <w:szCs w:val="24"/>
        </w:rPr>
      </w:r>
      <w:r>
        <w:rPr>
          <w:color w:val="000000"/>
          <w:szCs w:val="24"/>
        </w:rPr>
      </w:r>
    </w:p>
    <w:p w14:paraId="2BEDABEC" w14:textId="77777777">
      <w:pPr>
        <w:pBdr/>
        <w:spacing w:line="257" w:lineRule="atLeast"/>
        <w:ind/>
        <w:jc w:val="both"/>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w:t>
      </w:r>
      <w:r>
        <w:rPr>
          <w:color w:val="000000"/>
          <w:szCs w:val="24"/>
        </w:rPr>
        <w:t xml:space="preserve">ti Sutarties įsipareigojimus, privalo per 10 (dešimt) darbo dienų nuo pranešimo apie Sutarties įvykdymo užtikrinimo sumokėjimą Pirkėjui pranešimo gavimo dienos pateikti Pirkėjui naują Specialiosiose sąlygose nurodyto dydžio Sutarties įvykdymo užtikrinimą. </w:t>
      </w:r>
      <w:r>
        <w:rPr>
          <w:color w:val="000000"/>
          <w:szCs w:val="24"/>
        </w:rPr>
      </w:r>
      <w:r>
        <w:rPr>
          <w:color w:val="000000"/>
          <w:szCs w:val="24"/>
        </w:rPr>
      </w:r>
    </w:p>
    <w:p w14:paraId="57E94F74" w14:textId="77777777">
      <w:pPr>
        <w:pBdr/>
        <w:spacing w:line="257" w:lineRule="atLeast"/>
        <w:ind/>
        <w:jc w:val="both"/>
        <w:rPr>
          <w:color w:val="000000"/>
          <w:szCs w:val="24"/>
        </w:rPr>
      </w:pPr>
      <w:r>
        <w:rPr>
          <w:color w:val="000000"/>
          <w:szCs w:val="24"/>
        </w:rPr>
        <w:t xml:space="preserve">10.16. Pirkėjas gali pasinaudoti Sutarties įvykdymo užtikrinimu, esant bet kuriai iš žemiau nurodytų aplinkybių:  </w:t>
      </w:r>
      <w:r>
        <w:rPr>
          <w:color w:val="000000"/>
          <w:szCs w:val="24"/>
        </w:rPr>
      </w:r>
      <w:r>
        <w:rPr>
          <w:color w:val="000000"/>
          <w:szCs w:val="24"/>
        </w:rPr>
      </w:r>
    </w:p>
    <w:p w14:paraId="2C9A035D" w14:textId="77777777">
      <w:pPr>
        <w:pBdr/>
        <w:spacing w:line="257" w:lineRule="atLeast"/>
        <w:ind/>
        <w:jc w:val="both"/>
        <w:rPr>
          <w:color w:val="000000"/>
          <w:szCs w:val="24"/>
        </w:rPr>
      </w:pPr>
      <w:r>
        <w:rPr>
          <w:color w:val="000000"/>
          <w:szCs w:val="24"/>
        </w:rPr>
        <w:t xml:space="preserve">10.16.1. Tiekėjas neįvykdė, nevykdo arba netinkamai vykdo savo įsipareigojimus pagal Sutartį;  </w:t>
      </w:r>
      <w:r>
        <w:rPr>
          <w:color w:val="000000"/>
          <w:szCs w:val="24"/>
        </w:rPr>
      </w:r>
      <w:r>
        <w:rPr>
          <w:color w:val="000000"/>
          <w:szCs w:val="24"/>
        </w:rPr>
      </w:r>
    </w:p>
    <w:p w14:paraId="2B7FC1AE" w14:textId="77777777">
      <w:pPr>
        <w:pBdr/>
        <w:spacing w:line="257" w:lineRule="atLeast"/>
        <w:ind/>
        <w:jc w:val="both"/>
        <w:rPr>
          <w:color w:val="000000"/>
          <w:szCs w:val="24"/>
        </w:rPr>
      </w:pPr>
      <w:r>
        <w:rPr>
          <w:color w:val="000000"/>
          <w:szCs w:val="24"/>
        </w:rPr>
        <w:t xml:space="preserve">10.16.2. Tiekėjas per protingai nustatytą laikotarpį neįvykdo Pirkėjo nurodymo ištaisyti Prekių trūkumus;  </w:t>
      </w:r>
      <w:r>
        <w:rPr>
          <w:color w:val="000000"/>
          <w:szCs w:val="24"/>
        </w:rPr>
      </w:r>
      <w:r>
        <w:rPr>
          <w:color w:val="000000"/>
          <w:szCs w:val="24"/>
        </w:rPr>
      </w:r>
    </w:p>
    <w:p w14:paraId="5F360135" w14:textId="77777777">
      <w:pPr>
        <w:pBdr/>
        <w:spacing w:line="257" w:lineRule="atLeast"/>
        <w:ind/>
        <w:jc w:val="both"/>
        <w:rPr>
          <w:color w:val="000000"/>
          <w:szCs w:val="24"/>
        </w:rPr>
      </w:pPr>
      <w:r>
        <w:rPr>
          <w:color w:val="000000"/>
          <w:szCs w:val="24"/>
        </w:rPr>
        <w:t xml:space="preserve">10.16.3. jei dėl bet kokių Tiekėjo veiksmų (ve</w:t>
      </w:r>
      <w:r>
        <w:rPr>
          <w:color w:val="000000"/>
          <w:szCs w:val="24"/>
        </w:rPr>
        <w:t xml:space="preserve">ikimo ar neveikimo) Pirkėjas patyrė nuostolius (įskaitant, bet neapribojant, papildomas išlaidas, negautas pajamas ar kitus tiesioginius ir netiesioginius nuostolius, delspinigius ir (arba) baudas (jei tai yra numatyta Specialiosiose sutarties sąlygose);  </w:t>
      </w:r>
      <w:r>
        <w:rPr>
          <w:color w:val="000000"/>
          <w:szCs w:val="24"/>
        </w:rPr>
      </w:r>
      <w:r>
        <w:rPr>
          <w:color w:val="000000"/>
          <w:szCs w:val="24"/>
        </w:rPr>
      </w:r>
    </w:p>
    <w:p w14:paraId="35D935A8" w14:textId="77777777">
      <w:pPr>
        <w:pBdr/>
        <w:spacing w:line="257" w:lineRule="atLeast"/>
        <w:ind/>
        <w:jc w:val="both"/>
        <w:rPr>
          <w:color w:val="000000"/>
          <w:szCs w:val="24"/>
        </w:rPr>
      </w:pPr>
      <w:r>
        <w:rPr>
          <w:color w:val="000000"/>
          <w:szCs w:val="24"/>
        </w:rPr>
        <w:t xml:space="preserve">10.16.4. Tiekėjas be pateisinamos priežasties (ne Sutartyje nustatytais atvejais) vienašališkai nutraukia Sutartį. </w:t>
      </w:r>
      <w:r>
        <w:rPr>
          <w:color w:val="000000"/>
          <w:szCs w:val="24"/>
        </w:rPr>
      </w:r>
      <w:r>
        <w:rPr>
          <w:color w:val="000000"/>
          <w:szCs w:val="24"/>
        </w:rPr>
      </w:r>
    </w:p>
    <w:p w14:paraId="68EC3AF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499F9DED" w14:textId="77777777">
      <w:pPr>
        <w:pBdr/>
        <w:spacing w:line="257" w:lineRule="atLeast"/>
        <w:ind/>
        <w:jc w:val="center"/>
        <w:rPr>
          <w:color w:val="000000"/>
          <w:szCs w:val="24"/>
        </w:rPr>
      </w:pPr>
      <w:r>
        <w:rPr>
          <w:b/>
          <w:bCs/>
          <w:caps/>
          <w:color w:val="000000"/>
          <w:szCs w:val="24"/>
        </w:rPr>
        <w:t xml:space="preserve">11.  SUTARTIES KAINA IR JOS PERSKAIČIAVIMAS</w:t>
      </w:r>
      <w:r>
        <w:rPr>
          <w:color w:val="000000"/>
          <w:szCs w:val="24"/>
        </w:rPr>
      </w:r>
      <w:r>
        <w:rPr>
          <w:color w:val="000000"/>
          <w:szCs w:val="24"/>
        </w:rPr>
      </w:r>
    </w:p>
    <w:p w14:paraId="0B7A78C6"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477F814" w14:textId="77777777">
      <w:pPr>
        <w:pBdr/>
        <w:spacing w:line="257" w:lineRule="atLeast"/>
        <w:ind/>
        <w:jc w:val="both"/>
        <w:rPr>
          <w:color w:val="000000"/>
          <w:szCs w:val="24"/>
        </w:rPr>
      </w:pPr>
      <w:r>
        <w:rPr>
          <w:color w:val="000000"/>
          <w:szCs w:val="24"/>
        </w:rPr>
        <w:t xml:space="preserve">11.1. Sutarties kaina, kurią Pirkėjas privalo sumokėti Tiekėjui už faktiškai pristatytas Prekes pagal Sutarties sąlygas, įskaitant visus Susitarimus, yra apskaičiuojama, taikant kainos apskaičiavimo būdą ar būdus, nurodytus Specialiosiose sąlygose.</w:t>
      </w:r>
      <w:r>
        <w:rPr>
          <w:color w:val="000000"/>
          <w:szCs w:val="24"/>
        </w:rPr>
      </w:r>
      <w:r>
        <w:rPr>
          <w:color w:val="000000"/>
          <w:szCs w:val="24"/>
        </w:rPr>
      </w:r>
    </w:p>
    <w:p w14:paraId="3975014A" w14:textId="77777777">
      <w:pPr>
        <w:pBdr/>
        <w:spacing w:line="257" w:lineRule="atLeast"/>
        <w:ind/>
        <w:jc w:val="both"/>
        <w:rPr>
          <w:color w:val="000000"/>
          <w:szCs w:val="24"/>
        </w:rPr>
      </w:pPr>
      <w:r>
        <w:rPr>
          <w:color w:val="000000"/>
          <w:szCs w:val="24"/>
        </w:rPr>
        <w:t xml:space="preserve">11.2. Pradinės sutarties vertė yra nurodyta Specialiosiose sąlygose.</w:t>
      </w:r>
      <w:r>
        <w:rPr>
          <w:color w:val="000000"/>
          <w:szCs w:val="24"/>
        </w:rPr>
      </w:r>
      <w:r>
        <w:rPr>
          <w:color w:val="000000"/>
          <w:szCs w:val="24"/>
        </w:rPr>
      </w:r>
    </w:p>
    <w:p w14:paraId="58BF4E9F" w14:textId="77777777">
      <w:pPr>
        <w:pBdr/>
        <w:spacing w:line="257" w:lineRule="atLeast"/>
        <w:ind/>
        <w:jc w:val="both"/>
        <w:rPr>
          <w:color w:val="000000"/>
          <w:szCs w:val="24"/>
        </w:rPr>
      </w:pPr>
      <w:r>
        <w:rPr>
          <w:color w:val="000000"/>
          <w:szCs w:val="24"/>
        </w:rPr>
        <w:t xml:space="preserve">11.3. Laikoma, kad į Sutarties kainą yra įtrauktos </w:t>
      </w:r>
      <w:r>
        <w:rPr>
          <w:color w:val="000000"/>
          <w:szCs w:val="24"/>
        </w:rPr>
        <w:t xml:space="preserve">visos Tiekėjo išlaidos, susijusios su visų Prekių pristatymu, taip pat su tinkamu šioje Sutartyje numatytų kitų Tiekėjo įsipareigojimų įvykdymu, įskaitant draudimus, muitus ir kitokias išlaidas, Tiekėjo patirtas vykdant Sutartyje numatytus įsipareigojimus.</w:t>
      </w:r>
      <w:r>
        <w:rPr>
          <w:color w:val="000000"/>
          <w:szCs w:val="24"/>
        </w:rPr>
      </w:r>
      <w:r>
        <w:rPr>
          <w:color w:val="000000"/>
          <w:szCs w:val="24"/>
        </w:rPr>
      </w:r>
    </w:p>
    <w:p w14:paraId="3E380254" w14:textId="77777777">
      <w:pPr>
        <w:pBdr/>
        <w:spacing w:line="257" w:lineRule="atLeast"/>
        <w:ind/>
        <w:jc w:val="both"/>
        <w:rPr>
          <w:color w:val="000000"/>
          <w:szCs w:val="24"/>
        </w:rPr>
      </w:pPr>
      <w:r>
        <w:rPr>
          <w:color w:val="000000"/>
          <w:szCs w:val="24"/>
        </w:rPr>
        <w:t xml:space="preserve">11.4. Sutarties kainos peržiūra atliekama Specialiosiose sąlygose nustatyta tvarka.</w:t>
      </w:r>
      <w:r>
        <w:rPr>
          <w:color w:val="000000"/>
          <w:szCs w:val="24"/>
        </w:rPr>
      </w:r>
      <w:r>
        <w:rPr>
          <w:color w:val="000000"/>
          <w:szCs w:val="24"/>
        </w:rPr>
      </w:r>
    </w:p>
    <w:p w14:paraId="05BE1ED2"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9B10AA5" w14:textId="77777777">
      <w:pPr>
        <w:pBdr/>
        <w:spacing w:line="257" w:lineRule="atLeast"/>
        <w:ind/>
        <w:jc w:val="center"/>
        <w:rPr>
          <w:color w:val="000000"/>
          <w:szCs w:val="24"/>
        </w:rPr>
      </w:pPr>
      <w:r>
        <w:rPr>
          <w:b/>
          <w:bCs/>
          <w:caps/>
          <w:color w:val="000000"/>
          <w:szCs w:val="24"/>
        </w:rPr>
        <w:t xml:space="preserve">12.  ATSISKAITYMO TVARKA</w:t>
      </w:r>
      <w:r>
        <w:rPr>
          <w:color w:val="000000"/>
          <w:szCs w:val="24"/>
        </w:rPr>
      </w:r>
      <w:r>
        <w:rPr>
          <w:color w:val="000000"/>
          <w:szCs w:val="24"/>
        </w:rPr>
      </w:r>
    </w:p>
    <w:p w14:paraId="47F24A29" w14:textId="77777777">
      <w:pPr>
        <w:pBdr/>
        <w:spacing w:line="257" w:lineRule="atLeast"/>
        <w:ind w:firstLine="62"/>
        <w:jc w:val="center"/>
        <w:rPr>
          <w:color w:val="000000"/>
          <w:szCs w:val="24"/>
        </w:rPr>
      </w:pPr>
      <w:r>
        <w:rPr>
          <w:color w:val="000000"/>
          <w:szCs w:val="24"/>
        </w:rPr>
      </w:r>
      <w:r>
        <w:rPr>
          <w:color w:val="000000"/>
          <w:szCs w:val="24"/>
        </w:rPr>
      </w:r>
      <w:r>
        <w:rPr>
          <w:color w:val="000000"/>
          <w:szCs w:val="24"/>
        </w:rPr>
      </w:r>
    </w:p>
    <w:p w14:paraId="3513E827" w14:textId="77777777">
      <w:pPr>
        <w:pBdr/>
        <w:spacing w:line="257" w:lineRule="atLeast"/>
        <w:ind/>
        <w:jc w:val="center"/>
        <w:rPr>
          <w:color w:val="000000"/>
          <w:szCs w:val="24"/>
        </w:rPr>
      </w:pPr>
      <w:r>
        <w:rPr>
          <w:b/>
          <w:bCs/>
          <w:color w:val="000000"/>
          <w:szCs w:val="24"/>
        </w:rPr>
        <w:t xml:space="preserve">12.1.  Išankstinis mokėjimas (avansas) (jei taikoma)</w:t>
      </w:r>
      <w:r>
        <w:rPr>
          <w:color w:val="000000"/>
          <w:szCs w:val="24"/>
        </w:rPr>
      </w:r>
      <w:r>
        <w:rPr>
          <w:color w:val="000000"/>
          <w:szCs w:val="24"/>
        </w:rPr>
      </w:r>
    </w:p>
    <w:p w14:paraId="57BDF12A"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2CD9BFA9" w14:textId="77777777">
      <w:pPr>
        <w:pBdr/>
        <w:spacing w:line="257" w:lineRule="atLeast"/>
        <w:ind/>
        <w:jc w:val="both"/>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 xml:space="preserve">Avansas</w:t>
      </w:r>
      <w:r>
        <w:rPr>
          <w:color w:val="000000"/>
          <w:szCs w:val="24"/>
        </w:rPr>
        <w:t xml:space="preserve">). </w:t>
      </w:r>
      <w:r>
        <w:rPr>
          <w:color w:val="000000"/>
          <w:szCs w:val="24"/>
        </w:rPr>
      </w:r>
      <w:r>
        <w:rPr>
          <w:color w:val="000000"/>
          <w:szCs w:val="24"/>
        </w:rPr>
      </w:r>
    </w:p>
    <w:p w14:paraId="389A8359" w14:textId="77777777">
      <w:pPr>
        <w:pBdr/>
        <w:spacing w:line="257" w:lineRule="atLeast"/>
        <w:ind/>
        <w:jc w:val="both"/>
        <w:rPr>
          <w:color w:val="000000"/>
          <w:szCs w:val="24"/>
        </w:rPr>
      </w:pPr>
      <w:r>
        <w:rPr>
          <w:color w:val="000000"/>
          <w:szCs w:val="24"/>
        </w:rPr>
        <w:t xml:space="preserve">12.1.2. Pirkėjas sumoka Tiekėjui </w:t>
      </w:r>
      <w:r>
        <w:rPr>
          <w:rFonts w:eastAsia="Calibri"/>
          <w:szCs w:val="24"/>
        </w:rPr>
        <w:t xml:space="preserve">ne didesnį kaip Specialiosiose sąlygose nurodyto dydžio Avansą</w:t>
      </w:r>
      <w:r>
        <w:rPr>
          <w:color w:val="000000"/>
          <w:szCs w:val="24"/>
        </w:rPr>
        <w:t xml:space="preserve">.</w:t>
      </w:r>
      <w:r>
        <w:rPr>
          <w:color w:val="000000"/>
          <w:szCs w:val="24"/>
        </w:rPr>
      </w:r>
      <w:r>
        <w:rPr>
          <w:color w:val="000000"/>
          <w:szCs w:val="24"/>
        </w:rPr>
      </w:r>
    </w:p>
    <w:p w14:paraId="1AADB5B7" w14:textId="77777777">
      <w:pPr>
        <w:pBdr/>
        <w:spacing w:line="257" w:lineRule="atLeast"/>
        <w:ind/>
        <w:jc w:val="both"/>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w:t>
      </w:r>
      <w:r>
        <w:rPr>
          <w:color w:val="000000"/>
          <w:szCs w:val="24"/>
        </w:rPr>
        <w:t xml:space="preserve">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 xml:space="preserve">Avanso užtikrinimas</w:t>
      </w:r>
      <w:r>
        <w:rPr>
          <w:color w:val="000000"/>
          <w:szCs w:val="24"/>
        </w:rPr>
        <w:t xml:space="preserve">). </w:t>
      </w:r>
      <w:r>
        <w:rPr>
          <w:color w:val="000000"/>
          <w:szCs w:val="24"/>
        </w:rPr>
      </w:r>
      <w:r>
        <w:rPr>
          <w:color w:val="000000"/>
          <w:szCs w:val="24"/>
        </w:rPr>
      </w:r>
    </w:p>
    <w:p w14:paraId="1520F2CB" w14:textId="77777777">
      <w:pPr>
        <w:pBdr/>
        <w:spacing w:line="257" w:lineRule="atLeast"/>
        <w:ind/>
        <w:jc w:val="both"/>
        <w:rPr>
          <w:color w:val="000000"/>
          <w:szCs w:val="24"/>
        </w:rPr>
      </w:pPr>
      <w:r>
        <w:rPr>
          <w:b/>
          <w:bCs/>
          <w:color w:val="000000"/>
          <w:szCs w:val="24"/>
        </w:rPr>
        <w:t xml:space="preserve">Pastaba.</w:t>
      </w:r>
      <w:r>
        <w:rPr>
          <w:color w:val="000000"/>
          <w:szCs w:val="24"/>
        </w:rPr>
        <w:t xml:space="preserve"> </w:t>
      </w:r>
      <w:r>
        <w:rPr>
          <w:color w:val="000000"/>
          <w:szCs w:val="24"/>
          <w:shd w:val="clear" w:color="auto" w:fill="ffffff"/>
        </w:rPr>
        <w:t xml:space="preserve">Kai Specialiosiose sąlygose nu</w:t>
      </w:r>
      <w:r>
        <w:rPr>
          <w:color w:val="000000"/>
          <w:szCs w:val="24"/>
          <w:shd w:val="clear" w:color="auto" w:fill="ffffff"/>
        </w:rPr>
        <w:t xml:space="preserve">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xml:space="preserve"> </w:t>
      </w:r>
      <w:r>
        <w:rPr>
          <w:color w:val="000000"/>
          <w:szCs w:val="24"/>
          <w:shd w:val="clear" w:color="auto" w:fill="ffffff"/>
        </w:rPr>
        <w:t xml:space="preserve">įstatymų bei kitų teisės aktų</w:t>
      </w:r>
      <w:r>
        <w:rPr>
          <w:color w:val="000000"/>
          <w:szCs w:val="24"/>
        </w:rPr>
        <w:t xml:space="preserve"> </w:t>
      </w:r>
      <w:r>
        <w:rPr>
          <w:color w:val="000000"/>
          <w:szCs w:val="24"/>
          <w:shd w:val="clear" w:color="auto" w:fill="ffffff"/>
        </w:rPr>
        <w:t xml:space="preserve">nuostatas.</w:t>
      </w:r>
      <w:r>
        <w:rPr>
          <w:color w:val="000000"/>
          <w:szCs w:val="24"/>
        </w:rPr>
      </w:r>
      <w:r>
        <w:rPr>
          <w:color w:val="000000"/>
          <w:szCs w:val="24"/>
        </w:rPr>
      </w:r>
    </w:p>
    <w:p w14:paraId="2C0F09E6" w14:textId="77777777">
      <w:pPr>
        <w:pBdr/>
        <w:spacing w:line="257" w:lineRule="atLeast"/>
        <w:ind/>
        <w:jc w:val="both"/>
        <w:rPr>
          <w:szCs w:val="24"/>
        </w:rPr>
      </w:pPr>
      <w:r>
        <w:rPr>
          <w:szCs w:val="24"/>
        </w:rPr>
        <w:t xml:space="preserve">12.1.4. Prieš pateikdam</w:t>
      </w:r>
      <w:r>
        <w:rPr>
          <w:szCs w:val="24"/>
        </w:rPr>
        <w:t xml:space="preserve">as Avanso užtikrinimą, Tiekėjas gali prašyti Pirkėjo patvirtinti, kad Pirkėjas sutinka priimti Tiekėjo siūlomą Avanso užtikrinimą. Tokiu atveju, Pirkėjas privalo atsakyti Tiekėjui ne vėliau kaip per 3 (tris) darbo dienas nuo Tiekėjo prašymo gavimo dienos. </w:t>
      </w:r>
      <w:r>
        <w:rPr>
          <w:szCs w:val="24"/>
        </w:rPr>
      </w:r>
      <w:r>
        <w:rPr>
          <w:szCs w:val="24"/>
        </w:rPr>
      </w:r>
    </w:p>
    <w:p w14:paraId="57FB8037" w14:textId="77777777">
      <w:pPr>
        <w:pBdr/>
        <w:spacing w:line="257" w:lineRule="atLeast"/>
        <w:ind/>
        <w:jc w:val="both"/>
        <w:rPr>
          <w:color w:val="000000"/>
          <w:szCs w:val="24"/>
        </w:rPr>
      </w:pPr>
      <w:r>
        <w:rPr>
          <w:color w:val="000000"/>
          <w:szCs w:val="24"/>
        </w:rPr>
        <w:t xml:space="preserve">12.1.5. Avanso užtikrinimu bankas (draudimo bendrovė) privalo neatšaukiamai ir besąlygiškai įsipareigoti ne vėl</w:t>
      </w:r>
      <w:r>
        <w:rPr>
          <w:color w:val="000000"/>
          <w:szCs w:val="24"/>
        </w:rPr>
        <w:t xml:space="preserve">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r>
        <w:rPr>
          <w:color w:val="000000"/>
          <w:szCs w:val="24"/>
        </w:rPr>
      </w:r>
      <w:r>
        <w:rPr>
          <w:color w:val="000000"/>
          <w:szCs w:val="24"/>
        </w:rPr>
      </w:r>
    </w:p>
    <w:p w14:paraId="667298A4" w14:textId="77777777">
      <w:pPr>
        <w:pBdr/>
        <w:spacing w:line="257" w:lineRule="atLeast"/>
        <w:ind/>
        <w:jc w:val="both"/>
        <w:rPr>
          <w:color w:val="000000"/>
          <w:szCs w:val="24"/>
        </w:rPr>
      </w:pPr>
      <w:r>
        <w:rPr>
          <w:color w:val="000000"/>
          <w:szCs w:val="24"/>
        </w:rPr>
        <w:t xml:space="preserve">12.1.6. Bankas (draudimo bendrovė) neturi teisės reikalauti, kad Pirkėjas pagrįstų savo re</w:t>
      </w:r>
      <w:r>
        <w:rPr>
          <w:color w:val="000000"/>
          <w:szCs w:val="24"/>
        </w:rPr>
        <w:t xml:space="preserve">ikalavimą. Pirkėjas pranešime bankui (draudimo bendrovei) nurodys, kad Avanso užtikrinimo suma jam priklauso dėl to, kad Tiekėjas iš dalies ar visiškai neįvykdė Sutarties sąlygų ir (arba) ji buvo nutraukta dėl Tiekėjo kaltės ir Tiekėjas negrąžino Avanso.  </w:t>
      </w:r>
      <w:r>
        <w:rPr>
          <w:color w:val="000000"/>
          <w:szCs w:val="24"/>
        </w:rPr>
      </w:r>
      <w:r>
        <w:rPr>
          <w:color w:val="000000"/>
          <w:szCs w:val="24"/>
        </w:rPr>
      </w:r>
    </w:p>
    <w:p w14:paraId="5556C38A" w14:textId="77777777">
      <w:pPr>
        <w:pBdr/>
        <w:spacing w:line="257" w:lineRule="atLeast"/>
        <w:ind/>
        <w:jc w:val="both"/>
        <w:rPr>
          <w:color w:val="000000"/>
          <w:szCs w:val="24"/>
        </w:rPr>
      </w:pPr>
      <w:r>
        <w:rPr>
          <w:color w:val="000000"/>
          <w:szCs w:val="24"/>
        </w:rPr>
        <w:t xml:space="preserve">12.1.7. Avanso užtikrinimo suma turi būti nurodoma ir išmokama eurais. </w:t>
      </w:r>
      <w:r>
        <w:rPr>
          <w:color w:val="000000"/>
          <w:szCs w:val="24"/>
        </w:rPr>
      </w:r>
      <w:r>
        <w:rPr>
          <w:color w:val="000000"/>
          <w:szCs w:val="24"/>
        </w:rPr>
      </w:r>
    </w:p>
    <w:p w14:paraId="7C98578D" w14:textId="77777777">
      <w:pPr>
        <w:pBdr/>
        <w:spacing w:line="257" w:lineRule="atLeast"/>
        <w:ind/>
        <w:jc w:val="both"/>
        <w:rPr>
          <w:color w:val="000000"/>
          <w:szCs w:val="24"/>
        </w:rPr>
      </w:pPr>
      <w:r>
        <w:rPr>
          <w:color w:val="000000"/>
          <w:szCs w:val="24"/>
        </w:rPr>
        <w:t xml:space="preserve">12.1.8. Avanso užtikrinimas turi būti surašytas lietuvių arba kita kalba (esant Pirkėjo prašymui, turi būti pateiktas vertimas į lietuvių kalbą). </w:t>
      </w:r>
      <w:r>
        <w:rPr>
          <w:color w:val="000000"/>
          <w:szCs w:val="24"/>
        </w:rPr>
      </w:r>
      <w:r>
        <w:rPr>
          <w:color w:val="000000"/>
          <w:szCs w:val="24"/>
        </w:rPr>
      </w:r>
    </w:p>
    <w:p w14:paraId="7B63B4EE" w14:textId="77777777">
      <w:pPr>
        <w:pBdr/>
        <w:spacing w:line="257" w:lineRule="atLeast"/>
        <w:ind/>
        <w:jc w:val="both"/>
        <w:rPr>
          <w:color w:val="000000"/>
          <w:szCs w:val="24"/>
        </w:rPr>
      </w:pPr>
      <w:r>
        <w:rPr>
          <w:color w:val="000000"/>
          <w:szCs w:val="24"/>
        </w:rPr>
        <w:t xml:space="preserve">12.1.9. Avanso užtikrinimas, neatitinkantis šiame Sutarties poskyryje nustatytų reikalavimų, nebus priimamas. </w:t>
      </w:r>
      <w:r>
        <w:rPr>
          <w:color w:val="000000"/>
          <w:szCs w:val="24"/>
        </w:rPr>
      </w:r>
      <w:r>
        <w:rPr>
          <w:color w:val="000000"/>
          <w:szCs w:val="24"/>
        </w:rPr>
      </w:r>
    </w:p>
    <w:p w14:paraId="3B210047" w14:textId="77777777">
      <w:pPr>
        <w:pBdr/>
        <w:spacing w:line="257" w:lineRule="atLeast"/>
        <w:ind/>
        <w:jc w:val="both"/>
        <w:rPr>
          <w:color w:val="000000"/>
          <w:szCs w:val="24"/>
        </w:rPr>
      </w:pPr>
      <w:r>
        <w:rPr>
          <w:color w:val="000000"/>
          <w:szCs w:val="24"/>
        </w:rPr>
        <w:t xml:space="preserve">12.1.10. Jei Sutarties vy</w:t>
      </w:r>
      <w:r>
        <w:rPr>
          <w:color w:val="000000"/>
          <w:szCs w:val="24"/>
        </w:rPr>
        <w:t xml:space="preserve">kdymo metu Avanso užtikrinimą išdavęs bankas (draudimo bendrovė) negali įvykdyti savo įsipareigojimų, Pirkėjas gali raštu pareikalauti Tiekėjo per 10 (dešimt) darbo dienų pateikti naują Avanso užtikrinimą, tokiomis pačiomis sąlygomis kaip ir ankstesnysis. </w:t>
      </w:r>
      <w:r>
        <w:rPr>
          <w:color w:val="000000"/>
          <w:szCs w:val="24"/>
        </w:rPr>
      </w:r>
      <w:r>
        <w:rPr>
          <w:color w:val="000000"/>
          <w:szCs w:val="24"/>
        </w:rPr>
      </w:r>
    </w:p>
    <w:p w14:paraId="7C147A55" w14:textId="77777777">
      <w:pPr>
        <w:pBdr/>
        <w:spacing w:line="257" w:lineRule="atLeast"/>
        <w:ind/>
        <w:jc w:val="both"/>
        <w:rPr>
          <w:color w:val="000000"/>
          <w:szCs w:val="24"/>
        </w:rPr>
      </w:pPr>
      <w:r>
        <w:rPr>
          <w:color w:val="000000"/>
          <w:szCs w:val="24"/>
        </w:rPr>
        <w:t xml:space="preserve">12.1.11. Pirkėjas sumoka Tiekėjui avansą per Specialiosiose sąlygose numatytą terminą nuo išankstinio mokėjimo sąskaitos ir Avanso užtikrinimo (jei taikoma) gavimo dienos. Sumokėto avanso suma išskaitoma iš mokėtinos sumos. </w:t>
      </w:r>
      <w:r>
        <w:rPr>
          <w:color w:val="000000"/>
          <w:szCs w:val="24"/>
        </w:rPr>
      </w:r>
      <w:r>
        <w:rPr>
          <w:color w:val="000000"/>
          <w:szCs w:val="24"/>
        </w:rPr>
      </w:r>
    </w:p>
    <w:p w14:paraId="38A60737" w14:textId="77777777">
      <w:pPr>
        <w:pBdr/>
        <w:spacing w:line="257" w:lineRule="atLeast"/>
        <w:ind/>
        <w:jc w:val="both"/>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w:t>
      </w:r>
      <w:r>
        <w:rPr>
          <w:color w:val="000000"/>
          <w:szCs w:val="24"/>
        </w:rPr>
        <w:t xml:space="preserve">ų Prekių kainą). Jei Tiekėjas negrąžina gauto Avanso, Pirkėjas pasinaudoja Avanso užtikrinimu (jei taikoma). Tais atvejais, jei nebuvo taikytas Bendrųjų sąlygų 12.1.3 punktas, Tiekėjas turi sumokėti Specialiosiose sąlygose nurodyto dydžio netesybas, skaiči</w:t>
      </w:r>
      <w:r>
        <w:rPr>
          <w:color w:val="000000"/>
          <w:szCs w:val="24"/>
        </w:rPr>
        <w:t xml:space="preserve">uojamas nuo grąžintinos Avanso sumos už laikotarpį nuo Avanso išmokėjimo iki jo grąžinimo.</w:t>
      </w:r>
      <w:r>
        <w:rPr>
          <w:color w:val="000000"/>
          <w:szCs w:val="24"/>
        </w:rPr>
      </w:r>
      <w:r>
        <w:rPr>
          <w:color w:val="000000"/>
          <w:szCs w:val="24"/>
        </w:rPr>
      </w:r>
    </w:p>
    <w:p w14:paraId="546F9807"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8283695" w14:textId="77777777">
      <w:pPr>
        <w:pBdr/>
        <w:spacing w:line="257" w:lineRule="atLeast"/>
        <w:ind/>
        <w:jc w:val="center"/>
        <w:rPr>
          <w:color w:val="000000"/>
          <w:szCs w:val="24"/>
        </w:rPr>
      </w:pPr>
      <w:r>
        <w:rPr>
          <w:b/>
          <w:bCs/>
          <w:color w:val="000000"/>
          <w:szCs w:val="24"/>
        </w:rPr>
        <w:t xml:space="preserve">12.2.  Mokėjimų tvarka</w:t>
      </w:r>
      <w:r>
        <w:rPr>
          <w:color w:val="000000"/>
          <w:szCs w:val="24"/>
        </w:rPr>
      </w:r>
      <w:r>
        <w:rPr>
          <w:color w:val="000000"/>
          <w:szCs w:val="24"/>
        </w:rPr>
      </w:r>
    </w:p>
    <w:p w14:paraId="19C2DD81"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3B85C80" w14:textId="77777777">
      <w:pPr>
        <w:pBdr/>
        <w:spacing w:line="257" w:lineRule="atLeast"/>
        <w:ind/>
        <w:jc w:val="both"/>
        <w:rPr>
          <w:color w:val="000000"/>
          <w:szCs w:val="24"/>
        </w:rPr>
      </w:pPr>
      <w:r>
        <w:rPr>
          <w:color w:val="000000"/>
          <w:szCs w:val="24"/>
        </w:rPr>
        <w:t xml:space="preserve">12.2.1. Tiekėjas išrašo Sąskaitą tik Šalims pasirašius Prekių perdavimo–priėmimo aktą, jeigu kitaip nenumatyta Specialiosiose sąlygose:</w:t>
      </w:r>
      <w:r>
        <w:rPr>
          <w:color w:val="000000"/>
          <w:szCs w:val="24"/>
        </w:rPr>
      </w:r>
      <w:r>
        <w:rPr>
          <w:color w:val="000000"/>
          <w:szCs w:val="24"/>
        </w:rPr>
      </w:r>
    </w:p>
    <w:p w14:paraId="32C19502" w14:textId="77777777">
      <w:pPr>
        <w:pBdr/>
        <w:spacing w:line="257" w:lineRule="atLeast"/>
        <w:ind/>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 xml:space="preserve">(ES)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 xml:space="preserve">2014/55/ES</w:t>
      </w:r>
      <w:r>
        <w:rPr>
          <w:color w:val="000000"/>
          <w:szCs w:val="24"/>
        </w:rPr>
        <w:t xml:space="preserve"> (toliau – </w:t>
      </w:r>
      <w:r>
        <w:rPr>
          <w:b/>
          <w:bCs/>
          <w:color w:val="000000"/>
          <w:szCs w:val="24"/>
        </w:rPr>
        <w:t xml:space="preserve">Europos elektroninių sąskaitų faktūrų</w:t>
      </w:r>
      <w:r>
        <w:rPr>
          <w:color w:val="000000"/>
          <w:szCs w:val="24"/>
        </w:rPr>
        <w:t xml:space="preserve"> </w:t>
      </w:r>
      <w:r>
        <w:rPr>
          <w:b/>
          <w:bCs/>
          <w:color w:val="000000"/>
          <w:szCs w:val="24"/>
        </w:rPr>
        <w:t xml:space="preserve">standartas</w:t>
      </w:r>
      <w:r>
        <w:rPr>
          <w:color w:val="000000"/>
          <w:szCs w:val="24"/>
        </w:rPr>
        <w:t xml:space="preserve">), Tiekėjas gali pateikti </w:t>
      </w:r>
      <w:r>
        <w:rPr>
          <w:rFonts w:eastAsia="Arial"/>
          <w:szCs w:val="24"/>
        </w:rPr>
        <w:t xml:space="preserve">pasirinktomis priemonėmis</w:t>
      </w:r>
      <w:r>
        <w:rPr>
          <w:color w:val="000000"/>
          <w:szCs w:val="24"/>
        </w:rPr>
        <w:t xml:space="preserve">;</w:t>
      </w:r>
      <w:r>
        <w:rPr>
          <w:color w:val="000000"/>
          <w:szCs w:val="24"/>
        </w:rPr>
      </w:r>
      <w:r>
        <w:rPr>
          <w:color w:val="000000"/>
          <w:szCs w:val="24"/>
        </w:rPr>
      </w:r>
    </w:p>
    <w:p w14:paraId="477E46E4" w14:textId="77777777">
      <w:pPr>
        <w:pBdr/>
        <w:spacing w:line="257" w:lineRule="atLeast"/>
        <w:ind/>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szCs w:val="24"/>
        </w:rPr>
        <w:t xml:space="preserve">gali teikti tik naudodamasis Sąskaitų administravimo bendrosios informacinės sistemos (toliau – </w:t>
      </w:r>
      <w:r>
        <w:rPr>
          <w:rFonts w:eastAsia="Arial"/>
          <w:b/>
          <w:bCs/>
          <w:szCs w:val="24"/>
        </w:rPr>
        <w:t xml:space="preserve">SABIS</w:t>
      </w:r>
      <w:r>
        <w:rPr>
          <w:rFonts w:eastAsia="Arial"/>
          <w:szCs w:val="24"/>
        </w:rPr>
        <w:t xml:space="preserve">) priemonėmis</w:t>
      </w:r>
      <w:r>
        <w:rPr>
          <w:color w:val="000000"/>
          <w:szCs w:val="24"/>
        </w:rPr>
        <w:t xml:space="preserve">.</w:t>
      </w:r>
      <w:r>
        <w:rPr>
          <w:color w:val="000000"/>
          <w:szCs w:val="24"/>
        </w:rPr>
      </w:r>
      <w:r>
        <w:rPr>
          <w:color w:val="000000"/>
          <w:szCs w:val="24"/>
        </w:rPr>
      </w:r>
    </w:p>
    <w:p w14:paraId="52727883" w14:textId="77777777">
      <w:pPr>
        <w:pBdr/>
        <w:spacing w:line="257" w:lineRule="atLeast"/>
        <w:ind/>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szCs w:val="24"/>
        </w:rPr>
        <w:t xml:space="preserve">išskyrus jeigu mobilizacijos, karo ar nepaprastosios padėties atveju yra informacinės sistemos SABIS pažeidimų, dėl kurių negalimas Pirkėjo ir Tiekėjo bendravimas ir keitimasis informacija naudojantis SABIS</w:t>
      </w:r>
      <w:r>
        <w:rPr>
          <w:color w:val="000000"/>
          <w:szCs w:val="24"/>
        </w:rPr>
        <w:t xml:space="preserve">.</w:t>
      </w:r>
      <w:r>
        <w:rPr>
          <w:color w:val="000000"/>
          <w:szCs w:val="24"/>
        </w:rPr>
      </w:r>
      <w:r>
        <w:rPr>
          <w:color w:val="000000"/>
          <w:szCs w:val="24"/>
        </w:rPr>
      </w:r>
    </w:p>
    <w:p w14:paraId="0C8611B5" w14:textId="77777777">
      <w:pPr>
        <w:pBdr/>
        <w:spacing w:line="257" w:lineRule="atLeast"/>
        <w:ind/>
        <w:jc w:val="both"/>
        <w:rPr>
          <w:color w:val="000000"/>
          <w:szCs w:val="24"/>
        </w:rPr>
      </w:pPr>
      <w:r>
        <w:rPr>
          <w:color w:val="000000"/>
          <w:szCs w:val="24"/>
        </w:rPr>
        <w:t xml:space="preserve">12.2.3. Išankstinio mokėjimo sąskaitas (jeigu Specialiosiose sąlygose yra numatytas Avanso mokėjimas) Tiekėjas privalo pateikti šiame Sutarties poskyryje nustatyta tvarka.</w:t>
      </w:r>
      <w:r>
        <w:rPr>
          <w:color w:val="000000"/>
          <w:szCs w:val="24"/>
        </w:rPr>
      </w:r>
      <w:r>
        <w:rPr>
          <w:color w:val="000000"/>
          <w:szCs w:val="24"/>
        </w:rPr>
      </w:r>
    </w:p>
    <w:p w14:paraId="0E62179C" w14:textId="77777777">
      <w:pPr>
        <w:pBdr/>
        <w:spacing w:line="257" w:lineRule="atLeast"/>
        <w:ind/>
        <w:jc w:val="both"/>
        <w:rPr>
          <w:color w:val="000000"/>
          <w:szCs w:val="24"/>
        </w:rPr>
      </w:pPr>
      <w:r>
        <w:rPr>
          <w:color w:val="000000"/>
          <w:szCs w:val="24"/>
        </w:rPr>
        <w:t xml:space="preserve">12.2.4. Pirkėjas atlieka mokėjimus už Prekes Specialiosiose sąlygose nustatytais terminais.</w:t>
      </w:r>
      <w:r>
        <w:rPr>
          <w:color w:val="000000"/>
          <w:szCs w:val="24"/>
        </w:rPr>
      </w:r>
      <w:r>
        <w:rPr>
          <w:color w:val="000000"/>
          <w:szCs w:val="24"/>
        </w:rPr>
      </w:r>
    </w:p>
    <w:p w14:paraId="643080C1" w14:textId="77777777">
      <w:pPr>
        <w:pBdr/>
        <w:spacing w:line="257" w:lineRule="atLeast"/>
        <w:ind/>
        <w:jc w:val="both"/>
        <w:rPr>
          <w:color w:val="000000"/>
          <w:szCs w:val="24"/>
        </w:rPr>
      </w:pPr>
      <w:r>
        <w:rPr>
          <w:color w:val="000000"/>
          <w:szCs w:val="24"/>
        </w:rPr>
        <w:t xml:space="preserve">12.2.5. Už mokėjimų pagal Sutartį vėlavimus, Pirkėjui taikomos netesybos Specialiosiose sąlygose nustatyta tvarka.</w:t>
      </w:r>
      <w:r>
        <w:rPr>
          <w:color w:val="000000"/>
          <w:szCs w:val="24"/>
        </w:rPr>
      </w:r>
      <w:r>
        <w:rPr>
          <w:color w:val="000000"/>
          <w:szCs w:val="24"/>
        </w:rPr>
      </w:r>
    </w:p>
    <w:p w14:paraId="33C85816" w14:textId="77777777">
      <w:pPr>
        <w:pBdr/>
        <w:spacing w:line="257" w:lineRule="atLeast"/>
        <w:ind/>
        <w:jc w:val="both"/>
        <w:rPr>
          <w:color w:val="000000"/>
          <w:szCs w:val="24"/>
        </w:rPr>
      </w:pPr>
      <w:r>
        <w:rPr>
          <w:color w:val="000000"/>
          <w:szCs w:val="24"/>
        </w:rPr>
        <w:t xml:space="preserve">12.2.6. Jei Prekės pristatomos dalimis, aukščiau nurodyta atsiskaitymo tvarka galioja kiekvienai tokiai daliai, jei Specialiosiose sąlygose nenustatyta kitaip.</w:t>
      </w:r>
      <w:r>
        <w:rPr>
          <w:color w:val="000000"/>
          <w:szCs w:val="24"/>
        </w:rPr>
      </w:r>
      <w:r>
        <w:rPr>
          <w:color w:val="000000"/>
          <w:szCs w:val="24"/>
        </w:rPr>
      </w:r>
    </w:p>
    <w:p w14:paraId="27E81404" w14:textId="77777777">
      <w:pPr>
        <w:pBdr/>
        <w:spacing w:line="257" w:lineRule="atLeast"/>
        <w:ind/>
        <w:jc w:val="both"/>
        <w:rPr>
          <w:color w:val="000000"/>
          <w:szCs w:val="24"/>
        </w:rPr>
      </w:pPr>
      <w:r>
        <w:rPr>
          <w:color w:val="000000"/>
          <w:szCs w:val="24"/>
        </w:rPr>
        <w:t xml:space="preserve">12.2.7. Jeigu Šalys sudaro trišalį susitarimą su subtiekėju, Pirkėjas privalo pervesti subtiekėjui mokėtiną sumą į subtiekėjo </w:t>
      </w:r>
      <w:r>
        <w:rPr>
          <w:color w:val="000000"/>
          <w:szCs w:val="24"/>
        </w:rPr>
        <w:t xml:space="preserve">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color w:val="000000"/>
          <w:szCs w:val="24"/>
        </w:rPr>
      </w:r>
      <w:r>
        <w:rPr>
          <w:color w:val="000000"/>
          <w:szCs w:val="24"/>
        </w:rPr>
      </w:r>
    </w:p>
    <w:p w14:paraId="0D54B6F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05FD0A70" w14:textId="77777777">
      <w:pPr>
        <w:pBdr/>
        <w:spacing w:line="257" w:lineRule="atLeast"/>
        <w:ind/>
        <w:jc w:val="center"/>
        <w:rPr>
          <w:color w:val="000000"/>
          <w:szCs w:val="24"/>
        </w:rPr>
      </w:pPr>
      <w:r>
        <w:rPr>
          <w:b/>
          <w:bCs/>
          <w:color w:val="000000"/>
          <w:szCs w:val="24"/>
        </w:rPr>
        <w:t xml:space="preserve">12.3.  Kiti atsiskaitymo klausimai</w:t>
      </w:r>
      <w:r>
        <w:rPr>
          <w:color w:val="000000"/>
          <w:szCs w:val="24"/>
        </w:rPr>
      </w:r>
      <w:r>
        <w:rPr>
          <w:color w:val="000000"/>
          <w:szCs w:val="24"/>
        </w:rPr>
      </w:r>
    </w:p>
    <w:p w14:paraId="57862E32"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1A72741" w14:textId="77777777">
      <w:pPr>
        <w:pBdr/>
        <w:spacing w:line="257" w:lineRule="atLeast"/>
        <w:ind/>
        <w:jc w:val="both"/>
        <w:rPr>
          <w:color w:val="000000"/>
          <w:szCs w:val="24"/>
        </w:rPr>
      </w:pPr>
      <w:r>
        <w:rPr>
          <w:color w:val="000000"/>
          <w:szCs w:val="24"/>
        </w:rPr>
        <w:t xml:space="preserve">12.3.1. Pirkėjas privalo pervesti mokėjimus Tiekėjui į Tiekėjo banko sąskaitą, nurodytą Specialiosiose sąlygose.</w:t>
      </w:r>
      <w:r>
        <w:rPr>
          <w:color w:val="000000"/>
          <w:szCs w:val="24"/>
        </w:rPr>
      </w:r>
      <w:r>
        <w:rPr>
          <w:color w:val="000000"/>
          <w:szCs w:val="24"/>
        </w:rPr>
      </w:r>
    </w:p>
    <w:p w14:paraId="1499C275" w14:textId="77777777">
      <w:pPr>
        <w:pBdr/>
        <w:spacing w:line="257" w:lineRule="atLeast"/>
        <w:ind/>
        <w:jc w:val="both"/>
        <w:rPr>
          <w:color w:val="000000"/>
          <w:szCs w:val="24"/>
        </w:rPr>
      </w:pPr>
      <w:r>
        <w:rPr>
          <w:color w:val="000000"/>
          <w:szCs w:val="24"/>
        </w:rPr>
        <w:t xml:space="preserve">12.3.2. Pirkėjas turi teisę sumas, gautinas iš Tiekėjo, išskaityti i</w:t>
      </w:r>
      <w:r>
        <w:rPr>
          <w:color w:val="000000"/>
          <w:szCs w:val="24"/>
        </w:rPr>
        <w:t xml:space="preserve">š mokėjimų Tiekėjui pagal Sutartį (vienašališkai daryti įskaitymus). Dėl šios priežasties Tiekėjas neturi teisės perleisti arba įkeisti reikalavimo teisių į gautinas pagal Sutartį sumas tretiesiems asmenims arba kitaip jomis disponuoti be Pirkėjo sutikimo.</w:t>
      </w:r>
      <w:r>
        <w:rPr>
          <w:color w:val="000000"/>
          <w:szCs w:val="24"/>
        </w:rPr>
      </w:r>
      <w:r>
        <w:rPr>
          <w:color w:val="000000"/>
          <w:szCs w:val="24"/>
        </w:rPr>
      </w:r>
    </w:p>
    <w:p w14:paraId="69C5ADCF" w14:textId="77777777">
      <w:pPr>
        <w:pBdr/>
        <w:spacing w:line="257" w:lineRule="atLeast"/>
        <w:ind/>
        <w:jc w:val="both"/>
        <w:rPr>
          <w:color w:val="000000"/>
          <w:szCs w:val="24"/>
        </w:rPr>
      </w:pPr>
      <w:r>
        <w:rPr>
          <w:color w:val="000000"/>
          <w:szCs w:val="24"/>
        </w:rPr>
        <w:t xml:space="preserve">12.3.3. Visi mokėjimai pagal Sutartį atliekami eurais.</w:t>
      </w:r>
      <w:r>
        <w:rPr>
          <w:color w:val="000000"/>
          <w:szCs w:val="24"/>
        </w:rPr>
      </w:r>
      <w:r>
        <w:rPr>
          <w:color w:val="000000"/>
          <w:szCs w:val="24"/>
        </w:rPr>
      </w:r>
    </w:p>
    <w:p w14:paraId="5FA9DDF3" w14:textId="77777777">
      <w:pPr>
        <w:pBdr/>
        <w:spacing w:line="257" w:lineRule="atLeast"/>
        <w:ind/>
        <w:jc w:val="both"/>
        <w:rPr>
          <w:color w:val="000000"/>
          <w:szCs w:val="24"/>
        </w:rPr>
      </w:pPr>
      <w:r>
        <w:rPr>
          <w:color w:val="000000"/>
          <w:szCs w:val="24"/>
        </w:rPr>
        <w:t xml:space="preserve">12.3.4. Už pavėluotus mokėjimus pagal Sutartį mokančioji Šalis privalo sumokėti kitai Šaliai Specialiosiose sąlygose nurodyto dydžio netesybas.</w:t>
      </w:r>
      <w:r>
        <w:rPr>
          <w:color w:val="000000"/>
          <w:szCs w:val="24"/>
        </w:rPr>
      </w:r>
      <w:r>
        <w:rPr>
          <w:color w:val="000000"/>
          <w:szCs w:val="24"/>
        </w:rPr>
      </w:r>
    </w:p>
    <w:p w14:paraId="12B4A7D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798BB67" w14:textId="77777777">
      <w:pPr>
        <w:pBdr/>
        <w:spacing w:line="257" w:lineRule="atLeast"/>
        <w:ind/>
        <w:jc w:val="center"/>
        <w:rPr>
          <w:color w:val="000000"/>
          <w:szCs w:val="24"/>
        </w:rPr>
      </w:pPr>
      <w:r>
        <w:rPr>
          <w:b/>
          <w:bCs/>
          <w:caps/>
          <w:color w:val="000000"/>
          <w:szCs w:val="24"/>
        </w:rPr>
        <w:t xml:space="preserve">13.  KONFIDENCIALI INFORMACIJA</w:t>
      </w:r>
      <w:r>
        <w:rPr>
          <w:color w:val="000000"/>
          <w:szCs w:val="24"/>
        </w:rPr>
      </w:r>
      <w:r>
        <w:rPr>
          <w:color w:val="000000"/>
          <w:szCs w:val="24"/>
        </w:rPr>
      </w:r>
    </w:p>
    <w:p w14:paraId="795A2A64"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3194594" w14:textId="77777777">
      <w:pPr>
        <w:pBdr/>
        <w:spacing w:line="257" w:lineRule="atLeast"/>
        <w:ind/>
        <w:jc w:val="both"/>
        <w:rPr>
          <w:color w:val="000000"/>
          <w:szCs w:val="24"/>
        </w:rPr>
      </w:pPr>
      <w:r>
        <w:rPr>
          <w:color w:val="000000"/>
          <w:szCs w:val="24"/>
        </w:rPr>
        <w:t xml:space="preserve">13.1. Šalys įsipareigoja laikytis konfidencialumo ir be kitos Šalies rašytinio suti</w:t>
      </w:r>
      <w:r>
        <w:rPr>
          <w:color w:val="000000"/>
          <w:szCs w:val="24"/>
        </w:rPr>
        <w:t xml:space="preserve">kimo neatskleisti tos Šalies informacijos, nurodytos kaip konfidencialios, jokiems Šalies darbuotojams, su Šalimi susijusiems ar kitiems tretiesiems asmenims, kuriems nėra būtina šią informaciją naudoti jų darbo tikslais, išskyrus žemiau nurodytus atvejus.</w:t>
      </w:r>
      <w:r>
        <w:rPr>
          <w:color w:val="000000"/>
          <w:szCs w:val="24"/>
        </w:rPr>
      </w:r>
      <w:r>
        <w:rPr>
          <w:color w:val="000000"/>
          <w:szCs w:val="24"/>
        </w:rPr>
      </w:r>
    </w:p>
    <w:p w14:paraId="4B8EECFF" w14:textId="77777777">
      <w:pPr>
        <w:pBdr/>
        <w:spacing w:line="257" w:lineRule="atLeast"/>
        <w:ind/>
        <w:jc w:val="both"/>
        <w:rPr>
          <w:color w:val="000000"/>
          <w:szCs w:val="24"/>
        </w:rPr>
      </w:pPr>
      <w:r>
        <w:rPr>
          <w:color w:val="000000"/>
          <w:szCs w:val="24"/>
        </w:rPr>
        <w:t xml:space="preserve">13.2.  Šalis turi teisę atskleisti kitos Šalies konfidencialią informaciją šiais atvejais:</w:t>
      </w:r>
      <w:r>
        <w:rPr>
          <w:color w:val="000000"/>
          <w:szCs w:val="24"/>
        </w:rPr>
      </w:r>
      <w:r>
        <w:rPr>
          <w:color w:val="000000"/>
          <w:szCs w:val="24"/>
        </w:rPr>
      </w:r>
    </w:p>
    <w:p w14:paraId="4526CF40" w14:textId="77777777">
      <w:pPr>
        <w:pBdr/>
        <w:spacing w:line="257" w:lineRule="atLeast"/>
        <w:ind/>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w:t>
      </w:r>
      <w:r>
        <w:rPr>
          <w:color w:val="000000"/>
          <w:szCs w:val="24"/>
        </w:rPr>
        <w:t xml:space="preserve">mui, ir tik tokiems tretiesiems asmenims, kuriems būtina, su sąlyga, kad konfidencialią informaciją gaunantys tretieji asmenys prisiima tokius pačius konfidencialumo įsipareigojimus, kokie yra nustatyti šioje Sutartyje. Jeigu tretieji asmenys atskleidžia k</w:t>
      </w:r>
      <w:r>
        <w:rPr>
          <w:color w:val="000000"/>
          <w:szCs w:val="24"/>
        </w:rPr>
        <w:t xml:space="preserve">onfidencialią informaciją, Šalis atsako už jų veiksmus kaip už savo;</w:t>
      </w:r>
      <w:r>
        <w:rPr>
          <w:color w:val="000000"/>
          <w:szCs w:val="24"/>
        </w:rPr>
      </w:r>
      <w:r>
        <w:rPr>
          <w:color w:val="000000"/>
          <w:szCs w:val="24"/>
        </w:rPr>
      </w:r>
    </w:p>
    <w:p w14:paraId="7CE99134" w14:textId="77777777">
      <w:pPr>
        <w:pBdr/>
        <w:spacing w:line="257" w:lineRule="atLeast"/>
        <w:ind/>
        <w:jc w:val="both"/>
        <w:rPr>
          <w:color w:val="000000"/>
          <w:szCs w:val="24"/>
        </w:rPr>
      </w:pPr>
      <w:r>
        <w:rPr>
          <w:color w:val="000000"/>
          <w:szCs w:val="24"/>
        </w:rPr>
        <w:t xml:space="preserve">13.2.2. konfidencialią informaciją yra būtina atskleisti pagal įstatymų bei kitų teisės aktų reikalavimus, įskaitant atvejus, kai to reikalauja viešojo administravimo subjektai, taip, kaip jie apibrėžti Lietuvos Respublikos viešojo administravimo įstatyme.</w:t>
      </w:r>
      <w:r>
        <w:rPr>
          <w:color w:val="000000"/>
          <w:szCs w:val="24"/>
        </w:rPr>
      </w:r>
      <w:r>
        <w:rPr>
          <w:color w:val="000000"/>
          <w:szCs w:val="24"/>
        </w:rPr>
      </w:r>
    </w:p>
    <w:p w14:paraId="2774789F" w14:textId="77777777">
      <w:pPr>
        <w:pBdr/>
        <w:spacing w:line="257" w:lineRule="atLeast"/>
        <w:ind/>
        <w:jc w:val="both"/>
        <w:rPr>
          <w:color w:val="000000"/>
          <w:szCs w:val="24"/>
        </w:rPr>
      </w:pPr>
      <w:r>
        <w:rPr>
          <w:color w:val="000000"/>
          <w:szCs w:val="24"/>
        </w:rPr>
        <w:t xml:space="preserve">13.3. Prieš atskleisdama konfidencialią informaciją, Šalis privalo informuoti kitą Šalį (tiek, kie</w:t>
      </w:r>
      <w:r>
        <w:rPr>
          <w:color w:val="000000"/>
          <w:szCs w:val="24"/>
        </w:rPr>
        <w:t xml:space="preserve">k tai nedraudžiama pagal įstatymus bei kitus teisės aktus) apie būtinybę arba gautą viešojo administravimo subjekto reikalavimą atskleisti konfidencialią informaciją ir imtis protingų priemonių, siekdama užtikrinti atskleistos informacijos konfidencialumą.</w:t>
      </w:r>
      <w:r>
        <w:rPr>
          <w:color w:val="000000"/>
          <w:szCs w:val="24"/>
        </w:rPr>
      </w:r>
      <w:r>
        <w:rPr>
          <w:color w:val="000000"/>
          <w:szCs w:val="24"/>
        </w:rPr>
      </w:r>
    </w:p>
    <w:p w14:paraId="3A4421A3" w14:textId="77777777">
      <w:pPr>
        <w:pBdr/>
        <w:spacing w:line="257" w:lineRule="atLeast"/>
        <w:ind/>
        <w:jc w:val="both"/>
        <w:rPr>
          <w:color w:val="000000"/>
          <w:szCs w:val="24"/>
        </w:rPr>
      </w:pPr>
      <w:r>
        <w:rPr>
          <w:color w:val="000000"/>
          <w:szCs w:val="24"/>
        </w:rPr>
        <w:t xml:space="preserve">13.4. Šalis atsako:</w:t>
      </w:r>
      <w:r>
        <w:rPr>
          <w:color w:val="000000"/>
          <w:szCs w:val="24"/>
        </w:rPr>
      </w:r>
      <w:r>
        <w:rPr>
          <w:color w:val="000000"/>
          <w:szCs w:val="24"/>
        </w:rPr>
      </w:r>
    </w:p>
    <w:p w14:paraId="62CB34B1" w14:textId="77777777">
      <w:pPr>
        <w:pBdr/>
        <w:spacing w:line="257" w:lineRule="atLeast"/>
        <w:ind/>
        <w:jc w:val="both"/>
        <w:rPr>
          <w:color w:val="000000"/>
          <w:szCs w:val="24"/>
        </w:rPr>
      </w:pPr>
      <w:r>
        <w:rPr>
          <w:color w:val="000000"/>
          <w:szCs w:val="24"/>
        </w:rPr>
        <w:t xml:space="preserve">13.4.1. už bet kokį neteisėtą, įskaitant atsitiktinį, kitos Šalies konfidencialios informacijos ar bet kurios jos dalies atskleidimą ar perdavimą arba konfidencialios informacijos neteisėtą naudojimą;</w:t>
      </w:r>
      <w:r>
        <w:rPr>
          <w:color w:val="000000"/>
          <w:szCs w:val="24"/>
        </w:rPr>
      </w:r>
      <w:r>
        <w:rPr>
          <w:color w:val="000000"/>
          <w:szCs w:val="24"/>
        </w:rPr>
      </w:r>
    </w:p>
    <w:p w14:paraId="28B15945" w14:textId="77777777">
      <w:pPr>
        <w:pBdr/>
        <w:spacing w:line="257" w:lineRule="atLeast"/>
        <w:ind/>
        <w:jc w:val="both"/>
        <w:rPr>
          <w:color w:val="000000"/>
          <w:szCs w:val="24"/>
        </w:rPr>
      </w:pPr>
      <w:r>
        <w:rPr>
          <w:color w:val="000000"/>
          <w:szCs w:val="24"/>
        </w:rPr>
        <w:t xml:space="preserve">13.4.2. už tai, kad nesiėmė visų protingų veiksmų, kad išsaugotų ir apsaugotų kitos Šalies konfidencialią informaciją ar bet kurią jos dalį, užkirstų kelią tolesniam jos neteisėtam atskleidimui, perdavimui ar naudojimui.</w:t>
      </w:r>
      <w:r>
        <w:rPr>
          <w:color w:val="000000"/>
          <w:szCs w:val="24"/>
        </w:rPr>
      </w:r>
      <w:r>
        <w:rPr>
          <w:color w:val="000000"/>
          <w:szCs w:val="24"/>
        </w:rPr>
      </w:r>
    </w:p>
    <w:p w14:paraId="36BA8648" w14:textId="77777777">
      <w:pPr>
        <w:pBdr/>
        <w:spacing w:line="257" w:lineRule="atLeast"/>
        <w:ind/>
        <w:jc w:val="both"/>
        <w:rPr>
          <w:color w:val="000000"/>
          <w:szCs w:val="24"/>
        </w:rPr>
      </w:pPr>
      <w:r>
        <w:rPr>
          <w:color w:val="000000"/>
          <w:szCs w:val="24"/>
        </w:rPr>
        <w:t xml:space="preserve">13.5. Šalis nepagrįstai atskleidusi kitos Šalies konfidencialią informaciją privalo sumokėti kitai Šaliai Specialiosiose sąlygose nurodyto dydžio baudą.</w:t>
      </w:r>
      <w:r>
        <w:rPr>
          <w:color w:val="000000"/>
          <w:szCs w:val="24"/>
        </w:rPr>
      </w:r>
      <w:r>
        <w:rPr>
          <w:color w:val="000000"/>
          <w:szCs w:val="24"/>
        </w:rPr>
      </w:r>
    </w:p>
    <w:p w14:paraId="2CBE464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A9C097C" w14:textId="77777777">
      <w:pPr>
        <w:pBdr/>
        <w:spacing w:line="257" w:lineRule="atLeast"/>
        <w:ind/>
        <w:jc w:val="center"/>
        <w:rPr>
          <w:color w:val="000000"/>
          <w:szCs w:val="24"/>
        </w:rPr>
      </w:pPr>
      <w:r>
        <w:rPr>
          <w:b/>
          <w:bCs/>
          <w:caps/>
          <w:color w:val="000000"/>
          <w:szCs w:val="24"/>
        </w:rPr>
        <w:t xml:space="preserve">14.  ASMENS DUOMENŲ APSAUGA</w:t>
      </w:r>
      <w:r>
        <w:rPr>
          <w:color w:val="000000"/>
          <w:szCs w:val="24"/>
        </w:rPr>
      </w:r>
      <w:r>
        <w:rPr>
          <w:color w:val="000000"/>
          <w:szCs w:val="24"/>
        </w:rPr>
      </w:r>
    </w:p>
    <w:p w14:paraId="6F24AA25"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CA02DF2" w14:textId="77777777">
      <w:pPr>
        <w:pBdr/>
        <w:spacing w:line="257" w:lineRule="atLeast"/>
        <w:ind/>
        <w:jc w:val="both"/>
        <w:rPr>
          <w:color w:val="000000"/>
          <w:szCs w:val="24"/>
        </w:rPr>
      </w:pPr>
      <w:r>
        <w:rPr>
          <w:color w:val="000000"/>
          <w:szCs w:val="24"/>
        </w:rPr>
        <w:t xml:space="preserve">14.1. Šalys įsipareigoja užtikrinti asmens duomenų saugumą bei asmens duomenų tvarkymą vykdyti teisėtai, vadovaujantis 2016 m. balandžio 27 d. priimto Europos Parlamento ir Tarybos reglamento </w:t>
      </w:r>
      <w:r>
        <w:rPr>
          <w:color w:val="467886"/>
          <w:szCs w:val="24"/>
          <w:u w:val="single"/>
        </w:rPr>
        <w:t xml:space="preserve">(ES) 2016/679</w:t>
      </w:r>
      <w:r>
        <w:rPr>
          <w:color w:val="000000"/>
          <w:szCs w:val="24"/>
        </w:rPr>
        <w:t xml:space="preserve"> dėl fizinių asmenų apsaugos tvarkant asmens duomenis ir dėl laisvo tokių duomenų judėjimo ir kuriuo panaikinama Direktyva </w:t>
      </w:r>
      <w:r>
        <w:rPr>
          <w:color w:val="467886"/>
          <w:szCs w:val="24"/>
          <w:u w:val="single"/>
        </w:rPr>
        <w:t xml:space="preserve">95/46/EB</w:t>
      </w:r>
      <w:r>
        <w:rPr>
          <w:color w:val="000000"/>
          <w:szCs w:val="24"/>
        </w:rPr>
        <w:t xml:space="preserve"> (Bendrasis duomenų apsaugos reglamentas) ir kitų teisės aktų, reglamentuojančių asmens duomenų tvarkymą, nuostatomis.</w:t>
      </w:r>
      <w:r>
        <w:rPr>
          <w:color w:val="000000"/>
          <w:szCs w:val="24"/>
        </w:rPr>
      </w:r>
      <w:r>
        <w:rPr>
          <w:color w:val="000000"/>
          <w:szCs w:val="24"/>
        </w:rPr>
      </w:r>
    </w:p>
    <w:p w14:paraId="580F9B51" w14:textId="77777777">
      <w:pPr>
        <w:pBdr/>
        <w:spacing w:line="257" w:lineRule="atLeast"/>
        <w:ind/>
        <w:jc w:val="both"/>
        <w:rPr>
          <w:color w:val="000000"/>
          <w:szCs w:val="24"/>
        </w:rPr>
      </w:pPr>
      <w:r>
        <w:rPr>
          <w:color w:val="000000"/>
          <w:szCs w:val="24"/>
        </w:rPr>
        <w:t xml:space="preserve">14.2. Šalys patvirtina, kad jeigu siekiant užtikrinti tinkamą Sutarties vykdymą bus tvarkomi asmens duo</w:t>
      </w:r>
      <w:r>
        <w:rPr>
          <w:color w:val="000000"/>
          <w:szCs w:val="24"/>
        </w:rPr>
        <w:t xml:space="preserve">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Pr>
          <w:color w:val="000000"/>
          <w:szCs w:val="24"/>
        </w:rPr>
      </w:r>
      <w:r>
        <w:rPr>
          <w:color w:val="000000"/>
          <w:szCs w:val="24"/>
        </w:rPr>
      </w:r>
    </w:p>
    <w:p w14:paraId="69C65CBF" w14:textId="77777777">
      <w:pPr>
        <w:pBdr/>
        <w:spacing w:line="257" w:lineRule="atLeast"/>
        <w:ind w:firstLine="115" w:left="360"/>
        <w:jc w:val="both"/>
        <w:rPr>
          <w:color w:val="000000"/>
          <w:szCs w:val="24"/>
        </w:rPr>
      </w:pPr>
      <w:r>
        <w:rPr>
          <w:color w:val="000000"/>
          <w:szCs w:val="24"/>
        </w:rPr>
      </w:r>
      <w:r>
        <w:rPr>
          <w:color w:val="000000"/>
          <w:szCs w:val="24"/>
        </w:rPr>
      </w:r>
      <w:r>
        <w:rPr>
          <w:color w:val="000000"/>
          <w:szCs w:val="24"/>
        </w:rPr>
      </w:r>
    </w:p>
    <w:p w14:paraId="79E101EC" w14:textId="77777777">
      <w:pPr>
        <w:pBdr/>
        <w:spacing w:line="257" w:lineRule="atLeast"/>
        <w:ind/>
        <w:jc w:val="center"/>
        <w:rPr>
          <w:color w:val="000000"/>
          <w:szCs w:val="24"/>
        </w:rPr>
      </w:pPr>
      <w:r>
        <w:rPr>
          <w:b/>
          <w:bCs/>
          <w:caps/>
          <w:color w:val="000000"/>
          <w:szCs w:val="24"/>
        </w:rPr>
        <w:t xml:space="preserve">15.  INTELEKTINĖ NUOSAVYBĖ</w:t>
      </w:r>
      <w:r>
        <w:rPr>
          <w:color w:val="000000"/>
          <w:szCs w:val="24"/>
        </w:rPr>
      </w:r>
      <w:r>
        <w:rPr>
          <w:color w:val="000000"/>
          <w:szCs w:val="24"/>
        </w:rPr>
      </w:r>
    </w:p>
    <w:p w14:paraId="4813A236"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442C59D" w14:textId="77777777">
      <w:pPr>
        <w:pBdr/>
        <w:spacing w:line="257" w:lineRule="atLeast"/>
        <w:ind/>
        <w:jc w:val="both"/>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w:t>
      </w:r>
      <w:r>
        <w:rPr>
          <w:color w:val="000000"/>
          <w:szCs w:val="24"/>
        </w:rPr>
        <w:t xml:space="preserve">iėmimo momento be jokių apribojimų, kurią Pirkėjas gali naudoti, publikuoti, perleisti ar perduoti be atskiro Tiekėjo sutikimo tretiesiems asmenims, jei Specialiosiose sąlygose nenumatyta kitaip ar intelektinės nuosavybės teisės negali būti perduodamos nuo</w:t>
      </w:r>
      <w:r>
        <w:rPr>
          <w:color w:val="000000"/>
          <w:szCs w:val="24"/>
        </w:rPr>
        <w:t xml:space="preserve">savybės teise dėl Prekių pobūdžio ar (ir) Prekių gamintojo išimtinių teisių, patentų ir kt. </w:t>
      </w:r>
      <w:r>
        <w:rPr>
          <w:color w:val="000000"/>
          <w:szCs w:val="24"/>
        </w:rPr>
      </w:r>
      <w:r>
        <w:rPr>
          <w:color w:val="000000"/>
          <w:szCs w:val="24"/>
        </w:rPr>
      </w:r>
    </w:p>
    <w:p w14:paraId="00A3E344" w14:textId="77777777">
      <w:pPr>
        <w:pBdr/>
        <w:spacing w:line="257" w:lineRule="atLeast"/>
        <w:ind/>
        <w:jc w:val="both"/>
        <w:rPr>
          <w:color w:val="000000"/>
          <w:szCs w:val="24"/>
        </w:rPr>
      </w:pPr>
      <w:r>
        <w:rPr>
          <w:color w:val="000000"/>
          <w:szCs w:val="24"/>
        </w:rPr>
        <w:t xml:space="preserve">15.2. Tiekėjas įsipareigoja atlyginti nuostolius Pirkėjui dėl bet kokių reikalavimų, kylančių dėl intelektinės nuosavybės t</w:t>
      </w:r>
      <w:r>
        <w:rPr>
          <w:color w:val="000000"/>
          <w:szCs w:val="24"/>
        </w:rPr>
        <w:t xml:space="preserve">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 xml:space="preserve">sui</w:t>
      </w:r>
      <w:r>
        <w:rPr>
          <w:i/>
          <w:iCs/>
          <w:color w:val="000000"/>
          <w:szCs w:val="24"/>
        </w:rPr>
        <w:t xml:space="preserve"> </w:t>
      </w:r>
      <w:r>
        <w:rPr>
          <w:i/>
          <w:iCs/>
          <w:color w:val="000000"/>
          <w:szCs w:val="24"/>
        </w:rPr>
        <w:t xml:space="preserve">generis</w:t>
      </w:r>
      <w:r>
        <w:rPr>
          <w:color w:val="000000"/>
          <w:szCs w:val="24"/>
        </w:rPr>
        <w:t xml:space="preserve">) teisės, firmų, įmonių, organizacijų, verslo pavadinimų ar v</w:t>
      </w:r>
      <w:r>
        <w:rPr>
          <w:color w:val="000000"/>
          <w:szCs w:val="24"/>
        </w:rPr>
        <w:t xml:space="preserve">ardų savininkų ir kitos panašios teisės ar įsipareigojimai, nepriklausomai nuo to, ar jie registruoti Lietuvos Respublikoje, ar kitose šalyse, ar neregistruotini, kaip numatyta Sutartyje, išskyrus atvejus, kai toks pažeidimas atsiranda dėl Pirkėjo kaltės. </w:t>
      </w:r>
      <w:r>
        <w:rPr>
          <w:color w:val="000000"/>
          <w:szCs w:val="24"/>
        </w:rPr>
      </w:r>
      <w:r>
        <w:rPr>
          <w:color w:val="000000"/>
          <w:szCs w:val="24"/>
        </w:rPr>
      </w:r>
    </w:p>
    <w:p w14:paraId="2A526944" w14:textId="77777777">
      <w:pPr>
        <w:pBdr/>
        <w:spacing w:line="257" w:lineRule="atLeast"/>
        <w:ind/>
        <w:jc w:val="both"/>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szCs w:val="24"/>
        </w:rPr>
        <w:t xml:space="preserve">Specialiosiose sąlygose nurodyta bauda</w:t>
      </w:r>
      <w:r>
        <w:rPr>
          <w:szCs w:val="24"/>
        </w:rPr>
        <w:t xml:space="preserve">.</w:t>
      </w:r>
      <w:r>
        <w:rPr>
          <w:szCs w:val="24"/>
        </w:rPr>
      </w:r>
      <w:r>
        <w:rPr>
          <w:szCs w:val="24"/>
        </w:rPr>
      </w:r>
    </w:p>
    <w:p w14:paraId="369D2D12"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46D6E8F0" w14:textId="77777777">
      <w:pPr>
        <w:pBdr/>
        <w:spacing w:line="257" w:lineRule="atLeast"/>
        <w:ind/>
        <w:jc w:val="center"/>
        <w:rPr>
          <w:color w:val="000000"/>
          <w:szCs w:val="24"/>
        </w:rPr>
      </w:pPr>
      <w:r>
        <w:rPr>
          <w:b/>
          <w:bCs/>
          <w:caps/>
          <w:color w:val="000000"/>
          <w:szCs w:val="24"/>
        </w:rPr>
        <w:t xml:space="preserve">16.  PAREIŠKIMAI IR GARANTIJOS</w:t>
      </w:r>
      <w:r>
        <w:rPr>
          <w:color w:val="000000"/>
          <w:szCs w:val="24"/>
        </w:rPr>
      </w:r>
      <w:r>
        <w:rPr>
          <w:color w:val="000000"/>
          <w:szCs w:val="24"/>
        </w:rPr>
      </w:r>
    </w:p>
    <w:p w14:paraId="3DB315C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A5858C7" w14:textId="77777777">
      <w:pPr>
        <w:pBdr/>
        <w:spacing w:line="257" w:lineRule="atLeast"/>
        <w:ind/>
        <w:jc w:val="both"/>
        <w:rPr>
          <w:color w:val="000000"/>
          <w:szCs w:val="24"/>
        </w:rPr>
      </w:pPr>
      <w:r>
        <w:rPr>
          <w:color w:val="000000"/>
          <w:szCs w:val="24"/>
        </w:rPr>
        <w:t xml:space="preserve">16.1. Kiekviena iš Šalių pareiškia ir garantuoja kitai Šaliai, kad:</w:t>
      </w:r>
      <w:r>
        <w:rPr>
          <w:color w:val="000000"/>
          <w:szCs w:val="24"/>
        </w:rPr>
      </w:r>
      <w:r>
        <w:rPr>
          <w:color w:val="000000"/>
          <w:szCs w:val="24"/>
        </w:rPr>
      </w:r>
    </w:p>
    <w:p w14:paraId="4A529512" w14:textId="77777777">
      <w:pPr>
        <w:pBdr/>
        <w:spacing w:line="257" w:lineRule="atLeast"/>
        <w:ind/>
        <w:jc w:val="both"/>
        <w:rPr>
          <w:color w:val="000000"/>
          <w:szCs w:val="24"/>
        </w:rPr>
      </w:pPr>
      <w:r>
        <w:rPr>
          <w:color w:val="000000"/>
          <w:szCs w:val="24"/>
        </w:rPr>
        <w:t xml:space="preserve">16.1.1. yra teisėtai priimti ir galioja visi būtini sprendimai, gauti leidimai bei sutikimai, taip pat teisėtai atlikti ir galioja kiti teisiniai veiksmai, reikalingi Sutarties sudarymui, galiojimui ir vykdymui;</w:t>
      </w:r>
      <w:r>
        <w:rPr>
          <w:color w:val="000000"/>
          <w:szCs w:val="24"/>
        </w:rPr>
      </w:r>
      <w:r>
        <w:rPr>
          <w:color w:val="000000"/>
          <w:szCs w:val="24"/>
        </w:rPr>
      </w:r>
    </w:p>
    <w:p w14:paraId="5D2DB804" w14:textId="77777777">
      <w:pPr>
        <w:pBdr/>
        <w:spacing w:line="257" w:lineRule="atLeast"/>
        <w:ind/>
        <w:jc w:val="both"/>
        <w:rPr>
          <w:color w:val="000000"/>
          <w:szCs w:val="24"/>
        </w:rPr>
      </w:pPr>
      <w:r>
        <w:rPr>
          <w:color w:val="000000"/>
          <w:szCs w:val="24"/>
        </w:rPr>
        <w:t xml:space="preserve">16.1.2. sudarydama Sutartį, Šalis neviršija </w:t>
      </w:r>
      <w:r>
        <w:rPr>
          <w:color w:val="000000"/>
          <w:szCs w:val="24"/>
        </w:rPr>
        <w:t xml:space="preserve">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r>
        <w:rPr>
          <w:color w:val="000000"/>
          <w:szCs w:val="24"/>
        </w:rPr>
      </w:r>
      <w:r>
        <w:rPr>
          <w:color w:val="000000"/>
          <w:szCs w:val="24"/>
        </w:rPr>
      </w:r>
    </w:p>
    <w:p w14:paraId="3DF9618C" w14:textId="77777777">
      <w:pPr>
        <w:pBdr/>
        <w:spacing w:line="257" w:lineRule="atLeast"/>
        <w:ind/>
        <w:jc w:val="both"/>
        <w:rPr>
          <w:color w:val="000000"/>
          <w:szCs w:val="24"/>
        </w:rPr>
      </w:pPr>
      <w:r>
        <w:rPr>
          <w:color w:val="000000"/>
          <w:szCs w:val="24"/>
        </w:rPr>
        <w:t xml:space="preserve">16.1.3. Šalies atstovas turi visus reikiamus įgaliojimus sudaryti ir įvykdyti Sutartį. Šalies atstovas, sudarydamas ir pasirašydamas</w:t>
      </w:r>
      <w:r>
        <w:rPr>
          <w:color w:val="000000"/>
          <w:szCs w:val="24"/>
        </w:rPr>
        <w:t xml:space="preserve">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Pr>
          <w:color w:val="000000"/>
          <w:szCs w:val="24"/>
        </w:rPr>
      </w:r>
      <w:r>
        <w:rPr>
          <w:color w:val="000000"/>
          <w:szCs w:val="24"/>
        </w:rPr>
      </w:r>
    </w:p>
    <w:p w14:paraId="23200783" w14:textId="77777777">
      <w:pPr>
        <w:pBdr/>
        <w:spacing w:line="257" w:lineRule="atLeast"/>
        <w:ind/>
        <w:jc w:val="both"/>
        <w:rPr>
          <w:color w:val="000000"/>
          <w:szCs w:val="24"/>
        </w:rPr>
      </w:pPr>
      <w:r>
        <w:rPr>
          <w:color w:val="000000"/>
          <w:szCs w:val="24"/>
        </w:rPr>
        <w:t xml:space="preserve">16.1.4. Šalis įvertino visas aplinkybes, turinčias esm</w:t>
      </w:r>
      <w:r>
        <w:rPr>
          <w:color w:val="000000"/>
          <w:szCs w:val="24"/>
        </w:rPr>
        <w:t xml:space="preserve">inės reikšmės Sutarties sudarymui ir jos vykdymui. Nė viena iš Sutartyje nurodytų sąlygų ir aplinkybių neturi neigiamos įtakos Šalies valiai sudaryti Sutartį tokiomis sąlygomis, kurios nurodytos Sutartyje, ir vykdyti iš Sutarties kylančius įsipareigojimus;</w:t>
      </w:r>
      <w:r>
        <w:rPr>
          <w:color w:val="000000"/>
          <w:szCs w:val="24"/>
        </w:rPr>
      </w:r>
      <w:r>
        <w:rPr>
          <w:color w:val="000000"/>
          <w:szCs w:val="24"/>
        </w:rPr>
      </w:r>
    </w:p>
    <w:p w14:paraId="1ECCE34A" w14:textId="77777777">
      <w:pPr>
        <w:pBdr/>
        <w:spacing w:line="257" w:lineRule="atLeast"/>
        <w:ind/>
        <w:jc w:val="both"/>
        <w:rPr>
          <w:color w:val="000000"/>
          <w:szCs w:val="24"/>
        </w:rPr>
      </w:pPr>
      <w:r>
        <w:rPr>
          <w:color w:val="000000"/>
          <w:szCs w:val="24"/>
        </w:rPr>
        <w:t xml:space="preserve">16.1.5. Sut</w:t>
      </w:r>
      <w:r>
        <w:rPr>
          <w:color w:val="000000"/>
          <w:szCs w:val="24"/>
        </w:rPr>
        <w:t xml:space="preserve">artis sudaroma vadovaujantis sąžiningumo, protingumo, teisingumo ir Šalių lygiateisiškumo principais, nenaudojant apgaulės ar spaudimo. Šalys atskleidė viena kitai visą joms žinomą informaciją, turinčią esminės reikšmės Sutarties sudarymui ir jos vykdymui;</w:t>
      </w:r>
      <w:r>
        <w:rPr>
          <w:color w:val="000000"/>
          <w:szCs w:val="24"/>
        </w:rPr>
      </w:r>
      <w:r>
        <w:rPr>
          <w:color w:val="000000"/>
          <w:szCs w:val="24"/>
        </w:rPr>
      </w:r>
    </w:p>
    <w:p w14:paraId="3538584A" w14:textId="77777777">
      <w:pPr>
        <w:pBdr/>
        <w:spacing w:line="257" w:lineRule="atLeast"/>
        <w:ind/>
        <w:jc w:val="both"/>
        <w:rPr>
          <w:color w:val="000000"/>
          <w:szCs w:val="24"/>
        </w:rPr>
      </w:pPr>
      <w:r>
        <w:rPr>
          <w:color w:val="000000"/>
          <w:szCs w:val="24"/>
        </w:rPr>
        <w:t xml:space="preserve">16.1.6. visi Šalies pareiškimai ir garantijos yra išsamūs ir nepalieka nutylėtų jokių aplinkybių, kurios darytų šiuos pareiškimus ar garantijas neteisingais.</w:t>
      </w:r>
      <w:r>
        <w:rPr>
          <w:color w:val="000000"/>
          <w:szCs w:val="24"/>
        </w:rPr>
      </w:r>
      <w:r>
        <w:rPr>
          <w:color w:val="000000"/>
          <w:szCs w:val="24"/>
        </w:rPr>
      </w:r>
    </w:p>
    <w:p w14:paraId="4D9FD085" w14:textId="77777777">
      <w:pPr>
        <w:pBdr/>
        <w:spacing w:line="257" w:lineRule="atLeast"/>
        <w:ind/>
        <w:jc w:val="both"/>
        <w:rPr>
          <w:color w:val="000000"/>
          <w:szCs w:val="24"/>
        </w:rPr>
      </w:pPr>
      <w:r>
        <w:rPr>
          <w:color w:val="000000"/>
          <w:szCs w:val="24"/>
        </w:rPr>
        <w:t xml:space="preserve">16.2. Tiekėjas papildomai pareiškia ir garantuoja Pir</w:t>
      </w:r>
      <w:r>
        <w:rPr>
          <w:color w:val="000000"/>
          <w:szCs w:val="24"/>
        </w:rPr>
        <w:t xml:space="preserve">kėjui, kad Tiekėjas, subtiekėjai, jungtinės veiklos partneriai ir specialistai turi galiojančius ir teisėtus visus įstatymuose bei kituose teisės aktuose numatytus leidimus, licencijas, atestatus, teisės pripažinimo dokumentus, reikalingus vykdant Sutartį.</w:t>
      </w:r>
      <w:r>
        <w:rPr>
          <w:color w:val="000000"/>
          <w:szCs w:val="24"/>
        </w:rPr>
      </w:r>
      <w:r>
        <w:rPr>
          <w:color w:val="000000"/>
          <w:szCs w:val="24"/>
        </w:rPr>
      </w:r>
    </w:p>
    <w:p w14:paraId="070F5CA8" w14:textId="77777777">
      <w:pPr>
        <w:pBdr/>
        <w:spacing/>
        <w:ind/>
        <w:jc w:val="both"/>
        <w:rPr>
          <w:color w:val="000000"/>
          <w:szCs w:val="24"/>
          <w:shd w:val="clear" w:color="auto" w:fill="ffffff"/>
        </w:rPr>
      </w:pPr>
      <w:r>
        <w:rPr>
          <w:color w:val="000000"/>
          <w:szCs w:val="24"/>
          <w:shd w:val="clear" w:color="auto" w:fill="ffffff"/>
        </w:rPr>
        <w:t xml:space="preserve">16.3. </w:t>
      </w:r>
      <w:r>
        <w:rPr>
          <w:color w:val="000000"/>
          <w:szCs w:val="24"/>
        </w:rPr>
        <w:t xml:space="preserve">Tiekėjas pareiškia, kad parduodamų Prekių disponavimo, valdymo ir naudojimosi teisės nėra apribotos </w:t>
      </w:r>
      <w:r>
        <w:rPr>
          <w:color w:val="000000"/>
          <w:szCs w:val="24"/>
          <w:shd w:val="clear" w:color="auto" w:fill="ffffff"/>
        </w:rPr>
        <w:t xml:space="preserve">ir jokie tretieji asmenys neturi pretenzijų į Sutartimi perduodamas Prekes (įkeitimai, areštai ar pan.).</w:t>
      </w:r>
      <w:r>
        <w:rPr>
          <w:color w:val="000000"/>
          <w:szCs w:val="24"/>
          <w:shd w:val="clear" w:color="auto" w:fill="ffffff"/>
        </w:rPr>
      </w:r>
      <w:r>
        <w:rPr>
          <w:color w:val="000000"/>
          <w:szCs w:val="24"/>
          <w:shd w:val="clear" w:color="auto" w:fill="ffffff"/>
        </w:rPr>
      </w:r>
    </w:p>
    <w:p w14:paraId="73624071" w14:textId="77777777">
      <w:pPr>
        <w:widowControl w:val="false"/>
        <w:pBdr/>
        <w:tabs>
          <w:tab w:val="left" w:leader="none" w:pos="567"/>
          <w:tab w:val="left" w:leader="none" w:pos="851"/>
          <w:tab w:val="left" w:leader="none" w:pos="992"/>
          <w:tab w:val="left" w:leader="none" w:pos="1134"/>
        </w:tabs>
        <w:spacing/>
        <w:ind/>
        <w:jc w:val="both"/>
        <w:rPr>
          <w:rFonts w:eastAsia="Calibri"/>
          <w:szCs w:val="24"/>
        </w:rPr>
      </w:pPr>
      <w:r>
        <w:rPr>
          <w:rFonts w:eastAsia="Arial"/>
          <w:szCs w:val="24"/>
        </w:rPr>
        <w:t xml:space="preserve">16.4. T</w:t>
      </w:r>
      <w:r>
        <w:rPr>
          <w:rFonts w:eastAsia="Calibri"/>
          <w:szCs w:val="24"/>
          <w:lang w:eastAsia="lt-LT"/>
        </w:rPr>
        <w:t xml:space="preserve">iekėjas įsipareigoja vykdant Sutartį laikytis aplinkos apsaugos, socialinės ir darbo teisės įpareigojimų, nustatytų Europos Sąjungos ir nacionalinėje teisėje, kolektyvinėse sutartyse ir VPĮ 5 priede nurodytose tarptautinėse konvencijose.</w:t>
      </w:r>
      <w:r>
        <w:rPr>
          <w:rFonts w:eastAsia="Calibri"/>
          <w:szCs w:val="24"/>
        </w:rPr>
      </w:r>
      <w:r>
        <w:rPr>
          <w:rFonts w:eastAsia="Calibri"/>
          <w:szCs w:val="24"/>
        </w:rPr>
      </w:r>
    </w:p>
    <w:p w14:paraId="1B4F1DB9" w14:textId="77777777">
      <w:pPr>
        <w:pBdr/>
        <w:spacing/>
        <w:ind/>
        <w:rPr>
          <w:sz w:val="14"/>
          <w:szCs w:val="14"/>
        </w:rPr>
      </w:pPr>
      <w:r>
        <w:rPr>
          <w:sz w:val="14"/>
          <w:szCs w:val="14"/>
        </w:rPr>
      </w:r>
      <w:r>
        <w:rPr>
          <w:sz w:val="14"/>
          <w:szCs w:val="14"/>
        </w:rPr>
      </w:r>
      <w:r>
        <w:rPr>
          <w:sz w:val="14"/>
          <w:szCs w:val="14"/>
        </w:rPr>
      </w:r>
    </w:p>
    <w:p w14:paraId="4534009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708B95D" w14:textId="77777777">
      <w:pPr>
        <w:pBdr/>
        <w:spacing w:line="257" w:lineRule="atLeast"/>
        <w:ind/>
        <w:jc w:val="center"/>
        <w:rPr>
          <w:color w:val="000000"/>
          <w:szCs w:val="24"/>
        </w:rPr>
      </w:pPr>
      <w:r>
        <w:rPr>
          <w:b/>
          <w:bCs/>
          <w:caps/>
          <w:color w:val="000000"/>
          <w:szCs w:val="24"/>
        </w:rPr>
        <w:t xml:space="preserve">17.  BENDRIEJI ATSAKOMYBĖS KLAUSIMAI</w:t>
      </w:r>
      <w:r>
        <w:rPr>
          <w:color w:val="000000"/>
          <w:szCs w:val="24"/>
        </w:rPr>
      </w:r>
      <w:r>
        <w:rPr>
          <w:color w:val="000000"/>
          <w:szCs w:val="24"/>
        </w:rPr>
      </w:r>
    </w:p>
    <w:p w14:paraId="24BC0A51"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CE47DB2" w14:textId="77777777">
      <w:pPr>
        <w:pBdr/>
        <w:spacing w:line="257" w:lineRule="atLeast"/>
        <w:ind/>
        <w:jc w:val="both"/>
        <w:rPr>
          <w:color w:val="000000"/>
          <w:szCs w:val="24"/>
        </w:rPr>
      </w:pPr>
      <w:r>
        <w:rPr>
          <w:color w:val="000000"/>
          <w:szCs w:val="24"/>
        </w:rPr>
        <w:t xml:space="preserve">17.1. Netesybų sumokėjimas už vėlavimą ar pareigų pagal Sutartį pažeidimą neatleidžia Šalies nuo Sutartyje numatytų jos pareigų vykdymo.</w:t>
      </w:r>
      <w:r>
        <w:rPr>
          <w:color w:val="000000"/>
          <w:szCs w:val="24"/>
        </w:rPr>
      </w:r>
      <w:r>
        <w:rPr>
          <w:color w:val="000000"/>
          <w:szCs w:val="24"/>
        </w:rPr>
      </w:r>
    </w:p>
    <w:p w14:paraId="44B6FF50" w14:textId="77777777">
      <w:pPr>
        <w:pBdr/>
        <w:spacing w:line="257" w:lineRule="atLeast"/>
        <w:ind/>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w:t>
      </w:r>
      <w:r>
        <w:rPr>
          <w:color w:val="000000"/>
          <w:szCs w:val="24"/>
        </w:rPr>
        <w:t xml:space="preserve">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Pr>
          <w:color w:val="000000"/>
          <w:szCs w:val="24"/>
        </w:rPr>
        <w:t xml:space="preserve">desnė suma. Šiame punkte numatytas atsakomybės ribojimas netaikomas, jei žala atsirado dėl konfidencialumo įsipareigojimų, asmens duomenų apsaugą reglamentuojančių teisės aktų ar intelektinės nuosavybės teisių pažeidimo.</w:t>
      </w:r>
      <w:r>
        <w:rPr>
          <w:color w:val="000000"/>
          <w:szCs w:val="24"/>
        </w:rPr>
      </w:r>
      <w:r>
        <w:rPr>
          <w:color w:val="000000"/>
          <w:szCs w:val="24"/>
        </w:rPr>
      </w:r>
    </w:p>
    <w:p w14:paraId="3B6D7E3F" w14:textId="77777777">
      <w:pPr>
        <w:pBdr/>
        <w:spacing w:line="257" w:lineRule="atLeast"/>
        <w:ind/>
        <w:jc w:val="both"/>
        <w:rPr>
          <w:color w:val="000000"/>
          <w:szCs w:val="24"/>
        </w:rPr>
      </w:pPr>
      <w:r>
        <w:rPr>
          <w:color w:val="000000"/>
          <w:szCs w:val="24"/>
        </w:rPr>
        <w:t xml:space="preserve">17.3. Tuo atveju, jei paaiškėja, kad kuris nors iš šioje Sutartyje pateiktų parei</w:t>
      </w:r>
      <w:r>
        <w:rPr>
          <w:color w:val="000000"/>
          <w:szCs w:val="24"/>
        </w:rPr>
        <w:t xml:space="preserve">škimų ar garantijų buvo iš esmės neteisingas, melagingas ar klaidinantis, Šalis pažeidėja nukentėjusiai Šaliai privalo atlyginti visus nuostolius, kuriuos nukentėjusioji Šalis patyrė dėl tokio neteisingo, melagingo ar klaidinančio pareiškimo ar garantijos.</w:t>
      </w:r>
      <w:r>
        <w:rPr>
          <w:color w:val="000000"/>
          <w:szCs w:val="24"/>
        </w:rPr>
      </w:r>
      <w:r>
        <w:rPr>
          <w:color w:val="000000"/>
          <w:szCs w:val="24"/>
        </w:rPr>
      </w:r>
    </w:p>
    <w:p w14:paraId="72911D16" w14:textId="77777777">
      <w:pPr>
        <w:pBdr/>
        <w:spacing w:line="257" w:lineRule="atLeast"/>
        <w:ind/>
        <w:jc w:val="both"/>
        <w:rPr>
          <w:color w:val="000000"/>
          <w:szCs w:val="24"/>
        </w:rPr>
      </w:pPr>
      <w:r>
        <w:rPr>
          <w:color w:val="000000"/>
          <w:szCs w:val="24"/>
        </w:rPr>
        <w:t xml:space="preserve">17.4. Šioje Sutartyje numatytos teisių gynybos priemonės neapriboja Šalių teisės pasinaudoti kitomis teisėtomis teisių gynybos priemonėmis.</w:t>
      </w:r>
      <w:r>
        <w:rPr>
          <w:color w:val="000000"/>
          <w:szCs w:val="24"/>
        </w:rPr>
      </w:r>
      <w:r>
        <w:rPr>
          <w:color w:val="000000"/>
          <w:szCs w:val="24"/>
        </w:rPr>
      </w:r>
    </w:p>
    <w:p w14:paraId="4415CBE7" w14:textId="77777777">
      <w:pPr>
        <w:pBdr/>
        <w:spacing w:line="257" w:lineRule="atLeast"/>
        <w:ind/>
        <w:jc w:val="both"/>
        <w:rPr>
          <w:color w:val="000000"/>
          <w:szCs w:val="24"/>
        </w:rPr>
      </w:pPr>
      <w:r>
        <w:rPr>
          <w:color w:val="000000"/>
          <w:szCs w:val="24"/>
        </w:rPr>
        <w:t xml:space="preserve">17.5. Atsakomybės apribojimai pagal Sutartį netaikomi, kai žala padaroma </w:t>
      </w:r>
      <w:r>
        <w:rPr>
          <w:color w:val="000000"/>
          <w:szCs w:val="24"/>
        </w:rPr>
        <w:t xml:space="preserve">tyčia arba dėl didelio neatsargumo, padaroma neturtinė žala, sužalojama sveikata ar atimama gyvybė, taip pat kai padaroma žala (nuostoliai) tretiesiems asmenims, įskaitant atvejus, jeigu vienos Šalies padarytą žalą tretiesiems asmenims atlygina kita Šalis.</w:t>
      </w:r>
      <w:r>
        <w:rPr>
          <w:color w:val="000000"/>
          <w:szCs w:val="24"/>
        </w:rPr>
      </w:r>
      <w:r>
        <w:rPr>
          <w:color w:val="000000"/>
          <w:szCs w:val="24"/>
        </w:rPr>
      </w:r>
    </w:p>
    <w:p w14:paraId="133C40F3" w14:textId="77777777">
      <w:pPr>
        <w:pBdr/>
        <w:spacing w:line="257" w:lineRule="atLeast"/>
        <w:ind/>
        <w:jc w:val="both"/>
        <w:rPr>
          <w:color w:val="000000"/>
          <w:szCs w:val="24"/>
        </w:rPr>
      </w:pPr>
      <w:r>
        <w:rPr>
          <w:color w:val="000000"/>
          <w:szCs w:val="24"/>
        </w:rPr>
        <w:t xml:space="preserve">17.6. Pasibaigus Sutarties galiojimui, Šalys neatleidžiamos nuo atsakomybės už Sutarties pažeidimą. Pasibaigus Sutarties galiojimui, Šalys nepraranda teisės reikalauti atlyginti dėl Sutarties nevykdymo patirtus nuostolius bei sumokėti netesybas.</w:t>
      </w:r>
      <w:r>
        <w:rPr>
          <w:color w:val="000000"/>
          <w:szCs w:val="24"/>
        </w:rPr>
      </w:r>
      <w:r>
        <w:rPr>
          <w:color w:val="000000"/>
          <w:szCs w:val="24"/>
        </w:rPr>
      </w:r>
    </w:p>
    <w:p w14:paraId="09947090" w14:textId="77777777">
      <w:pPr>
        <w:pBdr/>
        <w:spacing w:line="257" w:lineRule="atLeast"/>
        <w:ind/>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w:t>
      </w:r>
      <w:r>
        <w:rPr>
          <w:color w:val="000000"/>
          <w:szCs w:val="24"/>
        </w:rPr>
        <w:t xml:space="preserve"> Specialiųjų sąlygų 10 skyriuje, vykdo su dideliais ar nuolatiniais trūkumais, Tiekėjas įtraukiamas į nepatikimų tiekėjų sąrašą VPĮ 91 straipsnyje nustatyta tvarka. Atvejai, kuomet laikoma, kad esminė Sutarties sąlyga vykdoma su dideliais arba nuolatiniai </w:t>
      </w:r>
      <w:r>
        <w:rPr>
          <w:color w:val="000000"/>
          <w:szCs w:val="24"/>
        </w:rPr>
        <w:t xml:space="preserve">trūkumais nurodyti Specialiųjų </w:t>
      </w:r>
      <w:r>
        <w:rPr>
          <w:color w:val="000000"/>
          <w:szCs w:val="24"/>
        </w:rPr>
        <w:t xml:space="preserve">sąlygų 10 skyriuje. Esminės Sutarties sąlygos vykdymas su dideliais arba nuolatiniais trūkumais gali būti pripažįstamas ir kitais, Specialiosiose sąlygose nenurodytais, atvejais, įvertinus konkrečias esminės Sutarties sąlygos netinkamo vykdymo aplinkybes. </w:t>
      </w:r>
      <w:r>
        <w:rPr>
          <w:color w:val="000000"/>
          <w:szCs w:val="24"/>
        </w:rPr>
      </w:r>
      <w:r>
        <w:rPr>
          <w:color w:val="000000"/>
          <w:szCs w:val="24"/>
        </w:rPr>
      </w:r>
    </w:p>
    <w:p w14:paraId="1EAF0654" w14:textId="77777777">
      <w:pPr>
        <w:pBdr/>
        <w:spacing w:line="257" w:lineRule="atLeast"/>
        <w:ind w:firstLine="115"/>
        <w:jc w:val="both"/>
        <w:rPr>
          <w:color w:val="000000"/>
          <w:szCs w:val="24"/>
        </w:rPr>
      </w:pPr>
      <w:r>
        <w:rPr>
          <w:color w:val="000000"/>
          <w:szCs w:val="24"/>
        </w:rPr>
      </w:r>
      <w:r>
        <w:rPr>
          <w:color w:val="000000"/>
          <w:szCs w:val="24"/>
        </w:rPr>
      </w:r>
      <w:r>
        <w:rPr>
          <w:color w:val="000000"/>
          <w:szCs w:val="24"/>
        </w:rPr>
      </w:r>
    </w:p>
    <w:p w14:paraId="3B9278F7" w14:textId="77777777">
      <w:pPr>
        <w:pBdr/>
        <w:spacing w:line="257" w:lineRule="atLeast"/>
        <w:ind/>
        <w:jc w:val="center"/>
        <w:rPr>
          <w:color w:val="000000"/>
          <w:szCs w:val="24"/>
        </w:rPr>
      </w:pPr>
      <w:r>
        <w:rPr>
          <w:b/>
          <w:bCs/>
          <w:caps/>
          <w:color w:val="000000"/>
          <w:szCs w:val="24"/>
        </w:rPr>
        <w:t xml:space="preserve">18.  NENUGALIMA JĖGA (FORCE MAJEURE)</w:t>
      </w:r>
      <w:r>
        <w:rPr>
          <w:color w:val="000000"/>
          <w:szCs w:val="24"/>
        </w:rPr>
      </w:r>
      <w:r>
        <w:rPr>
          <w:color w:val="000000"/>
          <w:szCs w:val="24"/>
        </w:rPr>
      </w:r>
    </w:p>
    <w:p w14:paraId="7D377B43"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480A9E2" w14:textId="77777777">
      <w:pPr>
        <w:pBdr/>
        <w:spacing w:line="257" w:lineRule="atLeast"/>
        <w:ind/>
        <w:jc w:val="both"/>
        <w:rPr>
          <w:color w:val="000000"/>
          <w:szCs w:val="24"/>
        </w:rPr>
      </w:pPr>
      <w:r>
        <w:rPr>
          <w:color w:val="000000"/>
          <w:szCs w:val="24"/>
        </w:rPr>
        <w:t xml:space="preserve">18.1.</w:t>
      </w:r>
      <w:r>
        <w:rPr>
          <w:b/>
          <w:bCs/>
          <w:color w:val="000000"/>
          <w:szCs w:val="24"/>
        </w:rPr>
        <w:t xml:space="preserve"> </w:t>
      </w:r>
      <w:r>
        <w:rPr>
          <w:color w:val="000000"/>
          <w:szCs w:val="24"/>
        </w:rPr>
        <w:t xml:space="preserve">Atsakomybė pagal Sutartį netaikoma, taip pat Šalys gali būti visiškai ar iš dalies atleistos nuo civilinės atsakomybės šiais pagrindais:</w:t>
      </w:r>
      <w:r>
        <w:rPr>
          <w:color w:val="000000"/>
          <w:szCs w:val="24"/>
        </w:rPr>
      </w:r>
      <w:r>
        <w:rPr>
          <w:color w:val="000000"/>
          <w:szCs w:val="24"/>
        </w:rPr>
      </w:r>
    </w:p>
    <w:p w14:paraId="67021658" w14:textId="77777777">
      <w:pPr>
        <w:pBdr/>
        <w:spacing w:line="257" w:lineRule="atLeast"/>
        <w:ind/>
        <w:jc w:val="both"/>
        <w:rPr>
          <w:color w:val="000000"/>
          <w:szCs w:val="24"/>
        </w:rPr>
      </w:pPr>
      <w:r>
        <w:rPr>
          <w:color w:val="000000"/>
          <w:szCs w:val="24"/>
        </w:rPr>
        <w:t xml:space="preserve">18.1.1. dėl nenugalimos jėgos (</w:t>
      </w:r>
      <w:r>
        <w:rPr>
          <w:i/>
          <w:iCs/>
          <w:color w:val="000000"/>
          <w:szCs w:val="24"/>
        </w:rPr>
        <w:t xml:space="preserve">force majeure</w:t>
      </w:r>
      <w:r>
        <w:rPr>
          <w:color w:val="000000"/>
          <w:szCs w:val="24"/>
        </w:rPr>
        <w:t xml:space="preserve">) – taikomos Lietuvos Respublikos civilinio kodekso 6.212 straipsnio ir Lietuvos Respublikos Vyriausybės 1996 m. liepos 15 d. nutarimu Nr. 840 „Dėl Atleidimo nuo atsakomybės esant nenugalimos jėgos (</w:t>
      </w:r>
      <w:r>
        <w:rPr>
          <w:i/>
          <w:iCs/>
          <w:color w:val="000000"/>
          <w:szCs w:val="24"/>
        </w:rPr>
        <w:t xml:space="preserve">force majeure</w:t>
      </w:r>
      <w:r>
        <w:rPr>
          <w:color w:val="000000"/>
          <w:szCs w:val="24"/>
        </w:rPr>
        <w:t xml:space="preserve">) aplinkybėms taisyklių patvirtinimo” patvirtintų taisyklių nuostatos;</w:t>
      </w:r>
      <w:r>
        <w:rPr>
          <w:color w:val="000000"/>
          <w:szCs w:val="24"/>
        </w:rPr>
      </w:r>
      <w:r>
        <w:rPr>
          <w:color w:val="000000"/>
          <w:szCs w:val="24"/>
        </w:rPr>
      </w:r>
    </w:p>
    <w:p w14:paraId="5620269A" w14:textId="77777777">
      <w:pPr>
        <w:pBdr/>
        <w:spacing w:line="257" w:lineRule="atLeast"/>
        <w:ind/>
        <w:jc w:val="both"/>
        <w:rPr>
          <w:color w:val="000000"/>
          <w:szCs w:val="24"/>
        </w:rPr>
      </w:pPr>
      <w:r>
        <w:rPr>
          <w:color w:val="000000"/>
          <w:szCs w:val="24"/>
        </w:rPr>
        <w:t xml:space="preserve">18.1.2.</w:t>
      </w:r>
      <w:r>
        <w:rPr>
          <w:color w:val="000000"/>
          <w:szCs w:val="24"/>
        </w:rPr>
        <w:t xml:space="preserve">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r>
        <w:rPr>
          <w:color w:val="000000"/>
          <w:szCs w:val="24"/>
        </w:rPr>
      </w:r>
      <w:r>
        <w:rPr>
          <w:color w:val="000000"/>
          <w:szCs w:val="24"/>
        </w:rPr>
      </w:r>
    </w:p>
    <w:p w14:paraId="2A75CCB8" w14:textId="77777777">
      <w:pPr>
        <w:pBdr/>
        <w:spacing w:line="257" w:lineRule="atLeast"/>
        <w:ind/>
        <w:jc w:val="both"/>
        <w:rPr>
          <w:color w:val="000000"/>
          <w:szCs w:val="24"/>
        </w:rPr>
      </w:pPr>
      <w:r>
        <w:rPr>
          <w:color w:val="000000"/>
          <w:szCs w:val="24"/>
        </w:rPr>
        <w:t xml:space="preserve">18.2.</w:t>
      </w:r>
      <w:r>
        <w:rPr>
          <w:b/>
          <w:bCs/>
          <w:color w:val="000000"/>
          <w:szCs w:val="24"/>
        </w:rPr>
        <w:t xml:space="preserve">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w:t>
      </w:r>
      <w:r>
        <w:rPr>
          <w:color w:val="000000"/>
          <w:szCs w:val="24"/>
        </w:rPr>
        <w:t xml:space="preserve">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color w:val="000000"/>
          <w:szCs w:val="24"/>
        </w:rPr>
        <w:t xml:space="preserve">agrindas.</w:t>
      </w:r>
      <w:r>
        <w:rPr>
          <w:color w:val="000000"/>
          <w:szCs w:val="24"/>
        </w:rPr>
      </w:r>
      <w:r>
        <w:rPr>
          <w:color w:val="000000"/>
          <w:szCs w:val="24"/>
        </w:rPr>
      </w:r>
    </w:p>
    <w:p w14:paraId="043B8278" w14:textId="77777777">
      <w:pPr>
        <w:pBdr/>
        <w:spacing w:line="257" w:lineRule="atLeast"/>
        <w:ind/>
        <w:jc w:val="both"/>
        <w:rPr>
          <w:color w:val="000000"/>
          <w:szCs w:val="24"/>
        </w:rPr>
      </w:pPr>
      <w:r>
        <w:rPr>
          <w:color w:val="000000"/>
          <w:szCs w:val="24"/>
        </w:rPr>
        <w:t xml:space="preserve">18.3.</w:t>
      </w:r>
      <w:r>
        <w:rPr>
          <w:b/>
          <w:bCs/>
          <w:color w:val="000000"/>
          <w:szCs w:val="24"/>
        </w:rPr>
        <w:t xml:space="preserve"> </w:t>
      </w:r>
      <w:r>
        <w:rPr>
          <w:color w:val="000000"/>
          <w:szCs w:val="24"/>
        </w:rPr>
        <w:t xml:space="preserve">Pagrindas atleisti Šalį nuo atsakomybės atsiranda nuo nenugalimos jėgos aplinkybių atsiradimo momento arba, jeigu </w:t>
      </w:r>
      <w:r>
        <w:rPr>
          <w:color w:val="000000"/>
          <w:szCs w:val="24"/>
        </w:rPr>
        <w:t xml:space="preserve">laiku nebuvo pateiktas pranešimas, nuo pranešimo pateikimo momento. Jeigu Šalis laiku neišsiunčia pranešimo arba neinformuoja, ji privalo kompensuoti kitai Šaliai žalą, kurią ši patyrė dėl laiku nepateikto pranešimo arba dėl to, kad nebuvo jokio pranešimo.</w:t>
      </w:r>
      <w:r>
        <w:rPr>
          <w:color w:val="000000"/>
          <w:szCs w:val="24"/>
        </w:rPr>
      </w:r>
      <w:r>
        <w:rPr>
          <w:color w:val="000000"/>
          <w:szCs w:val="24"/>
        </w:rPr>
      </w:r>
    </w:p>
    <w:p w14:paraId="7A08DDFA" w14:textId="77777777">
      <w:pPr>
        <w:pBdr/>
        <w:spacing w:line="257" w:lineRule="atLeast"/>
        <w:ind/>
        <w:jc w:val="both"/>
        <w:rPr>
          <w:color w:val="000000"/>
          <w:szCs w:val="24"/>
        </w:rPr>
      </w:pPr>
      <w:r>
        <w:rPr>
          <w:color w:val="000000"/>
          <w:szCs w:val="24"/>
        </w:rPr>
        <w:t xml:space="preserve">18.4. Jeigu nenugalimos jėgos (</w:t>
      </w:r>
      <w:r>
        <w:rPr>
          <w:i/>
          <w:iCs/>
          <w:color w:val="000000"/>
          <w:szCs w:val="24"/>
        </w:rPr>
        <w:t xml:space="preserve">force majeure</w:t>
      </w:r>
      <w:r>
        <w:rPr>
          <w:color w:val="000000"/>
          <w:szCs w:val="24"/>
        </w:rPr>
        <w:t xml:space="preserve">) aplinkybės tęsiasi ilgiau negu 1 (vieną) mėnesį nuo pranešimo apie jas gavimo dienos, bet kuri Šalis gali nutraukti Suta</w:t>
      </w:r>
      <w:r>
        <w:rPr>
          <w:color w:val="000000"/>
          <w:szCs w:val="24"/>
        </w:rPr>
        <w:t xml:space="preserve">rtį apie tai pranešusi kitai šaliai prieš 5 (penkias) darbo dienas. Nenugalima jėga nelaikoma tai, kad Šalis neturi reikiamų finansinių išteklių arba skolininko kontrahentai pažeidžia savo prievoles, arba skolininkas pažeidžia savo prievoles kontrahentams.</w:t>
      </w:r>
      <w:r>
        <w:rPr>
          <w:color w:val="000000"/>
          <w:szCs w:val="24"/>
        </w:rPr>
      </w:r>
      <w:r>
        <w:rPr>
          <w:color w:val="000000"/>
          <w:szCs w:val="24"/>
        </w:rPr>
      </w:r>
    </w:p>
    <w:p w14:paraId="4138BC5A"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89E9E57" w14:textId="77777777">
      <w:pPr>
        <w:pBdr/>
        <w:spacing w:line="257" w:lineRule="atLeast"/>
        <w:ind/>
        <w:jc w:val="center"/>
        <w:rPr>
          <w:color w:val="000000"/>
          <w:szCs w:val="24"/>
        </w:rPr>
      </w:pPr>
      <w:r>
        <w:rPr>
          <w:b/>
          <w:bCs/>
          <w:caps/>
          <w:color w:val="000000"/>
          <w:szCs w:val="24"/>
        </w:rPr>
        <w:t xml:space="preserve">19.  SUTARTIES NUOSTATŲ NEGALIOJIMAS</w:t>
      </w:r>
      <w:r>
        <w:rPr>
          <w:color w:val="000000"/>
          <w:szCs w:val="24"/>
        </w:rPr>
      </w:r>
      <w:r>
        <w:rPr>
          <w:color w:val="000000"/>
          <w:szCs w:val="24"/>
        </w:rPr>
      </w:r>
    </w:p>
    <w:p w14:paraId="382D3AA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A312590" w14:textId="77777777">
      <w:pPr>
        <w:pBdr/>
        <w:spacing w:line="257" w:lineRule="atLeast"/>
        <w:ind/>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w:t>
      </w:r>
      <w:r>
        <w:rPr>
          <w:color w:val="000000"/>
          <w:szCs w:val="24"/>
        </w:rPr>
        <w:t xml:space="preserve">fektą, kokio buvo siekta susitariant dėl negaliojančios Sutarties nuostatos. Tokia negaliojanti nuostata nedaro negaliojančiomis kitų Sutarties nuostatų, jeigu tai nepažeidžia įstatymų bei kitų teisės aktų ir galima daryti prielaidą, kad Sutartis būtų buvu</w:t>
      </w:r>
      <w:r>
        <w:rPr>
          <w:color w:val="000000"/>
          <w:szCs w:val="24"/>
        </w:rPr>
        <w:t xml:space="preserve">si teisėtai sudaryta ir neįtraukus nuostatos, kuri yra negaliojanti.</w:t>
      </w:r>
      <w:r>
        <w:rPr>
          <w:color w:val="000000"/>
          <w:szCs w:val="24"/>
        </w:rPr>
      </w:r>
      <w:r>
        <w:rPr>
          <w:color w:val="000000"/>
          <w:szCs w:val="24"/>
        </w:rPr>
      </w:r>
    </w:p>
    <w:p w14:paraId="0A7AE4ED" w14:textId="77777777">
      <w:pPr>
        <w:pBdr/>
        <w:spacing w:line="257" w:lineRule="atLeast"/>
        <w:ind/>
        <w:jc w:val="both"/>
        <w:rPr>
          <w:color w:val="000000"/>
          <w:szCs w:val="24"/>
        </w:rPr>
      </w:pPr>
      <w:r>
        <w:rPr>
          <w:color w:val="000000"/>
          <w:szCs w:val="24"/>
        </w:rPr>
        <w:t xml:space="preserve">19.2. Jeigu Specialiosiose</w:t>
      </w:r>
      <w:r>
        <w:rPr>
          <w:color w:val="000000"/>
          <w:szCs w:val="24"/>
        </w:rPr>
        <w:t xml:space="preserve"> sąlygose numatytas Bendrųjų sąlygų nuostatos pakeitimas yra arba tampa dalinai ar pilnai negaliojantis, negali būti taikoma tos Bendrųjų sąlygų nuostatos redakcija, buvusi iki pakeitimo. Tokiu atveju Šalys privalo veikti pagal Bendrųjų sąlygų 19.1 punktą.</w:t>
      </w:r>
      <w:r>
        <w:rPr>
          <w:color w:val="000000"/>
          <w:szCs w:val="24"/>
        </w:rPr>
      </w:r>
      <w:r>
        <w:rPr>
          <w:color w:val="000000"/>
          <w:szCs w:val="24"/>
        </w:rPr>
      </w:r>
    </w:p>
    <w:p w14:paraId="27AD02E2"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3546714" w14:textId="77777777">
      <w:pPr>
        <w:pBdr/>
        <w:spacing w:line="257" w:lineRule="atLeast"/>
        <w:ind/>
        <w:jc w:val="center"/>
        <w:rPr>
          <w:color w:val="000000"/>
          <w:szCs w:val="24"/>
        </w:rPr>
      </w:pPr>
      <w:r>
        <w:rPr>
          <w:b/>
          <w:bCs/>
          <w:caps/>
          <w:color w:val="000000"/>
          <w:szCs w:val="24"/>
        </w:rPr>
        <w:t xml:space="preserve">20.  SUTARTIES PAKEITIMAI</w:t>
      </w:r>
      <w:r>
        <w:rPr>
          <w:color w:val="000000"/>
          <w:szCs w:val="24"/>
        </w:rPr>
      </w:r>
      <w:r>
        <w:rPr>
          <w:color w:val="000000"/>
          <w:szCs w:val="24"/>
        </w:rPr>
      </w:r>
    </w:p>
    <w:p w14:paraId="48032EFA"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D2DF5F3" w14:textId="77777777">
      <w:pPr>
        <w:pBdr/>
        <w:spacing w:line="257" w:lineRule="atLeast"/>
        <w:ind/>
        <w:jc w:val="both"/>
        <w:rPr>
          <w:szCs w:val="24"/>
        </w:rPr>
      </w:pPr>
      <w:r>
        <w:rPr>
          <w:szCs w:val="24"/>
        </w:rPr>
        <w:t xml:space="preserve">20.1. Sutarties sąlygos Sutarties galiojimo laikotarpiu negali būti keičiamos, išskyrus tokias Sutarties sąlygas, kurių keitimas numatytas Sutartyje ir (ar) galimas vadovaujantis VPĮ nuostatomis.</w:t>
      </w:r>
      <w:r>
        <w:rPr>
          <w:szCs w:val="24"/>
        </w:rPr>
      </w:r>
      <w:r>
        <w:rPr>
          <w:szCs w:val="24"/>
        </w:rPr>
      </w:r>
    </w:p>
    <w:p w14:paraId="27414FE8" w14:textId="77777777">
      <w:pPr>
        <w:pBdr/>
        <w:spacing w:line="257" w:lineRule="atLeast"/>
        <w:ind/>
        <w:jc w:val="both"/>
        <w:rPr>
          <w:color w:val="000000"/>
          <w:szCs w:val="24"/>
        </w:rPr>
      </w:pPr>
      <w:r>
        <w:rPr>
          <w:color w:val="000000"/>
          <w:szCs w:val="24"/>
        </w:rPr>
        <w:t xml:space="preserve">20.2. Sutarties pakeitimai įforminami Šalims sudarant Susitarimą.</w:t>
      </w:r>
      <w:r>
        <w:rPr>
          <w:color w:val="000000"/>
          <w:szCs w:val="24"/>
        </w:rPr>
      </w:r>
      <w:r>
        <w:rPr>
          <w:color w:val="000000"/>
          <w:szCs w:val="24"/>
        </w:rPr>
      </w:r>
    </w:p>
    <w:p w14:paraId="0FA34EF3" w14:textId="77777777">
      <w:pPr>
        <w:pBdr/>
        <w:spacing w:line="257" w:lineRule="atLeast"/>
        <w:ind/>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w:t>
      </w:r>
      <w:r>
        <w:rPr>
          <w:color w:val="000000"/>
          <w:szCs w:val="24"/>
        </w:rPr>
        <w:t xml:space="preserve">ita Šalis per 5 (penkias) darbo dienas (arba per kitą Šalių raštu sutartą terminą) privalo išanalizuoti ir įvertinti gautą informaciją, pateikti savo pastabas ir pasiūlymus, pagrįstus Sutarties arba imperatyviomis įstatymų bei kitų teisės aktų nuostatomis.</w:t>
      </w:r>
      <w:r>
        <w:rPr>
          <w:color w:val="000000"/>
          <w:szCs w:val="24"/>
        </w:rPr>
      </w:r>
      <w:r>
        <w:rPr>
          <w:color w:val="000000"/>
          <w:szCs w:val="24"/>
        </w:rPr>
      </w:r>
    </w:p>
    <w:p w14:paraId="071887B0" w14:textId="77777777">
      <w:pPr>
        <w:pBdr/>
        <w:spacing w:line="257" w:lineRule="atLeast"/>
        <w:ind/>
        <w:jc w:val="both"/>
        <w:rPr>
          <w:color w:val="000000"/>
          <w:szCs w:val="24"/>
        </w:rPr>
      </w:pPr>
      <w:r>
        <w:rPr>
          <w:color w:val="000000"/>
          <w:szCs w:val="24"/>
        </w:rPr>
        <w:t xml:space="preserve">20.4. Susitarimai įsigalioja nuo jų sudarymo, jei Susitarime nenurodyta kitaip. Susitarimą Pirkėjas privalo paviešinti VPĮ 33 ir 86 straipsniuose nustatyta tvarka.</w:t>
      </w:r>
      <w:r>
        <w:rPr>
          <w:color w:val="000000"/>
          <w:szCs w:val="24"/>
        </w:rPr>
      </w:r>
      <w:r>
        <w:rPr>
          <w:color w:val="000000"/>
          <w:szCs w:val="24"/>
        </w:rPr>
      </w:r>
    </w:p>
    <w:p w14:paraId="531A2262" w14:textId="77777777">
      <w:pPr>
        <w:pBdr/>
        <w:spacing w:line="257" w:lineRule="atLeast"/>
        <w:ind/>
        <w:jc w:val="both"/>
        <w:rPr>
          <w:color w:val="000000"/>
          <w:szCs w:val="24"/>
        </w:rPr>
      </w:pPr>
      <w:r>
        <w:rPr>
          <w:color w:val="000000"/>
          <w:szCs w:val="24"/>
        </w:rPr>
        <w:t xml:space="preserve">20.5. Specialiosiose sąlygose nurodytų duomenų apie kontaktinius asmenis bei rekvizitų pasikeitimas nelaikomas Sutarties pakeitimu (išs</w:t>
      </w:r>
      <w:r>
        <w:rPr>
          <w:color w:val="000000"/>
          <w:szCs w:val="24"/>
        </w:rPr>
        <w:t xml:space="preserve">kyrus Tiekėjo, jungtinės veiklos Partnerio, subtiekėjo ar specialisto pakeitimą kitu asmeniu) ir Šalis turi pakeisti tuos duomenis vienašališkai, informuodama apie tai kitą Šalį. Bet kuriuo atveju Sutarties pakeitimu negali būti iš esmės keičiama Sutartis.</w:t>
      </w:r>
      <w:r>
        <w:rPr>
          <w:color w:val="000000"/>
          <w:szCs w:val="24"/>
        </w:rPr>
      </w:r>
      <w:r>
        <w:rPr>
          <w:color w:val="000000"/>
          <w:szCs w:val="24"/>
        </w:rPr>
      </w:r>
    </w:p>
    <w:p w14:paraId="2CA5F354"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5749C4D" w14:textId="77777777">
      <w:pPr>
        <w:pBdr/>
        <w:spacing w:line="257" w:lineRule="atLeast"/>
        <w:ind/>
        <w:jc w:val="center"/>
        <w:rPr>
          <w:color w:val="000000"/>
          <w:szCs w:val="24"/>
        </w:rPr>
      </w:pPr>
      <w:r>
        <w:rPr>
          <w:b/>
          <w:bCs/>
          <w:caps/>
          <w:color w:val="000000"/>
          <w:szCs w:val="24"/>
        </w:rPr>
        <w:t xml:space="preserve">21.  SUTARTIES SUSTABDYMAS</w:t>
      </w:r>
      <w:r>
        <w:rPr>
          <w:color w:val="000000"/>
          <w:szCs w:val="24"/>
        </w:rPr>
      </w:r>
      <w:r>
        <w:rPr>
          <w:color w:val="000000"/>
          <w:szCs w:val="24"/>
        </w:rPr>
      </w:r>
    </w:p>
    <w:p w14:paraId="159D3E6C"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4C705FDE" w14:textId="77777777">
      <w:pPr>
        <w:pBdr/>
        <w:spacing w:line="257" w:lineRule="atLeast"/>
        <w:ind/>
        <w:jc w:val="both"/>
        <w:rPr>
          <w:szCs w:val="24"/>
        </w:rPr>
      </w:pPr>
      <w:r>
        <w:rPr>
          <w:szCs w:val="24"/>
        </w:rPr>
        <w:t xml:space="preserve">21.1. Nesant Tiekėjo kaltės ir esant aplinkybėms, kurių Sutarties Šalis negalėjo numatyti Sutar</w:t>
      </w:r>
      <w:r>
        <w:rPr>
          <w:szCs w:val="24"/>
        </w:rPr>
        <w:t xml:space="preserve">ties sudarymo metu, dėl kurių Sutarties Šalis negali vykdyti savo sutartinių įsipareigojimų ir (arba) esant kitoms nenumatytoms aplinkybėms, Sutarties šalys turi teisę inicijuoti Prekių (jų dalies) tiekimo sustabdymą iki atitinkamų aplinkybių pasibaigimo. </w:t>
      </w:r>
      <w:r>
        <w:rPr>
          <w:szCs w:val="24"/>
        </w:rPr>
      </w:r>
      <w:r>
        <w:rPr>
          <w:szCs w:val="24"/>
        </w:rPr>
      </w:r>
    </w:p>
    <w:p w14:paraId="0E1AAF0E" w14:textId="77777777">
      <w:pPr>
        <w:pBdr/>
        <w:spacing w:line="257" w:lineRule="atLeast"/>
        <w:ind/>
        <w:jc w:val="both"/>
        <w:rPr>
          <w:color w:val="000000"/>
          <w:szCs w:val="24"/>
        </w:rPr>
      </w:pPr>
      <w:r>
        <w:rPr>
          <w:color w:val="000000"/>
          <w:szCs w:val="24"/>
        </w:rPr>
        <w:t xml:space="preserve">21.2. Prekių (jų dalies) tiekimas gali būti stabdomas esant bent vienai iš šių aplinkybių: </w:t>
      </w:r>
      <w:r>
        <w:rPr>
          <w:color w:val="000000"/>
          <w:szCs w:val="24"/>
        </w:rPr>
      </w:r>
      <w:r>
        <w:rPr>
          <w:color w:val="000000"/>
          <w:szCs w:val="24"/>
        </w:rPr>
      </w:r>
    </w:p>
    <w:p w14:paraId="30BA52AD" w14:textId="77777777">
      <w:pPr>
        <w:pBdr/>
        <w:spacing w:line="257" w:lineRule="atLeast"/>
        <w:ind/>
        <w:jc w:val="both"/>
        <w:rPr>
          <w:color w:val="000000"/>
          <w:szCs w:val="24"/>
        </w:rPr>
      </w:pPr>
      <w:r>
        <w:rPr>
          <w:color w:val="000000"/>
          <w:szCs w:val="24"/>
        </w:rPr>
        <w:t xml:space="preserve">21.2.1. esant Bendrųjų sąlygų 18 skyriuje n</w:t>
      </w:r>
      <w:r>
        <w:rPr>
          <w:color w:val="000000"/>
          <w:szCs w:val="24"/>
        </w:rPr>
        <w:t xml:space="preserve">umatytoms nenugalimos jėgos aplinkybėms, sutartinių įsipareigojimų vykdymo terminai stabdomi nuo kliūties atsiradimo momento arba jeigu apie ją nėra laiku pranešta, nuo pranešimo momento ir atnaujinami, kai minėtos aplinkybės nebetrukdo vykdyti Sutarties; </w:t>
      </w:r>
      <w:r>
        <w:rPr>
          <w:color w:val="000000"/>
          <w:szCs w:val="24"/>
        </w:rPr>
      </w:r>
      <w:r>
        <w:rPr>
          <w:color w:val="000000"/>
          <w:szCs w:val="24"/>
        </w:rPr>
      </w:r>
    </w:p>
    <w:p w14:paraId="77027F3A" w14:textId="77777777">
      <w:pPr>
        <w:pBdr/>
        <w:spacing w:line="257" w:lineRule="atLeast"/>
        <w:ind/>
        <w:jc w:val="both"/>
        <w:rPr>
          <w:color w:val="000000"/>
          <w:szCs w:val="24"/>
        </w:rPr>
      </w:pPr>
      <w:r>
        <w:rPr>
          <w:color w:val="000000"/>
          <w:szCs w:val="24"/>
        </w:rPr>
        <w:t xml:space="preserve">21.2.2. Pirkėjas Sutartyje nurodyta tvarka negali priimti Prekių (pavyzdžiui, nebaigta įrengti patalpa, kurioje turi būti įmontuojamos Prekės), o Tiekėjas dėl to negali vykdyti Sutarties; </w:t>
      </w:r>
      <w:r>
        <w:rPr>
          <w:color w:val="000000"/>
          <w:szCs w:val="24"/>
        </w:rPr>
      </w:r>
      <w:r>
        <w:rPr>
          <w:color w:val="000000"/>
          <w:szCs w:val="24"/>
        </w:rPr>
      </w:r>
    </w:p>
    <w:p w14:paraId="35D7BFBE" w14:textId="77777777">
      <w:pPr>
        <w:pBdr/>
        <w:spacing w:line="257" w:lineRule="atLeast"/>
        <w:ind/>
        <w:jc w:val="both"/>
        <w:rPr>
          <w:color w:val="000000"/>
          <w:szCs w:val="24"/>
        </w:rPr>
      </w:pPr>
      <w:r>
        <w:rPr>
          <w:color w:val="000000"/>
          <w:szCs w:val="24"/>
        </w:rPr>
        <w:t xml:space="preserve">21.2.3. dėl nenumatytų prekių, paslaugų ir (ar) darbų, susijusių su perkamu objektu, kurių poreikis paaiškėjo tik vykdant Sutartį; </w:t>
      </w:r>
      <w:r>
        <w:rPr>
          <w:color w:val="000000"/>
          <w:szCs w:val="24"/>
        </w:rPr>
      </w:r>
      <w:r>
        <w:rPr>
          <w:color w:val="000000"/>
          <w:szCs w:val="24"/>
        </w:rPr>
      </w:r>
    </w:p>
    <w:p w14:paraId="30E3B69D" w14:textId="77777777">
      <w:pPr>
        <w:pBdr/>
        <w:spacing w:line="257" w:lineRule="atLeast"/>
        <w:ind/>
        <w:jc w:val="both"/>
        <w:rPr>
          <w:color w:val="000000"/>
          <w:szCs w:val="24"/>
        </w:rPr>
      </w:pPr>
      <w:r>
        <w:rPr>
          <w:color w:val="000000"/>
          <w:szCs w:val="24"/>
        </w:rPr>
        <w:t xml:space="preserve">21.2.4. ne dėl Pirkėjo kaltės vėluoja kitos Pirkėjo pirkimo sutarties, turinčios tiesioginės įtakos šiai Sutarčiai, vykdymas;  </w:t>
      </w:r>
      <w:r>
        <w:rPr>
          <w:color w:val="000000"/>
          <w:szCs w:val="24"/>
        </w:rPr>
      </w:r>
      <w:r>
        <w:rPr>
          <w:color w:val="000000"/>
          <w:szCs w:val="24"/>
        </w:rPr>
      </w:r>
    </w:p>
    <w:p w14:paraId="2AE16FAA" w14:textId="77777777">
      <w:pPr>
        <w:pBdr/>
        <w:spacing w:line="257" w:lineRule="atLeast"/>
        <w:ind/>
        <w:jc w:val="both"/>
        <w:rPr>
          <w:color w:val="000000"/>
          <w:szCs w:val="24"/>
        </w:rPr>
      </w:pPr>
      <w:r>
        <w:rPr>
          <w:color w:val="000000"/>
          <w:szCs w:val="24"/>
        </w:rPr>
        <w:t xml:space="preserve">21.2.5. esant įrodymais pagrįstoms kliūtims ar trukdymams, sukeltiems Tiekėjui kitų trečiųjų asmenų ne dėl Tiekėjo ne laiku ar netinkamai pagal Sutarties sąlygas ir tvarką įvykdytų sutartinių įsipareigojimų; </w:t>
      </w:r>
      <w:r>
        <w:rPr>
          <w:color w:val="000000"/>
          <w:szCs w:val="24"/>
        </w:rPr>
      </w:r>
      <w:r>
        <w:rPr>
          <w:color w:val="000000"/>
          <w:szCs w:val="24"/>
        </w:rPr>
      </w:r>
    </w:p>
    <w:p w14:paraId="2585A34D" w14:textId="77777777">
      <w:pPr>
        <w:pBdr/>
        <w:spacing w:line="257" w:lineRule="atLeast"/>
        <w:ind/>
        <w:jc w:val="both"/>
        <w:rPr>
          <w:color w:val="000000"/>
          <w:szCs w:val="24"/>
        </w:rPr>
      </w:pPr>
      <w:r>
        <w:rPr>
          <w:color w:val="000000"/>
          <w:szCs w:val="24"/>
        </w:rPr>
        <w:t xml:space="preserve">21.2.6. pasikeitus galiojančiam teisės aktui ar įsigaliojus naujam teisės aktui, kuris turi įtakos šios Sutarties vykdymui; </w:t>
      </w:r>
      <w:r>
        <w:rPr>
          <w:color w:val="000000"/>
          <w:szCs w:val="24"/>
        </w:rPr>
      </w:r>
      <w:r>
        <w:rPr>
          <w:color w:val="000000"/>
          <w:szCs w:val="24"/>
        </w:rPr>
      </w:r>
    </w:p>
    <w:p w14:paraId="12D692F3" w14:textId="77777777">
      <w:pPr>
        <w:pBdr/>
        <w:spacing w:line="257" w:lineRule="atLeast"/>
        <w:ind/>
        <w:jc w:val="both"/>
        <w:rPr>
          <w:color w:val="000000"/>
          <w:szCs w:val="24"/>
        </w:rPr>
      </w:pPr>
      <w:r>
        <w:rPr>
          <w:color w:val="000000"/>
          <w:szCs w:val="24"/>
        </w:rPr>
        <w:t xml:space="preserve">21.2.7. sutartinių įsipareigojimų stabdymo būtinybė atsirado dėl sustabdyto / perskirstyto / negauto ir panašiai Pirkėjo Prekių pirkimui skirto finansavimo arba finansavimo trūkumo; </w:t>
      </w:r>
      <w:r>
        <w:rPr>
          <w:color w:val="000000"/>
          <w:szCs w:val="24"/>
        </w:rPr>
      </w:r>
      <w:r>
        <w:rPr>
          <w:color w:val="000000"/>
          <w:szCs w:val="24"/>
        </w:rPr>
      </w:r>
    </w:p>
    <w:p w14:paraId="4CD01CD0" w14:textId="77777777">
      <w:pPr>
        <w:pBdr/>
        <w:spacing w:line="257" w:lineRule="atLeast"/>
        <w:ind/>
        <w:jc w:val="both"/>
        <w:rPr>
          <w:color w:val="000000"/>
          <w:szCs w:val="24"/>
        </w:rPr>
      </w:pPr>
      <w:r>
        <w:rPr>
          <w:color w:val="000000"/>
          <w:szCs w:val="24"/>
        </w:rPr>
        <w:t xml:space="preserve">21.2.8. dėl teisminių (arbitražinių) ginčų su Pirkėju ar trečiaisiais asmenimis, kurių dalykas yra tiesiogiai susijęs su Sutarties vykdymu. </w:t>
      </w:r>
      <w:r>
        <w:rPr>
          <w:color w:val="000000"/>
          <w:szCs w:val="24"/>
        </w:rPr>
      </w:r>
      <w:r>
        <w:rPr>
          <w:color w:val="000000"/>
          <w:szCs w:val="24"/>
        </w:rPr>
      </w:r>
    </w:p>
    <w:p w14:paraId="66EE3BAA" w14:textId="77777777">
      <w:pPr>
        <w:pBdr/>
        <w:spacing/>
        <w:ind/>
        <w:jc w:val="both"/>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szCs w:val="24"/>
        </w:rPr>
        <w:t xml:space="preserve">ir įforminamas Sutarties 21.6 punkte nustatyta tvarka</w:t>
      </w:r>
      <w:r>
        <w:rPr>
          <w:color w:val="000000"/>
          <w:szCs w:val="24"/>
        </w:rPr>
        <w:t xml:space="preserve">.</w:t>
      </w:r>
      <w:r>
        <w:rPr>
          <w:color w:val="000000"/>
          <w:szCs w:val="24"/>
        </w:rPr>
      </w:r>
      <w:r>
        <w:rPr>
          <w:color w:val="000000"/>
          <w:szCs w:val="24"/>
        </w:rPr>
      </w:r>
    </w:p>
    <w:p w14:paraId="5C73DC5F" w14:textId="77777777">
      <w:pPr>
        <w:pBdr/>
        <w:tabs>
          <w:tab w:val="left" w:leader="none" w:pos="567"/>
        </w:tabs>
        <w:spacing/>
        <w:ind/>
        <w:jc w:val="both"/>
        <w:rPr>
          <w:rFonts w:eastAsia="Calibri"/>
          <w:szCs w:val="24"/>
        </w:rPr>
      </w:pPr>
      <w:r>
        <w:rPr>
          <w:color w:val="000000"/>
          <w:szCs w:val="24"/>
        </w:rPr>
        <w:t xml:space="preserve">21.4. Jei Prekių (jų dalies) stabdymas vykdomas dėl kitų aplinkybių, nenurodytų Bendrųjų s</w:t>
      </w:r>
      <w:r>
        <w:rPr>
          <w:color w:val="000000"/>
          <w:szCs w:val="24"/>
        </w:rPr>
        <w:t xml:space="preserve">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szCs w:val="24"/>
        </w:rPr>
        <w:t xml:space="preserve">ir įforminamas Sutarties 21.6 punkte nustatyta tvarka.</w:t>
      </w:r>
      <w:r>
        <w:rPr>
          <w:rFonts w:eastAsia="Calibri"/>
          <w:szCs w:val="24"/>
        </w:rPr>
      </w:r>
      <w:r>
        <w:rPr>
          <w:rFonts w:eastAsia="Calibri"/>
          <w:szCs w:val="24"/>
        </w:rPr>
      </w:r>
    </w:p>
    <w:p w14:paraId="63DA0CC4" w14:textId="77777777">
      <w:pPr>
        <w:pBdr/>
        <w:spacing/>
        <w:ind/>
        <w:jc w:val="both"/>
        <w:rPr>
          <w:color w:val="000000"/>
          <w:szCs w:val="24"/>
        </w:rPr>
      </w:pPr>
      <w:r>
        <w:rPr>
          <w:color w:val="000000"/>
          <w:szCs w:val="24"/>
        </w:rPr>
        <w:t xml:space="preserve">21.5. Sutartinių įsipareigojimų vykdymas gali būti stabdomas tik Sutarties galiojimo laikotarpiu tokia tvarka:</w:t>
      </w:r>
      <w:r>
        <w:rPr>
          <w:color w:val="000000"/>
          <w:szCs w:val="24"/>
        </w:rPr>
      </w:r>
      <w:r>
        <w:rPr>
          <w:color w:val="000000"/>
          <w:szCs w:val="24"/>
        </w:rPr>
      </w:r>
    </w:p>
    <w:p w14:paraId="3F289664" w14:textId="77777777">
      <w:pPr>
        <w:pBdr/>
        <w:spacing/>
        <w:ind/>
        <w:jc w:val="both"/>
        <w:rPr>
          <w:color w:val="000000"/>
          <w:szCs w:val="24"/>
        </w:rPr>
      </w:pPr>
      <w:r>
        <w:rPr>
          <w:color w:val="000000"/>
          <w:szCs w:val="24"/>
        </w:rPr>
        <w:t xml:space="preserve">21.5.1. Atsiradus aplinkybėms, dėl kurių Tiekėjas </w:t>
      </w:r>
      <w:r>
        <w:rPr>
          <w:color w:val="000000"/>
          <w:szCs w:val="24"/>
        </w:rPr>
        <w:t xml:space="preserve">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Pr>
          <w:color w:val="000000"/>
          <w:szCs w:val="24"/>
        </w:rPr>
        <w:t xml:space="preserve">argumentai, objektyvūs faktai ir įrodymai. Pirkėjas, įvertinęs prašymą, ne vėliau kaip per 3 (tris) darbo dienas raštu informuoja Tiekėją apie priimtą sprendimą dėl sutartinių įsipareigojimų vykdymo stabdymo. Tiekėjui nepateikus konkrečių argumentų, faktų,</w:t>
      </w:r>
      <w:r>
        <w:rPr>
          <w:color w:val="000000"/>
          <w:szCs w:val="24"/>
        </w:rPr>
        <w:t xml:space="preserve"> pagrįstų įrodymais, Pirkėjas turi teisę raštu atsisakyti patvirtinti stabdymą. </w:t>
      </w:r>
      <w:r>
        <w:rPr>
          <w:color w:val="000000"/>
          <w:szCs w:val="24"/>
        </w:rPr>
      </w:r>
      <w:r>
        <w:rPr>
          <w:color w:val="000000"/>
          <w:szCs w:val="24"/>
        </w:rPr>
      </w:r>
    </w:p>
    <w:p w14:paraId="131E5658" w14:textId="77777777">
      <w:pPr>
        <w:pBdr/>
        <w:spacing w:line="264" w:lineRule="atLeast"/>
        <w:ind/>
        <w:jc w:val="both"/>
        <w:rPr>
          <w:color w:val="000000"/>
          <w:szCs w:val="24"/>
        </w:rPr>
      </w:pPr>
      <w:r>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w:t>
      </w:r>
      <w:r>
        <w:rPr>
          <w:color w:val="000000"/>
          <w:szCs w:val="24"/>
        </w:rPr>
        <w:t xml:space="preserve">rkėją ir patvirtina, kad sutinka su stabdymu. Tiekėjas turi teisę prieštarauti sutartinių įsipareigojimų vykdymo stabdymui tik tuo atveju, jei Tiekėjas savo sąskaita ir jėgomis gali pašalinti atsiradusias aplinkybes, dėl kurių kilo būtinybė stabdyti sutart</w:t>
      </w:r>
      <w:r>
        <w:rPr>
          <w:color w:val="000000"/>
          <w:szCs w:val="24"/>
        </w:rPr>
        <w:t xml:space="preserve">inių įsipareigojimų vykdymą.</w:t>
      </w:r>
      <w:r>
        <w:rPr>
          <w:color w:val="000000"/>
          <w:szCs w:val="24"/>
        </w:rPr>
      </w:r>
      <w:r>
        <w:rPr>
          <w:color w:val="000000"/>
          <w:szCs w:val="24"/>
        </w:rPr>
      </w:r>
    </w:p>
    <w:p w14:paraId="0DE3238C" w14:textId="77777777">
      <w:pPr>
        <w:pBdr/>
        <w:spacing w:line="264" w:lineRule="atLeast"/>
        <w:ind/>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szCs w:val="24"/>
        </w:rPr>
        <w:t xml:space="preserve">Jei sutartinių įsipareigojimų ar jų dalies vykdymas sustabdytas</w:t>
      </w:r>
      <w:r>
        <w:rPr>
          <w:szCs w:val="24"/>
        </w:rPr>
        <w:t xml:space="preserve">, Šalys negali vykdyti jokių jiems pagal Sutartį ar Sutarties dalį priskirtų įsipareigojimų.</w:t>
      </w:r>
      <w:r>
        <w:rPr>
          <w:szCs w:val="24"/>
        </w:rPr>
      </w:r>
      <w:r>
        <w:rPr>
          <w:szCs w:val="24"/>
        </w:rPr>
      </w:r>
    </w:p>
    <w:p w14:paraId="5DD76077" w14:textId="77777777">
      <w:pPr>
        <w:pBdr/>
        <w:spacing w:line="264" w:lineRule="atLeast"/>
        <w:ind/>
        <w:jc w:val="both"/>
        <w:rPr>
          <w:color w:val="000000"/>
          <w:szCs w:val="24"/>
        </w:rPr>
      </w:pPr>
      <w:r>
        <w:rPr>
          <w:color w:val="000000"/>
          <w:szCs w:val="24"/>
        </w:rPr>
        <w:t xml:space="preserve">21.6. Šalys sutartinių įsipareigoj</w:t>
      </w:r>
      <w:r>
        <w:rPr>
          <w:color w:val="000000"/>
          <w:szCs w:val="24"/>
        </w:rPr>
        <w:t xml:space="preserve">imų vykdymo stabdymą įformina rašytiniu susitarimu, nurodant priežastis ir sustabdymo terminą, bei pridedant dokumentus, patvirtinančius sustabdymo pagrindą, ir patvirtina Šalių įgaliotų atstovų parašais. Tokie susitarimai yra neatskiriama Sutarties dalis.</w:t>
      </w:r>
      <w:r>
        <w:rPr>
          <w:color w:val="000000"/>
          <w:szCs w:val="24"/>
        </w:rPr>
      </w:r>
      <w:r>
        <w:rPr>
          <w:color w:val="000000"/>
          <w:szCs w:val="24"/>
        </w:rPr>
      </w:r>
    </w:p>
    <w:p w14:paraId="2A9C8E52" w14:textId="77777777">
      <w:pPr>
        <w:pBdr/>
        <w:spacing w:line="264" w:lineRule="atLeast"/>
        <w:ind/>
        <w:jc w:val="both"/>
        <w:rPr>
          <w:color w:val="000000"/>
          <w:szCs w:val="24"/>
        </w:rPr>
      </w:pPr>
      <w:r>
        <w:rPr>
          <w:color w:val="000000"/>
          <w:szCs w:val="24"/>
        </w:rPr>
        <w:t xml:space="preserve">21.7. Sutartinių įsipareigojimų vykdymas stabdomas ne ilgesniam kaip konkrečios, pagrįstos aplinkybės egzistavimo laikotarpiui.</w:t>
      </w:r>
      <w:r>
        <w:rPr>
          <w:color w:val="000000"/>
          <w:szCs w:val="24"/>
        </w:rPr>
      </w:r>
      <w:r>
        <w:rPr>
          <w:color w:val="000000"/>
          <w:szCs w:val="24"/>
        </w:rPr>
      </w:r>
    </w:p>
    <w:p w14:paraId="530CB881" w14:textId="77777777">
      <w:pPr>
        <w:pBdr/>
        <w:spacing/>
        <w:ind/>
        <w:jc w:val="both"/>
        <w:rPr>
          <w:color w:val="000000"/>
          <w:szCs w:val="24"/>
        </w:rPr>
      </w:pPr>
      <w:r>
        <w:rPr>
          <w:color w:val="000000"/>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r>
        <w:rPr>
          <w:color w:val="000000"/>
          <w:szCs w:val="24"/>
        </w:rPr>
      </w:r>
      <w:r>
        <w:rPr>
          <w:color w:val="000000"/>
          <w:szCs w:val="24"/>
        </w:rPr>
      </w:r>
    </w:p>
    <w:p w14:paraId="2A0F091A" w14:textId="77777777">
      <w:pPr>
        <w:pBdr/>
        <w:tabs>
          <w:tab w:val="left" w:leader="none" w:pos="567"/>
        </w:tabs>
        <w:spacing/>
        <w:ind/>
        <w:jc w:val="both"/>
        <w:rPr>
          <w:rFonts w:eastAsia="Calibri"/>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szCs w:val="24"/>
        </w:rPr>
        <w:t xml:space="preserve">Tuo atveju, jeigu Sutartyje numatytų prievolių įvykdymo terminai atnaujinami anksčiau negu pasibaigia Šalių susitarime nurodytas sustabdymo terminas, Šalys Sutartyje numatytų prievolių įvykdymo terminų atnaujinimo datą įformina raštu.</w:t>
      </w:r>
      <w:r>
        <w:rPr>
          <w:rFonts w:eastAsia="Calibri"/>
          <w:szCs w:val="24"/>
        </w:rPr>
      </w:r>
      <w:r>
        <w:rPr>
          <w:rFonts w:eastAsia="Calibri"/>
          <w:szCs w:val="24"/>
        </w:rPr>
      </w:r>
    </w:p>
    <w:p w14:paraId="1DDCF4ED" w14:textId="77777777">
      <w:pPr>
        <w:pBdr/>
        <w:spacing/>
        <w:ind/>
        <w:jc w:val="both"/>
        <w:rPr>
          <w:color w:val="000000"/>
          <w:szCs w:val="24"/>
        </w:rPr>
      </w:pPr>
      <w:r>
        <w:rPr>
          <w:color w:val="000000"/>
          <w:szCs w:val="24"/>
        </w:rPr>
        <w:t xml:space="preserve">21.10. Atnaujinus Sutarties vykdymą, neįvykdytų prievolių (jų dalies) įvykdymo terminai ir Sutarties galiojimas nukeliami tokiam terminui, kiek buvo likę laiko jų įvykdymui (Sutarties galiojimui) jų sustabdymo metu. </w:t>
      </w:r>
      <w:r>
        <w:rPr>
          <w:color w:val="000000"/>
          <w:szCs w:val="24"/>
        </w:rPr>
      </w:r>
      <w:r>
        <w:rPr>
          <w:color w:val="000000"/>
          <w:szCs w:val="24"/>
        </w:rPr>
      </w:r>
    </w:p>
    <w:p w14:paraId="40ACF0B4" w14:textId="77777777">
      <w:pPr>
        <w:pBdr/>
        <w:spacing/>
        <w:ind/>
        <w:jc w:val="both"/>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w:t>
      </w:r>
      <w:r>
        <w:rPr>
          <w:color w:val="000000"/>
          <w:szCs w:val="24"/>
        </w:rPr>
        <w:t xml:space="preserve">u kitos Šalies pareikalauti atnaujinti Sutarties vykdymą. Šaliai be pagrįstų aplinkybių neatnaujinus Sutarties vykdymo per 10 (dešimt) dienų nuo atitinkamo kreipimosi, kita Šalis gali nutraukti Sutartį, apie tai įspėjusi kitą Šalį prieš 10 (dešimt) dienų. </w:t>
      </w:r>
      <w:r>
        <w:rPr>
          <w:color w:val="000000"/>
          <w:szCs w:val="24"/>
        </w:rPr>
      </w:r>
      <w:r>
        <w:rPr>
          <w:color w:val="000000"/>
          <w:szCs w:val="24"/>
        </w:rPr>
      </w:r>
    </w:p>
    <w:p w14:paraId="459B039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6E61F75" w14:textId="77777777">
      <w:pPr>
        <w:pBdr/>
        <w:spacing w:line="257" w:lineRule="atLeast"/>
        <w:ind/>
        <w:jc w:val="center"/>
        <w:rPr>
          <w:color w:val="000000"/>
          <w:szCs w:val="24"/>
        </w:rPr>
      </w:pPr>
      <w:r>
        <w:rPr>
          <w:b/>
          <w:bCs/>
          <w:caps/>
          <w:color w:val="000000"/>
          <w:szCs w:val="24"/>
        </w:rPr>
        <w:t xml:space="preserve">22.  SUTARTIES NUTRAUKIMAS</w:t>
      </w:r>
      <w:r>
        <w:rPr>
          <w:color w:val="000000"/>
          <w:szCs w:val="24"/>
        </w:rPr>
      </w:r>
      <w:r>
        <w:rPr>
          <w:color w:val="000000"/>
          <w:szCs w:val="24"/>
        </w:rPr>
      </w:r>
    </w:p>
    <w:p w14:paraId="2551B6A7"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4AD8F4C4" w14:textId="77777777">
      <w:pPr>
        <w:pBdr/>
        <w:spacing w:line="257" w:lineRule="atLeast"/>
        <w:ind/>
        <w:jc w:val="both"/>
        <w:rPr>
          <w:color w:val="000000"/>
          <w:szCs w:val="24"/>
        </w:rPr>
      </w:pPr>
      <w:r>
        <w:rPr>
          <w:color w:val="000000"/>
          <w:szCs w:val="24"/>
        </w:rPr>
        <w:t xml:space="preserve">Sutartis gali būti nutraukiama VPĮ 90 straipsnyje ir Sutartyje numatytais atvejais, įskaitant galimybę nutraukti Sutartį Šalių susitarimu.</w:t>
      </w:r>
      <w:r>
        <w:rPr>
          <w:color w:val="000000"/>
          <w:szCs w:val="24"/>
        </w:rPr>
      </w:r>
      <w:r>
        <w:rPr>
          <w:color w:val="000000"/>
          <w:szCs w:val="24"/>
        </w:rPr>
      </w:r>
    </w:p>
    <w:p w14:paraId="0032E3B7"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B569529" w14:textId="77777777">
      <w:pPr>
        <w:pBdr/>
        <w:spacing w:line="257" w:lineRule="atLeast"/>
        <w:ind/>
        <w:jc w:val="center"/>
        <w:rPr>
          <w:color w:val="000000"/>
          <w:szCs w:val="24"/>
        </w:rPr>
      </w:pPr>
      <w:r>
        <w:rPr>
          <w:b/>
          <w:bCs/>
          <w:color w:val="000000"/>
          <w:szCs w:val="24"/>
        </w:rPr>
        <w:t xml:space="preserve">22.1.  Pretenzijos dėl Sutarties pažeidimų</w:t>
      </w:r>
      <w:r>
        <w:rPr>
          <w:color w:val="000000"/>
          <w:szCs w:val="24"/>
        </w:rPr>
      </w:r>
      <w:r>
        <w:rPr>
          <w:color w:val="000000"/>
          <w:szCs w:val="24"/>
        </w:rPr>
      </w:r>
    </w:p>
    <w:p w14:paraId="03A509C9"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D75153F" w14:textId="77777777">
      <w:pPr>
        <w:pBdr/>
        <w:spacing w:line="257" w:lineRule="atLeast"/>
        <w:ind/>
        <w:jc w:val="both"/>
        <w:rPr>
          <w:color w:val="000000"/>
          <w:szCs w:val="24"/>
        </w:rPr>
      </w:pPr>
      <w:r>
        <w:rPr>
          <w:color w:val="000000"/>
          <w:szCs w:val="24"/>
        </w:rPr>
        <w:t xml:space="preserve">22.1.1. Jeigu Šalis pažeidžia </w:t>
      </w:r>
      <w:r>
        <w:rPr>
          <w:color w:val="000000"/>
          <w:szCs w:val="24"/>
        </w:rPr>
        <w:t xml:space="preserve">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r>
        <w:rPr>
          <w:color w:val="000000"/>
          <w:szCs w:val="24"/>
        </w:rPr>
      </w:r>
      <w:r>
        <w:rPr>
          <w:color w:val="000000"/>
          <w:szCs w:val="24"/>
        </w:rPr>
      </w:r>
    </w:p>
    <w:p w14:paraId="3FBCF8B0" w14:textId="77777777">
      <w:pPr>
        <w:pBdr/>
        <w:spacing w:line="257" w:lineRule="atLeast"/>
        <w:ind/>
        <w:jc w:val="both"/>
        <w:rPr>
          <w:color w:val="000000"/>
          <w:szCs w:val="24"/>
        </w:rPr>
      </w:pPr>
      <w:r>
        <w:rPr>
          <w:color w:val="000000"/>
          <w:szCs w:val="24"/>
        </w:rPr>
        <w:t xml:space="preserve">22.1.2. Prete</w:t>
      </w:r>
      <w:r>
        <w:rPr>
          <w:color w:val="000000"/>
          <w:szCs w:val="24"/>
        </w:rPr>
        <w:t xml:space="preserv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xml:space="preserve"> </w:t>
      </w:r>
      <w:r>
        <w:rPr>
          <w:color w:val="000000"/>
          <w:szCs w:val="24"/>
        </w:rPr>
        <w:t xml:space="preserve">Tiekėjo teisė siūlyti kitą terminą nelaikoma Pirkėjo pareiga tą terminą priimti. Pretenziją gavusios Šalies pasiūlytasis terminas pakeičia terminą, nurodytą pretenzijoje, tik jeigu kita Šalis jį patvirtina. </w:t>
      </w:r>
      <w:r>
        <w:rPr>
          <w:color w:val="000000"/>
          <w:szCs w:val="24"/>
        </w:rPr>
      </w:r>
      <w:r>
        <w:rPr>
          <w:color w:val="000000"/>
          <w:szCs w:val="24"/>
        </w:rPr>
      </w:r>
    </w:p>
    <w:p w14:paraId="4F9D59D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28D82FF" w14:textId="77777777">
      <w:pPr>
        <w:pBdr/>
        <w:spacing w:line="257" w:lineRule="atLeast"/>
        <w:ind/>
        <w:jc w:val="center"/>
        <w:rPr>
          <w:color w:val="000000"/>
          <w:szCs w:val="24"/>
        </w:rPr>
      </w:pPr>
      <w:r>
        <w:rPr>
          <w:b/>
          <w:bCs/>
          <w:color w:val="000000"/>
          <w:szCs w:val="24"/>
        </w:rPr>
        <w:t xml:space="preserve">22.2.  Sutarties nutraukimas Pirkėjo iniciatyva</w:t>
      </w:r>
      <w:r>
        <w:rPr>
          <w:color w:val="000000"/>
          <w:szCs w:val="24"/>
        </w:rPr>
      </w:r>
      <w:r>
        <w:rPr>
          <w:color w:val="000000"/>
          <w:szCs w:val="24"/>
        </w:rPr>
      </w:r>
    </w:p>
    <w:p w14:paraId="69E7594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B5A2262" w14:textId="77777777">
      <w:pPr>
        <w:pBdr/>
        <w:spacing w:line="257" w:lineRule="atLeast"/>
        <w:ind/>
        <w:jc w:val="both"/>
        <w:rPr>
          <w:szCs w:val="24"/>
        </w:rPr>
      </w:pPr>
      <w:r>
        <w:rPr>
          <w:szCs w:val="24"/>
        </w:rPr>
        <w:t xml:space="preserve">22.2.1. Pirkėjas vienašališkai nutraukia Sutartį, įspėjęs Tiekėją raštu prieš ne trumpesnį nei 5 (penkių) dienų terminą, jeigu Tiekėjas padaro esminį Sutarties pa</w:t>
      </w:r>
      <w:r>
        <w:rPr>
          <w:szCs w:val="24"/>
        </w:rPr>
        <w:t xml:space="preserve">žeidimą, nurodytą Specialiosiose sąlygose ar Sutarties pažeidimą, kuris atitinka esminio Sutarties pažeidimo požymius, nurodytus Lietuvos Respublikos civiliniame kodekse, ir, gavęs Pirkėjo pretenziją, per pretenzijoje nurodytą terminą neištaiso pažeidimo. </w:t>
      </w:r>
      <w:r>
        <w:rPr>
          <w:szCs w:val="24"/>
        </w:rPr>
      </w:r>
      <w:r>
        <w:rPr>
          <w:szCs w:val="24"/>
        </w:rPr>
      </w:r>
    </w:p>
    <w:p w14:paraId="7BE5FF03" w14:textId="77777777">
      <w:pPr>
        <w:pBdr/>
        <w:spacing w:line="257" w:lineRule="atLeast"/>
        <w:ind/>
        <w:jc w:val="both"/>
        <w:rPr>
          <w:szCs w:val="24"/>
        </w:rPr>
      </w:pPr>
      <w:r>
        <w:rPr>
          <w:szCs w:val="24"/>
        </w:rPr>
        <w:t xml:space="preserve">22.2.2. Pirkėjas turi teisę vienašališkai nutraukti Sutartį ar jos dalį raštu įspėjęs Tiekėją prieš ne trumpesnį nei 10 (dešimties) dienų terminą, jeigu: </w:t>
      </w:r>
      <w:r>
        <w:rPr>
          <w:szCs w:val="24"/>
        </w:rPr>
      </w:r>
      <w:r>
        <w:rPr>
          <w:szCs w:val="24"/>
        </w:rPr>
      </w:r>
    </w:p>
    <w:p w14:paraId="41750835" w14:textId="77777777">
      <w:pPr>
        <w:pBdr/>
        <w:spacing w:line="257" w:lineRule="atLeast"/>
        <w:ind/>
        <w:jc w:val="both"/>
        <w:rPr>
          <w:color w:val="000000"/>
          <w:szCs w:val="24"/>
        </w:rPr>
      </w:pPr>
      <w:r>
        <w:rPr>
          <w:color w:val="000000"/>
          <w:szCs w:val="24"/>
        </w:rPr>
        <w:t xml:space="preserve">22.2.2.1. Tiekėjui yra iškelta bankroto byla, pradėtas bankroto procesas ne teismo tvarka, jis tampa nemokus arba yra nemokumo tikimybė, sustabdo ūkinę veiklą ar susidaro</w:t>
      </w:r>
      <w:r>
        <w:rPr>
          <w:b/>
          <w:bCs/>
          <w:color w:val="5c5d5d"/>
          <w:szCs w:val="24"/>
        </w:rPr>
        <w:t xml:space="preserve"> </w:t>
      </w:r>
      <w:r>
        <w:rPr>
          <w:color w:val="000000"/>
          <w:szCs w:val="24"/>
        </w:rPr>
        <w:t xml:space="preserve">įstatymuose ir kituose teisės aktuose nustatyta tvarka analogiška situacija</w:t>
      </w:r>
      <w:r>
        <w:rPr>
          <w:color w:val="000000"/>
          <w:szCs w:val="24"/>
          <w:shd w:val="clear" w:color="auto" w:fill="ffffff"/>
        </w:rPr>
        <w:t xml:space="preserve">;</w:t>
      </w:r>
      <w:r>
        <w:rPr>
          <w:color w:val="000000"/>
          <w:szCs w:val="24"/>
        </w:rPr>
        <w:t xml:space="preserve"> </w:t>
      </w:r>
      <w:r>
        <w:rPr>
          <w:color w:val="000000"/>
          <w:szCs w:val="24"/>
        </w:rPr>
      </w:r>
      <w:r>
        <w:rPr>
          <w:color w:val="000000"/>
          <w:szCs w:val="24"/>
        </w:rPr>
      </w:r>
    </w:p>
    <w:p w14:paraId="41C8A54E" w14:textId="77777777">
      <w:pPr>
        <w:pBdr/>
        <w:spacing w:line="257" w:lineRule="atLeast"/>
        <w:ind/>
        <w:jc w:val="both"/>
        <w:rPr>
          <w:szCs w:val="24"/>
        </w:rPr>
      </w:pPr>
      <w:r>
        <w:rPr>
          <w:szCs w:val="24"/>
        </w:rPr>
        <w:t xml:space="preserve">22.2.2.2. Tiekėjo padėtis pasikeičia ir jis atitinka pirkimo dokumentuose nustatytą pašalinimo pagrindą;</w:t>
      </w:r>
      <w:r>
        <w:rPr>
          <w:szCs w:val="24"/>
        </w:rPr>
      </w:r>
      <w:r>
        <w:rPr>
          <w:szCs w:val="24"/>
        </w:rPr>
      </w:r>
    </w:p>
    <w:p w14:paraId="497A8930" w14:textId="77777777">
      <w:pPr>
        <w:pBdr/>
        <w:spacing w:line="257" w:lineRule="atLeast"/>
        <w:ind/>
        <w:jc w:val="both"/>
        <w:rPr>
          <w:color w:val="000000"/>
          <w:szCs w:val="24"/>
        </w:rPr>
      </w:pPr>
      <w:r>
        <w:rPr>
          <w:szCs w:val="24"/>
        </w:rPr>
        <w:t xml:space="preserve">22.2.2.3. pasikeičia </w:t>
      </w:r>
      <w:r>
        <w:rPr>
          <w:color w:val="000000"/>
          <w:szCs w:val="24"/>
        </w:rPr>
        <w:t xml:space="preserve">teisės aktai, susiję su Sutarties objektu, Sutarties vykdymu, ar su Pirkėjo vykdoma veikla, kuriai buvo sudaryta Sutartis, ir dėl tokių pakeitimų Pirkėjas nusprendžia nutraukti Sutartį;  </w:t>
      </w:r>
      <w:r>
        <w:rPr>
          <w:color w:val="000000"/>
          <w:szCs w:val="24"/>
        </w:rPr>
      </w:r>
      <w:r>
        <w:rPr>
          <w:color w:val="000000"/>
          <w:szCs w:val="24"/>
        </w:rPr>
      </w:r>
    </w:p>
    <w:p w14:paraId="7CEDC6D5" w14:textId="77777777">
      <w:pPr>
        <w:pBdr/>
        <w:spacing w:line="257" w:lineRule="atLeast"/>
        <w:ind/>
        <w:jc w:val="both"/>
        <w:rPr>
          <w:color w:val="000000"/>
          <w:szCs w:val="24"/>
        </w:rPr>
      </w:pPr>
      <w:r>
        <w:rPr>
          <w:color w:val="000000"/>
          <w:szCs w:val="24"/>
        </w:rPr>
        <w:t xml:space="preserve">22.2.2.4. Pirkėjas nusprendžia nebevykdyti veiklos, kurios vykdymui Sutartimi įsigyjamos Prekės ir Sutarties poreikis išnyksta; </w:t>
      </w:r>
      <w:r>
        <w:rPr>
          <w:color w:val="000000"/>
          <w:szCs w:val="24"/>
        </w:rPr>
      </w:r>
      <w:r>
        <w:rPr>
          <w:color w:val="000000"/>
          <w:szCs w:val="24"/>
        </w:rPr>
      </w:r>
    </w:p>
    <w:p w14:paraId="48F1D5C2" w14:textId="77777777">
      <w:pPr>
        <w:pBdr/>
        <w:spacing w:line="257" w:lineRule="atLeast"/>
        <w:ind/>
        <w:jc w:val="both"/>
        <w:rPr>
          <w:color w:val="000000"/>
          <w:szCs w:val="24"/>
        </w:rPr>
      </w:pPr>
      <w:r>
        <w:rPr>
          <w:color w:val="000000"/>
          <w:szCs w:val="24"/>
        </w:rPr>
        <w:t xml:space="preserve">22.2.2.5. Pirkėjo valdymo organas priima sprendimą, dėl kurio Sutarties poreikis išnyksta; </w:t>
      </w:r>
      <w:r>
        <w:rPr>
          <w:color w:val="000000"/>
          <w:szCs w:val="24"/>
        </w:rPr>
      </w:r>
      <w:r>
        <w:rPr>
          <w:color w:val="000000"/>
          <w:szCs w:val="24"/>
        </w:rPr>
      </w:r>
    </w:p>
    <w:p w14:paraId="00A26167" w14:textId="77777777">
      <w:pPr>
        <w:pBdr/>
        <w:spacing w:line="257" w:lineRule="atLeast"/>
        <w:ind/>
        <w:jc w:val="both"/>
        <w:rPr>
          <w:color w:val="000000"/>
          <w:szCs w:val="24"/>
        </w:rPr>
      </w:pPr>
      <w:r>
        <w:rPr>
          <w:color w:val="000000"/>
          <w:szCs w:val="24"/>
        </w:rPr>
        <w:t xml:space="preserve">22.2.2.6. pasikeičia (pablogėja) Pirkėjo finansinė padėtis ar Pirkėjas negauna arba netenka finansavimo ir dėl šios priežasties nusprendžia nutraukti Sutartį; </w:t>
      </w:r>
      <w:r>
        <w:rPr>
          <w:color w:val="000000"/>
          <w:szCs w:val="24"/>
        </w:rPr>
      </w:r>
      <w:r>
        <w:rPr>
          <w:color w:val="000000"/>
          <w:szCs w:val="24"/>
        </w:rPr>
      </w:r>
    </w:p>
    <w:p w14:paraId="707F4B70" w14:textId="77777777">
      <w:pPr>
        <w:pBdr/>
        <w:spacing w:line="257" w:lineRule="atLeast"/>
        <w:ind/>
        <w:jc w:val="both"/>
        <w:rPr>
          <w:szCs w:val="24"/>
        </w:rPr>
      </w:pPr>
      <w:r>
        <w:rPr>
          <w:szCs w:val="24"/>
        </w:rPr>
        <w:t xml:space="preserve">22.2.2.7. keičiasi Pirkėjo organizacinė struktūra – juridinis statusas, pobūdis ar valdymo struktūra ir tai gali turėti įtakos tinkamam Sutarties įvykdymui arba Sutarties poreikiui; </w:t>
      </w:r>
      <w:r>
        <w:rPr>
          <w:szCs w:val="24"/>
        </w:rPr>
      </w:r>
      <w:r>
        <w:rPr>
          <w:szCs w:val="24"/>
        </w:rPr>
      </w:r>
    </w:p>
    <w:p w14:paraId="5E7DE92B" w14:textId="77777777">
      <w:pPr>
        <w:pBdr/>
        <w:spacing w:line="257" w:lineRule="atLeast"/>
        <w:ind/>
        <w:jc w:val="both"/>
        <w:rPr>
          <w:color w:val="000000"/>
          <w:szCs w:val="24"/>
        </w:rPr>
      </w:pPr>
      <w:r>
        <w:rPr>
          <w:color w:val="000000"/>
          <w:szCs w:val="24"/>
        </w:rPr>
        <w:t xml:space="preserve">22.2.2.8. nebelieka perkamų Prekių poreikio; </w:t>
      </w:r>
      <w:r>
        <w:rPr>
          <w:color w:val="000000"/>
          <w:szCs w:val="24"/>
        </w:rPr>
      </w:r>
      <w:r>
        <w:rPr>
          <w:color w:val="000000"/>
          <w:szCs w:val="24"/>
        </w:rPr>
      </w:r>
    </w:p>
    <w:p w14:paraId="1F670824" w14:textId="77777777">
      <w:pPr>
        <w:pBdr/>
        <w:spacing w:line="257" w:lineRule="atLeast"/>
        <w:ind/>
        <w:jc w:val="both"/>
        <w:rPr>
          <w:color w:val="000000"/>
          <w:szCs w:val="24"/>
        </w:rPr>
      </w:pPr>
      <w:r>
        <w:rPr>
          <w:color w:val="000000"/>
          <w:szCs w:val="24"/>
        </w:rPr>
        <w:t xml:space="preserve">22.2.2.9. Pirkėjas iš pirkimų priežiūrą atliekančių institucijų gauna nurodymą ar rekomendaciją nutraukti Sutartį;</w:t>
      </w:r>
      <w:r>
        <w:rPr>
          <w:color w:val="000000"/>
          <w:szCs w:val="24"/>
        </w:rPr>
      </w:r>
      <w:r>
        <w:rPr>
          <w:color w:val="000000"/>
          <w:szCs w:val="24"/>
        </w:rPr>
      </w:r>
    </w:p>
    <w:p w14:paraId="4EB007AC" w14:textId="77777777">
      <w:pPr>
        <w:pBdr/>
        <w:spacing w:line="257" w:lineRule="atLeast"/>
        <w:ind/>
        <w:jc w:val="both"/>
        <w:rPr>
          <w:color w:val="000000"/>
          <w:szCs w:val="24"/>
        </w:rPr>
      </w:pPr>
      <w:r>
        <w:rPr>
          <w:color w:val="000000"/>
          <w:szCs w:val="24"/>
        </w:rPr>
        <w:t xml:space="preserve">22.2.2.10. Tiekėjas vėluoja pateikti Sutarties įvykdymo užtikrinimo pratęsimą ilgiau kaip 10 (dešimt) darbo dienų nuo paskutinio Sutarties įvykdymo užtikrinimo galiojimo termino pabaigos arba atsisako jį pateikti;</w:t>
      </w:r>
      <w:r>
        <w:rPr>
          <w:color w:val="000000"/>
          <w:szCs w:val="24"/>
        </w:rPr>
      </w:r>
      <w:r>
        <w:rPr>
          <w:color w:val="000000"/>
          <w:szCs w:val="24"/>
        </w:rPr>
      </w:r>
    </w:p>
    <w:p w14:paraId="52232CF9" w14:textId="77777777">
      <w:pPr>
        <w:pBdr/>
        <w:spacing w:line="257" w:lineRule="atLeast"/>
        <w:ind/>
        <w:jc w:val="both"/>
        <w:rPr>
          <w:color w:val="000000"/>
          <w:szCs w:val="24"/>
        </w:rPr>
      </w:pPr>
      <w:r>
        <w:rPr>
          <w:color w:val="000000"/>
          <w:szCs w:val="24"/>
        </w:rPr>
        <w:t xml:space="preserve">22.2.2.11. Tiekėjas atsisako pašalinti arba nepašalina Prekių trūkumų per Pirkėjo nustatytus protingus terminus;</w:t>
      </w:r>
      <w:r>
        <w:rPr>
          <w:color w:val="000000"/>
          <w:szCs w:val="24"/>
        </w:rPr>
      </w:r>
      <w:r>
        <w:rPr>
          <w:color w:val="000000"/>
          <w:szCs w:val="24"/>
        </w:rPr>
      </w:r>
    </w:p>
    <w:p w14:paraId="2A811DFB" w14:textId="77777777">
      <w:pPr>
        <w:pBdr/>
        <w:spacing/>
        <w:ind/>
        <w:jc w:val="both"/>
        <w:rPr>
          <w:color w:val="000000"/>
          <w:szCs w:val="24"/>
        </w:rPr>
      </w:pPr>
      <w:r>
        <w:rPr>
          <w:color w:val="000000"/>
          <w:szCs w:val="24"/>
        </w:rPr>
        <w:t xml:space="preserve">22.2.2.12. Tiekėjas pažeidžia Sutartį arba įstatymus bei kitus teisės aktus ir per Pirkėjo rašytinėje pretenzijoje nurodytą terminą neištaiso pažeidimo;</w:t>
      </w:r>
      <w:r>
        <w:rPr>
          <w:color w:val="000000"/>
          <w:szCs w:val="24"/>
        </w:rPr>
      </w:r>
      <w:r>
        <w:rPr>
          <w:color w:val="000000"/>
          <w:szCs w:val="24"/>
        </w:rPr>
      </w:r>
    </w:p>
    <w:p w14:paraId="3667F1A3" w14:textId="77777777">
      <w:pPr>
        <w:pBdr/>
        <w:tabs>
          <w:tab w:val="left" w:leader="none" w:pos="567"/>
        </w:tabs>
        <w:spacing/>
        <w:ind/>
        <w:jc w:val="both"/>
        <w:rPr>
          <w:rFonts w:eastAsia="Calibri"/>
          <w:szCs w:val="24"/>
        </w:rPr>
      </w:pPr>
      <w:r>
        <w:rPr>
          <w:rFonts w:eastAsia="Calibri"/>
          <w:szCs w:val="24"/>
        </w:rPr>
        <w:t xml:space="preserve">22.2.2.13. Lietuvos Respublikos Vyriausybė Nacionaliniam saugumui užtikrinti svarbių objektų apsaugos įstatymo nustatyta tvarka</w:t>
      </w:r>
      <w:r>
        <w:rPr>
          <w:rFonts w:eastAsia="Calibri"/>
          <w:szCs w:val="24"/>
        </w:rPr>
        <w:t xml:space="preserve"> priima sprendimą, patvirtinantį, kad Sutartis neatitinka nacionalinio saugumo interesų (taikoma, jeigu Pirkėjas veikia srityse, kurios laikomos nacionaliniam saugumui užtikrinti strategiškai svarbių ūkio sektorių dalimi, ar yra laikomas esminiu subjektu);</w:t>
      </w:r>
      <w:r>
        <w:rPr>
          <w:rFonts w:eastAsia="Calibri"/>
          <w:szCs w:val="24"/>
        </w:rPr>
      </w:r>
      <w:r>
        <w:rPr>
          <w:rFonts w:eastAsia="Calibri"/>
          <w:szCs w:val="24"/>
        </w:rPr>
      </w:r>
    </w:p>
    <w:p w14:paraId="4CADD0AF" w14:textId="77777777">
      <w:pPr>
        <w:pBdr/>
        <w:tabs>
          <w:tab w:val="left" w:leader="none" w:pos="567"/>
        </w:tabs>
        <w:spacing/>
        <w:ind/>
        <w:jc w:val="both"/>
        <w:rPr>
          <w:rFonts w:eastAsia="Calibri"/>
          <w:szCs w:val="24"/>
        </w:rPr>
      </w:pPr>
      <w:r>
        <w:rPr>
          <w:rFonts w:eastAsia="Calibri"/>
          <w:szCs w:val="24"/>
        </w:rPr>
        <w:t xml:space="preserve">22.2.2.14. paaiškėja VPĮ 37 straipsnio 8 dalyje ir (ar) 47 straipsnio 8 dalyje nurodytos aplinkybės.</w:t>
      </w:r>
      <w:r>
        <w:rPr>
          <w:rFonts w:eastAsia="Calibri"/>
          <w:szCs w:val="24"/>
        </w:rPr>
      </w:r>
      <w:r>
        <w:rPr>
          <w:rFonts w:eastAsia="Calibri"/>
          <w:szCs w:val="24"/>
        </w:rPr>
      </w:r>
    </w:p>
    <w:p w14:paraId="432B9494" w14:textId="77777777">
      <w:pPr>
        <w:pBdr/>
        <w:spacing/>
        <w:ind/>
        <w:jc w:val="both"/>
        <w:rPr>
          <w:color w:val="000000"/>
          <w:szCs w:val="24"/>
        </w:rPr>
      </w:pPr>
      <w:r>
        <w:rPr>
          <w:color w:val="000000"/>
          <w:szCs w:val="24"/>
        </w:rPr>
        <w:t xml:space="preserve">22.2.3. Sutartis laikoma niekine ir negaliojančia, jei nustatoma, kad Sutarties vykdymas prieštarauja Lietuvos Respublikoje įgyvendinamoms privalomoms</w:t>
      </w:r>
      <w:r>
        <w:rPr>
          <w:color w:val="000000"/>
          <w:szCs w:val="24"/>
        </w:rPr>
        <w:t xml:space="preserve"> tarptautinėms sankcijoms, kaip tai apibrėžta Sankcijų įstatyme ir kituose tarptautiniuose, Europos Sąjungos ir Lietuvos Respublikos teisės aktuose (bent vienai iš taikomų sankcijų). Sutarties negaliojimo momentas nustatomas vadovaujantis minėtu įstatymu. </w:t>
      </w:r>
      <w:r>
        <w:rPr>
          <w:color w:val="000000"/>
          <w:szCs w:val="24"/>
        </w:rPr>
      </w:r>
      <w:r>
        <w:rPr>
          <w:color w:val="000000"/>
          <w:szCs w:val="24"/>
        </w:rPr>
      </w:r>
    </w:p>
    <w:p w14:paraId="79EFC4C8" w14:textId="77777777">
      <w:pPr>
        <w:pBdr/>
        <w:spacing w:line="257" w:lineRule="atLeast"/>
        <w:ind/>
        <w:jc w:val="both"/>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w:t>
      </w:r>
      <w:r>
        <w:rPr>
          <w:color w:val="000000"/>
          <w:szCs w:val="24"/>
        </w:rPr>
        <w:t xml:space="preserve"> Respublikos teisės aktuose, įgyvendinimo laikotarpiui, apie tai įspėjęs Tiekėją raštu, jei Sutartis įsigaliojo iki šių tarptautinių sankcijų Lietuvos Respublikoje įgyvendinimo nustatymo. Draudžiama prisiimti naujas prievoles pagal Sutartį, kurių vykdymas </w:t>
      </w:r>
      <w:r>
        <w:rPr>
          <w:color w:val="000000"/>
          <w:szCs w:val="24"/>
        </w:rPr>
        <w:t xml:space="preserve">prieštarautų Lietuvos Respublikoje įgyvendinamoms tarptautinėms sankcijoms. </w:t>
      </w:r>
      <w:r>
        <w:rPr>
          <w:color w:val="000000"/>
          <w:szCs w:val="24"/>
        </w:rPr>
      </w:r>
      <w:r>
        <w:rPr>
          <w:color w:val="000000"/>
          <w:szCs w:val="24"/>
        </w:rPr>
      </w:r>
    </w:p>
    <w:p w14:paraId="7E5D36BF" w14:textId="77777777">
      <w:pPr>
        <w:pBdr/>
        <w:spacing w:line="257" w:lineRule="atLeast"/>
        <w:ind/>
        <w:jc w:val="both"/>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w:t>
      </w:r>
      <w:r>
        <w:rPr>
          <w:color w:val="000000"/>
          <w:szCs w:val="24"/>
        </w:rPr>
        <w:t xml:space="preserve">tarties įvykdymo užtikrinimu, Tiekėjas įsipareigoja sumokėti Pirkėjui Specialiosiose sąlygose nurodyto dydžio baudą ir atlyginti nuostolius, susijusius su Sutarties nutraukimu. Jeigu Specialiosiose sąlygose yra numatyta, kad tinkamas Sutarties įvykdymas yr</w:t>
      </w:r>
      <w:r>
        <w:rPr>
          <w:color w:val="000000"/>
          <w:szCs w:val="24"/>
        </w:rPr>
        <w:t xml:space="preserve">a užtikrinamas Sutarties įvykdymo užtikrinimu, Tiekėjas įsipareigoja Pirkėjui sumokėti likusią dalį Specialiosio</w:t>
      </w:r>
      <w:r>
        <w:rPr>
          <w:color w:val="000000"/>
          <w:szCs w:val="24"/>
        </w:rPr>
        <w:t xml:space="preserve">se sąlygose nurodyto dydžio baudos ir atlyginti nuostolius, susijusius su Sutarties nutraukimu, kiek jų nepadengia Sutarties įvykdymo užtikrinimas. Pirkėjui pareiškus reikalavimą atlyginti patirtus nuostolius, baudos suma įskaitoma į nuostolių atlyginimą. </w:t>
      </w:r>
      <w:r>
        <w:rPr>
          <w:color w:val="000000"/>
          <w:szCs w:val="24"/>
        </w:rPr>
      </w:r>
      <w:r>
        <w:rPr>
          <w:color w:val="000000"/>
          <w:szCs w:val="24"/>
        </w:rPr>
      </w:r>
    </w:p>
    <w:p w14:paraId="590A3499" w14:textId="77777777">
      <w:pPr>
        <w:pBdr/>
        <w:spacing w:line="257" w:lineRule="atLeast"/>
        <w:ind/>
        <w:jc w:val="both"/>
        <w:rPr>
          <w:color w:val="000000"/>
          <w:szCs w:val="24"/>
        </w:rPr>
      </w:pPr>
      <w:r>
        <w:rPr>
          <w:color w:val="000000"/>
          <w:szCs w:val="24"/>
        </w:rPr>
        <w:t xml:space="preserve">22.2.6. Pirkėjas turi teisę vienašališkai nutraukti Sutartį ir kitais Specialiosiose sąlygose (jei taikoma) ir įstatymuose bei kituose teisės aktuose įtvirtintais atvejais. </w:t>
      </w:r>
      <w:r>
        <w:rPr>
          <w:color w:val="000000"/>
          <w:szCs w:val="24"/>
        </w:rPr>
      </w:r>
      <w:r>
        <w:rPr>
          <w:color w:val="000000"/>
          <w:szCs w:val="24"/>
        </w:rPr>
      </w:r>
    </w:p>
    <w:p w14:paraId="7790AB1E" w14:textId="77777777">
      <w:pPr>
        <w:pBdr/>
        <w:spacing w:line="257" w:lineRule="atLeast"/>
        <w:ind/>
        <w:jc w:val="both"/>
        <w:rPr>
          <w:color w:val="000000"/>
          <w:szCs w:val="24"/>
        </w:rPr>
      </w:pPr>
      <w:r>
        <w:rPr>
          <w:color w:val="000000"/>
          <w:szCs w:val="24"/>
        </w:rPr>
        <w:t xml:space="preserve">22.2.7. Sutartis laikoma nutraukta kitą dieną po to, kai pasibaigia įspėjimo apie Sutarties nutraukimą terminas.  </w:t>
      </w:r>
      <w:r>
        <w:rPr>
          <w:color w:val="000000"/>
          <w:szCs w:val="24"/>
        </w:rPr>
      </w:r>
      <w:r>
        <w:rPr>
          <w:color w:val="000000"/>
          <w:szCs w:val="24"/>
        </w:rPr>
      </w:r>
    </w:p>
    <w:p w14:paraId="0401A06D" w14:textId="77777777">
      <w:pPr>
        <w:pBdr/>
        <w:spacing w:line="257" w:lineRule="atLeast"/>
        <w:ind/>
        <w:jc w:val="both"/>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szCs w:val="24"/>
        </w:rPr>
        <w:t xml:space="preserve">pateikia informaciją apie pažeidimo pašalinimą ar išnykusias aplinkybes, dėl kurių buvo inicijuota Sutarties nutraukimo procedūra</w:t>
      </w:r>
      <w:r>
        <w:rPr>
          <w:szCs w:val="24"/>
        </w:rPr>
        <w:t xml:space="preserve">. </w:t>
      </w:r>
      <w:r>
        <w:rPr>
          <w:szCs w:val="24"/>
        </w:rPr>
      </w:r>
      <w:r>
        <w:rPr>
          <w:szCs w:val="24"/>
        </w:rPr>
      </w:r>
    </w:p>
    <w:p w14:paraId="4D743942"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EC573A3" w14:textId="77777777">
      <w:pPr>
        <w:pBdr/>
        <w:spacing w:line="257" w:lineRule="atLeast"/>
        <w:ind/>
        <w:jc w:val="center"/>
        <w:rPr>
          <w:color w:val="000000"/>
          <w:szCs w:val="24"/>
        </w:rPr>
      </w:pPr>
      <w:r>
        <w:rPr>
          <w:b/>
          <w:bCs/>
          <w:color w:val="000000"/>
          <w:szCs w:val="24"/>
        </w:rPr>
        <w:t xml:space="preserve">22.3.  Sutarties nutraukimas Tiekėjo iniciatyva</w:t>
      </w:r>
      <w:r>
        <w:rPr>
          <w:color w:val="000000"/>
          <w:szCs w:val="24"/>
        </w:rPr>
      </w:r>
      <w:r>
        <w:rPr>
          <w:color w:val="000000"/>
          <w:szCs w:val="24"/>
        </w:rPr>
      </w:r>
    </w:p>
    <w:p w14:paraId="77F22C2C"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20958CD9" w14:textId="77777777">
      <w:pPr>
        <w:pBdr/>
        <w:spacing w:line="257" w:lineRule="atLeast"/>
        <w:ind/>
        <w:jc w:val="both"/>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w:t>
      </w:r>
      <w:r>
        <w:rPr>
          <w:color w:val="000000"/>
          <w:szCs w:val="24"/>
        </w:rPr>
        <w:t xml:space="preserve">s (išskyrus atvejus, kai Pirkėjas naudojasi savo teise sulaikyti mokėjimus), ir Pirkėjo skola Tiekėjui viršija 20 (dvidešimt) proc. Pradinės sutarties vertės ir Pirkėjas, gavęs Tiekėjo pretenziją, per 30 (trisdešimt) dienų nesumoka Tiekėjui mokėtinų sumų. </w:t>
      </w:r>
      <w:r>
        <w:rPr>
          <w:color w:val="000000"/>
          <w:szCs w:val="24"/>
        </w:rPr>
      </w:r>
      <w:r>
        <w:rPr>
          <w:color w:val="000000"/>
          <w:szCs w:val="24"/>
        </w:rPr>
      </w:r>
    </w:p>
    <w:p w14:paraId="244913DC" w14:textId="77777777">
      <w:pPr>
        <w:pBdr/>
        <w:spacing w:line="257" w:lineRule="atLeast"/>
        <w:ind/>
        <w:jc w:val="both"/>
        <w:rPr>
          <w:color w:val="000000"/>
          <w:szCs w:val="24"/>
        </w:rPr>
      </w:pPr>
      <w:r>
        <w:rPr>
          <w:color w:val="000000"/>
          <w:szCs w:val="24"/>
        </w:rPr>
        <w:t xml:space="preserve">22.3.2. Tiekėjas turi teisę vienašališkai nutraukti Sutartį, įspėjęs Pirkėją raštu prieš ne trumpesnį nei 10 (dešimties) dienų terminą, jeigu:</w:t>
      </w:r>
      <w:r>
        <w:rPr>
          <w:color w:val="000000"/>
          <w:szCs w:val="24"/>
        </w:rPr>
      </w:r>
      <w:r>
        <w:rPr>
          <w:color w:val="000000"/>
          <w:szCs w:val="24"/>
        </w:rPr>
      </w:r>
    </w:p>
    <w:p w14:paraId="228BAD26" w14:textId="77777777">
      <w:pPr>
        <w:pBdr/>
        <w:spacing w:line="257" w:lineRule="atLeast"/>
        <w:ind/>
        <w:jc w:val="both"/>
        <w:rPr>
          <w:color w:val="000000"/>
          <w:szCs w:val="24"/>
        </w:rPr>
      </w:pPr>
      <w:r>
        <w:rPr>
          <w:color w:val="000000"/>
          <w:szCs w:val="24"/>
        </w:rPr>
        <w:t xml:space="preserve">22.3.2.1. Pirkėjui yra iškelta bankroto byla, pradėtas procesas dėl bankroto ne teismo tvarka, jis tampa nemokus arba yra nemokumo tikimybė, Pirkėjas sustabdo veiklą, arba įstatymuose ir kituose teisės aktuose numatyta tvarka susidaro analogiška situacija;</w:t>
      </w:r>
      <w:r>
        <w:rPr>
          <w:color w:val="000000"/>
          <w:szCs w:val="24"/>
        </w:rPr>
      </w:r>
      <w:r>
        <w:rPr>
          <w:color w:val="000000"/>
          <w:szCs w:val="24"/>
        </w:rPr>
      </w:r>
    </w:p>
    <w:p w14:paraId="637E568E" w14:textId="77777777">
      <w:pPr>
        <w:pBdr/>
        <w:spacing w:line="257" w:lineRule="atLeast"/>
        <w:ind/>
        <w:jc w:val="both"/>
        <w:rPr>
          <w:color w:val="000000"/>
          <w:szCs w:val="24"/>
        </w:rPr>
      </w:pPr>
      <w:r>
        <w:rPr>
          <w:color w:val="000000"/>
          <w:szCs w:val="24"/>
        </w:rPr>
        <w:t xml:space="preserve">22.3.2.2. Pirkėjas pažeidžia Sutartį arba įstatymus bei kitus teisės aktus ir per Tiekėjo rašytinėje pretenzijoje nurodytą terminą neištaiso pažeidimo, išskyrus Bendrųjų sąlygų 22.3.1 punkte nustatytą atvejį. </w:t>
      </w:r>
      <w:r>
        <w:rPr>
          <w:color w:val="000000"/>
          <w:szCs w:val="24"/>
        </w:rPr>
      </w:r>
      <w:r>
        <w:rPr>
          <w:color w:val="000000"/>
          <w:szCs w:val="24"/>
        </w:rPr>
      </w:r>
    </w:p>
    <w:p w14:paraId="00CB77EE" w14:textId="77777777">
      <w:pPr>
        <w:pBdr/>
        <w:spacing w:line="257" w:lineRule="atLeast"/>
        <w:ind/>
        <w:jc w:val="both"/>
        <w:rPr>
          <w:color w:val="000000"/>
          <w:szCs w:val="24"/>
        </w:rPr>
      </w:pPr>
      <w:r>
        <w:rPr>
          <w:color w:val="000000"/>
          <w:szCs w:val="24"/>
        </w:rPr>
        <w:t xml:space="preserve">22.3.3. Jeigu Bendrųjų sąlygų 22.3.1 punkte nurodytos aplinkybės yra susijusios tik su atskira dalimi arba atskiru Susitarimu, Tiekėjas turi teisę nutraukti Sutartį tik tos dalies atžvilgiu arba nutraukti tik tokį Susitarimą. </w:t>
      </w:r>
      <w:r>
        <w:rPr>
          <w:color w:val="000000"/>
          <w:szCs w:val="24"/>
        </w:rPr>
      </w:r>
      <w:r>
        <w:rPr>
          <w:color w:val="000000"/>
          <w:szCs w:val="24"/>
        </w:rPr>
      </w:r>
    </w:p>
    <w:p w14:paraId="18C49FFC" w14:textId="77777777">
      <w:pPr>
        <w:pBdr/>
        <w:spacing w:line="257" w:lineRule="atLeast"/>
        <w:ind/>
        <w:jc w:val="both"/>
        <w:rPr>
          <w:color w:val="000000"/>
          <w:szCs w:val="24"/>
        </w:rPr>
      </w:pPr>
      <w:r>
        <w:rPr>
          <w:color w:val="000000"/>
          <w:szCs w:val="24"/>
        </w:rPr>
        <w:t xml:space="preserve">22.3.4. Tiekėjas turi teisę vienašališkai nutraukti Sutartį ir kitais įstatymuose bei kituose teisės aktuose įtvirtintais atvejais. </w:t>
      </w:r>
      <w:r>
        <w:rPr>
          <w:color w:val="000000"/>
          <w:szCs w:val="24"/>
        </w:rPr>
      </w:r>
      <w:r>
        <w:rPr>
          <w:color w:val="000000"/>
          <w:szCs w:val="24"/>
        </w:rPr>
      </w:r>
    </w:p>
    <w:p w14:paraId="4A3A34B4" w14:textId="77777777">
      <w:pPr>
        <w:pBdr/>
        <w:spacing w:line="257" w:lineRule="atLeast"/>
        <w:ind/>
        <w:jc w:val="both"/>
        <w:rPr>
          <w:color w:val="000000"/>
          <w:szCs w:val="24"/>
        </w:rPr>
      </w:pPr>
      <w:r>
        <w:rPr>
          <w:color w:val="000000"/>
          <w:szCs w:val="24"/>
        </w:rPr>
        <w:t xml:space="preserve">22.3.5. Jei Sutartis nutraukiama dėl Pirkėjo e</w:t>
      </w:r>
      <w:r>
        <w:rPr>
          <w:color w:val="000000"/>
          <w:szCs w:val="24"/>
        </w:rPr>
        <w:t xml:space="preserve">sminio Sutarties pažeidimo ar Pirkėjui nepagrįstai nutraukus Sutarties vykdymą ne Sutartyje nustatyta tvarka, Pirkėjas įsipareigoja sumokėti Tiekėjui Specialiosiose sąlygose nurodyto dydžio baudą ir atlyginti nuostolius, susijusius su Sutarties nutraukimu.</w:t>
      </w:r>
      <w:r>
        <w:rPr>
          <w:color w:val="000000"/>
          <w:szCs w:val="24"/>
        </w:rPr>
      </w:r>
      <w:r>
        <w:rPr>
          <w:color w:val="000000"/>
          <w:szCs w:val="24"/>
        </w:rPr>
      </w:r>
    </w:p>
    <w:p w14:paraId="3604BE89" w14:textId="77777777">
      <w:pPr>
        <w:pBdr/>
        <w:spacing w:line="257" w:lineRule="atLeast"/>
        <w:ind/>
        <w:jc w:val="both"/>
        <w:rPr>
          <w:color w:val="000000"/>
          <w:szCs w:val="24"/>
        </w:rPr>
      </w:pPr>
      <w:r>
        <w:rPr>
          <w:color w:val="000000"/>
          <w:szCs w:val="24"/>
        </w:rPr>
        <w:t xml:space="preserve">22.3.6. Sutartis laikoma nutraukta kitą dieną po to, kai pasibaigia įspėjimo apie Sutarties nutraukimą terminas. </w:t>
      </w:r>
      <w:r>
        <w:rPr>
          <w:color w:val="000000"/>
          <w:szCs w:val="24"/>
        </w:rPr>
      </w:r>
      <w:r>
        <w:rPr>
          <w:color w:val="000000"/>
          <w:szCs w:val="24"/>
        </w:rPr>
      </w:r>
    </w:p>
    <w:p w14:paraId="6F0E6788" w14:textId="77777777">
      <w:pPr>
        <w:pBdr/>
        <w:spacing w:line="257" w:lineRule="atLeast"/>
        <w:ind/>
        <w:jc w:val="both"/>
        <w:rPr>
          <w:color w:val="000000"/>
          <w:szCs w:val="24"/>
        </w:rPr>
      </w:pPr>
      <w:r>
        <w:rPr>
          <w:color w:val="000000"/>
          <w:szCs w:val="24"/>
        </w:rPr>
        <w:t xml:space="preserve">22.3.7. Tais atvejais, kai per įspėjimo apie Sutarties nutraukimą terminą Pirkėjas pašalina pažeidimą arba išnyksta aplinkybės, dėl kurių buvo inicijuota Sutartie</w:t>
      </w:r>
      <w:r>
        <w:rPr>
          <w:color w:val="000000"/>
          <w:szCs w:val="24"/>
        </w:rPr>
        <w:t xml:space="preserve">s nutraukimo procedūra, Sutartis negali būti nutraukiama ir įspėjimas apie Sutarties nutraukimą netenka galios, jei Pirkėjas pateikia informaciją apie pažeidimo pašalinimą ar išnykusias aplinkybes, dėl kurių buvo inicijuota Sutarties nutraukimo procedūra. </w:t>
      </w:r>
      <w:r>
        <w:rPr>
          <w:color w:val="000000"/>
          <w:szCs w:val="24"/>
        </w:rPr>
      </w:r>
      <w:r>
        <w:rPr>
          <w:color w:val="000000"/>
          <w:szCs w:val="24"/>
        </w:rPr>
      </w:r>
    </w:p>
    <w:p w14:paraId="16A6BD7A"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5BFA88C" w14:textId="77777777">
      <w:pPr>
        <w:pBdr/>
        <w:spacing w:line="257" w:lineRule="atLeast"/>
        <w:ind/>
        <w:jc w:val="center"/>
        <w:rPr>
          <w:color w:val="000000"/>
          <w:szCs w:val="24"/>
        </w:rPr>
      </w:pPr>
      <w:r>
        <w:rPr>
          <w:b/>
          <w:bCs/>
          <w:color w:val="000000"/>
          <w:szCs w:val="24"/>
        </w:rPr>
        <w:t xml:space="preserve">22.4.  Šalių teisės ir pareigos Sutarties nutraukimo atveju</w:t>
      </w:r>
      <w:r>
        <w:rPr>
          <w:color w:val="000000"/>
          <w:szCs w:val="24"/>
        </w:rPr>
      </w:r>
      <w:r>
        <w:rPr>
          <w:color w:val="000000"/>
          <w:szCs w:val="24"/>
        </w:rPr>
      </w:r>
    </w:p>
    <w:p w14:paraId="74B1B150"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FEC3B94" w14:textId="77777777">
      <w:pPr>
        <w:pBdr/>
        <w:spacing w:line="257" w:lineRule="atLeast"/>
        <w:ind/>
        <w:jc w:val="both"/>
        <w:rPr>
          <w:color w:val="000000"/>
          <w:szCs w:val="24"/>
        </w:rPr>
      </w:pPr>
      <w:r>
        <w:rPr>
          <w:color w:val="000000"/>
          <w:szCs w:val="24"/>
        </w:rPr>
        <w:t xml:space="preserve">22.4.1. Sutarties nutraukimas neturi įtakos ginčų nagrinėjimo tvarką nustatančių Sutarties sąlygų ir kitų Sutarties sąlygų, kurios pagal savo esmę lieka galioti ir po Sutarties nutraukimo, galiojimui. </w:t>
      </w:r>
      <w:r>
        <w:rPr>
          <w:color w:val="000000"/>
          <w:szCs w:val="24"/>
        </w:rPr>
      </w:r>
      <w:r>
        <w:rPr>
          <w:color w:val="000000"/>
          <w:szCs w:val="24"/>
        </w:rPr>
      </w:r>
    </w:p>
    <w:p w14:paraId="04B67DCD" w14:textId="77777777">
      <w:pPr>
        <w:pBdr/>
        <w:spacing w:line="257" w:lineRule="atLeast"/>
        <w:ind/>
        <w:jc w:val="both"/>
        <w:rPr>
          <w:color w:val="000000"/>
          <w:szCs w:val="24"/>
        </w:rPr>
      </w:pPr>
      <w:r>
        <w:rPr>
          <w:color w:val="000000"/>
          <w:szCs w:val="24"/>
        </w:rPr>
        <w:t xml:space="preserve">22.4.2. Nutraukus Sutartį, Šalys privalo: </w:t>
      </w:r>
      <w:r>
        <w:rPr>
          <w:color w:val="000000"/>
          <w:szCs w:val="24"/>
        </w:rPr>
      </w:r>
      <w:r>
        <w:rPr>
          <w:color w:val="000000"/>
          <w:szCs w:val="24"/>
        </w:rPr>
      </w:r>
    </w:p>
    <w:p w14:paraId="6804DD90" w14:textId="77777777">
      <w:pPr>
        <w:pBdr/>
        <w:spacing w:line="257" w:lineRule="atLeast"/>
        <w:ind/>
        <w:jc w:val="both"/>
        <w:rPr>
          <w:color w:val="000000"/>
          <w:szCs w:val="24"/>
        </w:rPr>
      </w:pPr>
      <w:r>
        <w:rPr>
          <w:color w:val="000000"/>
          <w:szCs w:val="24"/>
        </w:rPr>
        <w:t xml:space="preserve">22.4.2.1. įsitikinti, jog iki Sutarties nutraukimo dienos pristatytos Prekės ir kiti atlikti veiksmai atitinka Sutarties reikalavimus ir Šalys dėl to viena kitai nebereikš pretenzijų; </w:t>
      </w:r>
      <w:r>
        <w:rPr>
          <w:color w:val="000000"/>
          <w:szCs w:val="24"/>
        </w:rPr>
      </w:r>
      <w:r>
        <w:rPr>
          <w:color w:val="000000"/>
          <w:szCs w:val="24"/>
        </w:rPr>
      </w:r>
    </w:p>
    <w:p w14:paraId="1DB4D114" w14:textId="77777777">
      <w:pPr>
        <w:pBdr/>
        <w:spacing w:line="257" w:lineRule="atLeast"/>
        <w:ind/>
        <w:jc w:val="both"/>
        <w:rPr>
          <w:color w:val="000000"/>
          <w:szCs w:val="24"/>
        </w:rPr>
      </w:pPr>
      <w:r>
        <w:rPr>
          <w:color w:val="000000"/>
          <w:szCs w:val="24"/>
        </w:rPr>
        <w:t xml:space="preserve">22.4.2.2. atsiskaityti už iki Sutarties nutraukimo pristatytas Prekes, atitinkančias Sutarties reikalavimus; </w:t>
      </w:r>
      <w:r>
        <w:rPr>
          <w:color w:val="000000"/>
          <w:szCs w:val="24"/>
        </w:rPr>
      </w:r>
      <w:r>
        <w:rPr>
          <w:color w:val="000000"/>
          <w:szCs w:val="24"/>
        </w:rPr>
      </w:r>
    </w:p>
    <w:p w14:paraId="3CC5B818" w14:textId="77777777">
      <w:pPr>
        <w:pBdr/>
        <w:spacing w:line="257" w:lineRule="atLeast"/>
        <w:ind/>
        <w:jc w:val="both"/>
        <w:rPr>
          <w:color w:val="000000"/>
          <w:szCs w:val="24"/>
        </w:rPr>
      </w:pPr>
      <w:r>
        <w:rPr>
          <w:color w:val="000000"/>
          <w:szCs w:val="24"/>
        </w:rPr>
        <w:t xml:space="preserve">22.4.2.3. per 10 (dešimt) dienų nuo pranešimo apie Sutarties nutraukimą gavimo dienos ar Susitarimo dėl Sutarties nutraukimo sudarymo dienos</w:t>
      </w:r>
      <w:r>
        <w:rPr>
          <w:b/>
          <w:bCs/>
          <w:color w:val="5c5d5d"/>
          <w:szCs w:val="24"/>
        </w:rPr>
        <w:t xml:space="preserve"> </w:t>
      </w:r>
      <w:r>
        <w:rPr>
          <w:color w:val="000000"/>
          <w:szCs w:val="24"/>
        </w:rPr>
        <w:t xml:space="preserve">perduoti viena kitai visus dokumentus, kuriuos buvo būtina perduoti pagal Sutarties nuostatas. </w:t>
      </w:r>
      <w:r>
        <w:rPr>
          <w:color w:val="000000"/>
          <w:szCs w:val="24"/>
        </w:rPr>
      </w:r>
      <w:r>
        <w:rPr>
          <w:color w:val="000000"/>
          <w:szCs w:val="24"/>
        </w:rPr>
      </w:r>
    </w:p>
    <w:p w14:paraId="083443A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814AD85" w14:textId="77777777">
      <w:pPr>
        <w:pBdr/>
        <w:spacing w:line="257" w:lineRule="atLeast"/>
        <w:ind/>
        <w:jc w:val="center"/>
        <w:rPr>
          <w:color w:val="000000"/>
          <w:szCs w:val="24"/>
        </w:rPr>
      </w:pPr>
      <w:r>
        <w:rPr>
          <w:b/>
          <w:bCs/>
          <w:caps/>
          <w:color w:val="000000"/>
          <w:szCs w:val="24"/>
        </w:rPr>
        <w:t xml:space="preserve">23.  PREKIŲ MODELIO AR GAMINTOJO KEITIMAS</w:t>
      </w:r>
      <w:r>
        <w:rPr>
          <w:color w:val="000000"/>
          <w:szCs w:val="24"/>
        </w:rPr>
      </w:r>
      <w:r>
        <w:rPr>
          <w:color w:val="000000"/>
          <w:szCs w:val="24"/>
        </w:rPr>
      </w:r>
    </w:p>
    <w:p w14:paraId="2C519C36"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1E295BD" w14:textId="77777777">
      <w:pPr>
        <w:pBdr/>
        <w:spacing w:line="257" w:lineRule="atLeast"/>
        <w:ind/>
        <w:jc w:val="both"/>
        <w:rPr>
          <w:color w:val="000000"/>
          <w:szCs w:val="24"/>
        </w:rPr>
      </w:pPr>
      <w:r>
        <w:rPr>
          <w:caps/>
          <w:color w:val="000000"/>
          <w:szCs w:val="24"/>
        </w:rPr>
        <w:t xml:space="preserve">23.1. </w:t>
      </w:r>
      <w:r>
        <w:rPr>
          <w:color w:val="000000"/>
          <w:szCs w:val="24"/>
        </w:rPr>
        <w:t xml:space="preserve">Tiekėjas turi teisę keisti Prekių modelį ir (ar) gamintoją, jei yra visos toliau nurodytos sąlygos:</w:t>
      </w:r>
      <w:r>
        <w:rPr>
          <w:color w:val="000000"/>
          <w:szCs w:val="24"/>
        </w:rPr>
      </w:r>
      <w:r>
        <w:rPr>
          <w:color w:val="000000"/>
          <w:szCs w:val="24"/>
        </w:rPr>
      </w:r>
    </w:p>
    <w:p w14:paraId="7C97507E" w14:textId="77777777">
      <w:pPr>
        <w:pBdr/>
        <w:spacing w:line="257" w:lineRule="atLeast"/>
        <w:ind/>
        <w:jc w:val="both"/>
        <w:rPr>
          <w:szCs w:val="24"/>
        </w:rPr>
      </w:pPr>
      <w:r>
        <w:rPr>
          <w:szCs w:val="24"/>
        </w:rPr>
        <w:t xml:space="preserve">23.1.1. jei Tiekėjo pasiūlyme nurodytos Prekės nebegaminamos ar iš esmės sutriko jų tiekimas ir gautas gamintojo patvirtinimas ir (ar) Prekės, jų gamintojas kelia grėsmę nac</w:t>
      </w:r>
      <w:r>
        <w:rPr>
          <w:szCs w:val="24"/>
        </w:rPr>
        <w:t xml:space="preserve">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 xml:space="preserve">dalies nuostatų;</w:t>
      </w:r>
      <w:r>
        <w:rPr>
          <w:szCs w:val="24"/>
        </w:rPr>
      </w:r>
      <w:r>
        <w:rPr>
          <w:szCs w:val="24"/>
        </w:rPr>
      </w:r>
    </w:p>
    <w:p w14:paraId="53F7F3FF" w14:textId="77777777">
      <w:pPr>
        <w:pBdr/>
        <w:spacing w:line="257" w:lineRule="atLeast"/>
        <w:ind/>
        <w:jc w:val="both"/>
        <w:rPr>
          <w:color w:val="000000"/>
          <w:szCs w:val="24"/>
        </w:rPr>
      </w:pPr>
      <w:r>
        <w:rPr>
          <w:color w:val="000000"/>
          <w:szCs w:val="24"/>
        </w:rPr>
        <w:t xml:space="preserve">23.1.2. jei keičiamos Prekės visiškai atitinka visus pirkimo dokumentų reikalavimus, yra ne prastesnės, o lygiavertės ar</w:t>
      </w:r>
      <w:r>
        <w:rPr>
          <w:color w:val="000000"/>
          <w:szCs w:val="24"/>
        </w:rPr>
        <w:t xml:space="preserve"> geresnės kokybės nei Tiekėjo pasiūlyme nurodytos Prekės ir Tiekėjas pateikia tai patvirtinančius dokumentus. Jeigu pirkimo procedūrų metu Tiekėjas buvo pateikęs Prekių pavyzdžius, pristatomos Prekės turi būti ne prastesnės kokybės nei pateikti pavyzdžiai;</w:t>
      </w:r>
      <w:r>
        <w:rPr>
          <w:color w:val="000000"/>
          <w:szCs w:val="24"/>
        </w:rPr>
      </w:r>
      <w:r>
        <w:rPr>
          <w:color w:val="000000"/>
          <w:szCs w:val="24"/>
        </w:rPr>
      </w:r>
    </w:p>
    <w:p w14:paraId="6A587226" w14:textId="77777777">
      <w:pPr>
        <w:pBdr/>
        <w:spacing w:line="257" w:lineRule="atLeast"/>
        <w:ind/>
        <w:jc w:val="both"/>
        <w:rPr>
          <w:color w:val="000000"/>
          <w:szCs w:val="24"/>
        </w:rPr>
      </w:pPr>
      <w:r>
        <w:rPr>
          <w:color w:val="000000"/>
          <w:szCs w:val="24"/>
        </w:rPr>
        <w:t xml:space="preserve">23.1.3. jei Tiekėjas, ne vėliau kaip prieš 10 (dešimt) dienų iki numatomo Prekių keitimo, pateikė Pirkėjui rašytinį prašymą su keitim</w:t>
      </w:r>
      <w:r>
        <w:rPr>
          <w:color w:val="000000"/>
          <w:szCs w:val="24"/>
        </w:rPr>
        <w:t xml:space="preserve">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 xml:space="preserve">ir lygiavertiškumo ar geresnės kokybės nei Sutartyje nurodytos Prekės</w:t>
      </w:r>
      <w:r>
        <w:rPr>
          <w:color w:val="000000"/>
          <w:szCs w:val="24"/>
        </w:rPr>
        <w:t xml:space="preserve">;</w:t>
      </w:r>
      <w:r>
        <w:rPr>
          <w:color w:val="000000"/>
          <w:szCs w:val="24"/>
        </w:rPr>
      </w:r>
      <w:r>
        <w:rPr>
          <w:color w:val="000000"/>
          <w:szCs w:val="24"/>
        </w:rPr>
      </w:r>
    </w:p>
    <w:p w14:paraId="5E2006F3" w14:textId="77777777">
      <w:pPr>
        <w:pBdr/>
        <w:spacing w:line="257" w:lineRule="atLeast"/>
        <w:ind/>
        <w:jc w:val="both"/>
        <w:rPr>
          <w:color w:val="000000"/>
          <w:szCs w:val="24"/>
        </w:rPr>
      </w:pPr>
      <w:r>
        <w:rPr>
          <w:color w:val="000000"/>
          <w:szCs w:val="24"/>
        </w:rPr>
        <w:t xml:space="preserve">23.1.4. Šalys sudarė rašytinį Susitarimą prie Sutarties dėl Prekių keitimo.</w:t>
      </w:r>
      <w:r>
        <w:rPr>
          <w:color w:val="000000"/>
          <w:szCs w:val="24"/>
        </w:rPr>
      </w:r>
      <w:r>
        <w:rPr>
          <w:color w:val="000000"/>
          <w:szCs w:val="24"/>
        </w:rPr>
      </w:r>
    </w:p>
    <w:p w14:paraId="0DB78EBE" w14:textId="77777777">
      <w:pPr>
        <w:pBdr/>
        <w:spacing w:line="257" w:lineRule="atLeast"/>
        <w:ind/>
        <w:jc w:val="both"/>
        <w:rPr>
          <w:color w:val="000000"/>
          <w:szCs w:val="24"/>
        </w:rPr>
      </w:pPr>
      <w:r>
        <w:rPr>
          <w:color w:val="000000"/>
          <w:szCs w:val="24"/>
        </w:rPr>
        <w:t xml:space="preserve">23.2. Šiame Bendrųjų sąlygų skyriuje nurodytu atveju Prekės turi būti pristatytos už ne didesnę nei pasiūlyme nurodytą kainą.</w:t>
      </w:r>
      <w:r>
        <w:rPr>
          <w:color w:val="000000"/>
          <w:szCs w:val="24"/>
        </w:rPr>
      </w:r>
      <w:r>
        <w:rPr>
          <w:color w:val="000000"/>
          <w:szCs w:val="24"/>
        </w:rPr>
      </w:r>
    </w:p>
    <w:p w14:paraId="55EBC92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1914EA9" w14:textId="77777777">
      <w:pPr>
        <w:pBdr/>
        <w:spacing w:line="257" w:lineRule="atLeast"/>
        <w:ind w:hanging="360" w:left="360"/>
        <w:jc w:val="center"/>
        <w:rPr>
          <w:color w:val="000000"/>
          <w:szCs w:val="24"/>
        </w:rPr>
      </w:pPr>
      <w:r>
        <w:rPr>
          <w:b/>
          <w:bCs/>
          <w:caps/>
          <w:color w:val="000000"/>
          <w:szCs w:val="24"/>
        </w:rPr>
        <w:t xml:space="preserve">24.  BENDRAVIMO TVARKA IR KALBA</w:t>
      </w:r>
      <w:r>
        <w:rPr>
          <w:color w:val="000000"/>
          <w:szCs w:val="24"/>
        </w:rPr>
      </w:r>
      <w:r>
        <w:rPr>
          <w:color w:val="000000"/>
          <w:szCs w:val="24"/>
        </w:rPr>
      </w:r>
    </w:p>
    <w:p w14:paraId="4E8393A4" w14:textId="77777777">
      <w:pPr>
        <w:pBdr/>
        <w:spacing w:line="257" w:lineRule="atLeast"/>
        <w:ind w:firstLine="62" w:left="360"/>
        <w:jc w:val="both"/>
        <w:rPr>
          <w:color w:val="000000"/>
          <w:szCs w:val="24"/>
        </w:rPr>
      </w:pPr>
      <w:r>
        <w:rPr>
          <w:color w:val="000000"/>
          <w:szCs w:val="24"/>
        </w:rPr>
      </w:r>
      <w:r>
        <w:rPr>
          <w:color w:val="000000"/>
          <w:szCs w:val="24"/>
        </w:rPr>
      </w:r>
      <w:r>
        <w:rPr>
          <w:color w:val="000000"/>
          <w:szCs w:val="24"/>
        </w:rPr>
      </w:r>
    </w:p>
    <w:p w14:paraId="28C3EA26" w14:textId="77777777">
      <w:pPr>
        <w:pBdr/>
        <w:spacing w:line="257" w:lineRule="atLeast"/>
        <w:ind/>
        <w:jc w:val="both"/>
        <w:rPr>
          <w:color w:val="000000"/>
          <w:szCs w:val="24"/>
        </w:rPr>
      </w:pPr>
      <w:r>
        <w:rPr>
          <w:color w:val="000000"/>
          <w:szCs w:val="24"/>
        </w:rPr>
        <w:t xml:space="preserve">24.1. Sutartis sudaroma lietuvių kalba. Jeigu Sutartis ar kuris nors ją sudarantis dokumentas sudaromas kita kalba arba išverčiamas į kitą kalbą, visais atvejais </w:t>
      </w:r>
      <w:r>
        <w:rPr>
          <w:color w:val="000000"/>
          <w:szCs w:val="24"/>
          <w:shd w:val="clear" w:color="auto" w:fill="ffffff"/>
        </w:rPr>
        <w:t xml:space="preserve">autentišku laikomas tik lietuvių kalba parengtas Sutarties tekstas (jei yra neatitikimų, pirmenybė teikiama lietuvių kalba parengtam tekstui).</w:t>
      </w:r>
      <w:r>
        <w:rPr>
          <w:color w:val="000000"/>
          <w:szCs w:val="24"/>
        </w:rPr>
      </w:r>
      <w:r>
        <w:rPr>
          <w:color w:val="000000"/>
          <w:szCs w:val="24"/>
        </w:rPr>
      </w:r>
    </w:p>
    <w:p w14:paraId="7EFA7909" w14:textId="77777777">
      <w:pPr>
        <w:pBdr/>
        <w:spacing w:line="257" w:lineRule="atLeast"/>
        <w:ind/>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w:t>
      </w:r>
      <w:r>
        <w:rPr>
          <w:color w:val="000000"/>
          <w:szCs w:val="24"/>
        </w:rPr>
        <w:t xml:space="preserve">naujuosius kontaktinius duomenis. Jei Šalis nepraneša apie kontaktinių duomenų pasikeitimą arba kol kita Šalis negauna tokio pranešimo, pranešimo išsiuntimas pagal paskutinius Šaliai žinomus kontaktinius duomenis laikomas tinkamu.</w:t>
      </w:r>
      <w:r>
        <w:rPr>
          <w:color w:val="000000"/>
          <w:szCs w:val="24"/>
        </w:rPr>
      </w:r>
      <w:r>
        <w:rPr>
          <w:color w:val="000000"/>
          <w:szCs w:val="24"/>
        </w:rPr>
      </w:r>
    </w:p>
    <w:p w14:paraId="6A02482D" w14:textId="77777777">
      <w:pPr>
        <w:pBdr/>
        <w:spacing w:line="257" w:lineRule="atLeast"/>
        <w:ind/>
        <w:jc w:val="both"/>
        <w:rPr>
          <w:color w:val="000000"/>
          <w:szCs w:val="24"/>
        </w:rPr>
      </w:pPr>
      <w:r>
        <w:rPr>
          <w:color w:val="000000"/>
          <w:szCs w:val="24"/>
        </w:rPr>
        <w:t xml:space="preserve">24.3. Jeigu pranešimas yra įteikiamas asmeniškai arba siunčiamas paštu ar per kurjerį, jis turi būti įteikiamas pasirašytinai ir laikomas gautu gavimo patvirtinime nurodytą dieną.</w:t>
      </w:r>
      <w:r>
        <w:rPr>
          <w:color w:val="000000"/>
          <w:szCs w:val="24"/>
        </w:rPr>
      </w:r>
      <w:r>
        <w:rPr>
          <w:color w:val="000000"/>
          <w:szCs w:val="24"/>
        </w:rPr>
      </w:r>
    </w:p>
    <w:p w14:paraId="7497D490" w14:textId="77777777">
      <w:pPr>
        <w:pBdr/>
        <w:spacing w:line="257" w:lineRule="atLeast"/>
        <w:ind/>
        <w:jc w:val="both"/>
        <w:rPr>
          <w:color w:val="000000"/>
          <w:szCs w:val="24"/>
        </w:rPr>
      </w:pPr>
      <w:r>
        <w:rPr>
          <w:color w:val="000000"/>
          <w:szCs w:val="24"/>
        </w:rPr>
        <w:t xml:space="preserve">24.4. Jeigu pranešimas siunčiamas el. paštu, laikoma, kad Šalis jį gavo kitą darbo dieną.</w:t>
      </w:r>
      <w:r>
        <w:rPr>
          <w:color w:val="000000"/>
          <w:szCs w:val="24"/>
        </w:rPr>
      </w:r>
      <w:r>
        <w:rPr>
          <w:color w:val="000000"/>
          <w:szCs w:val="24"/>
        </w:rPr>
      </w:r>
    </w:p>
    <w:p w14:paraId="7FC29FEE" w14:textId="77777777">
      <w:pPr>
        <w:pBdr/>
        <w:spacing w:line="257" w:lineRule="atLeast"/>
        <w:ind/>
        <w:jc w:val="both"/>
        <w:rPr>
          <w:color w:val="000000"/>
          <w:szCs w:val="24"/>
        </w:rPr>
      </w:pPr>
      <w:r>
        <w:rPr>
          <w:color w:val="000000"/>
          <w:szCs w:val="24"/>
        </w:rPr>
        <w:t xml:space="preserve">24.5. Jeigu pranešimas siunčiamas keliais skirtingais būdais, laikoma, kad gavėjas jį gavo tada, kai jis gavo pirmesnįjį pranešimą.</w:t>
      </w:r>
      <w:r>
        <w:rPr>
          <w:color w:val="000000"/>
          <w:szCs w:val="24"/>
        </w:rPr>
      </w:r>
      <w:r>
        <w:rPr>
          <w:color w:val="000000"/>
          <w:szCs w:val="24"/>
        </w:rPr>
      </w:r>
    </w:p>
    <w:p w14:paraId="687E64F8"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3F47381" w14:textId="77777777">
      <w:pPr>
        <w:pBdr/>
        <w:spacing w:line="257" w:lineRule="atLeast"/>
        <w:ind w:hanging="360" w:left="360"/>
        <w:jc w:val="center"/>
        <w:rPr>
          <w:color w:val="000000"/>
          <w:szCs w:val="24"/>
        </w:rPr>
      </w:pPr>
      <w:r>
        <w:rPr>
          <w:b/>
          <w:bCs/>
          <w:caps/>
          <w:color w:val="000000"/>
          <w:szCs w:val="24"/>
        </w:rPr>
        <w:t xml:space="preserve">25.  PRETENZIJOS IR GINČŲ SPRENDIMAS</w:t>
      </w:r>
      <w:r>
        <w:rPr>
          <w:color w:val="000000"/>
          <w:szCs w:val="24"/>
        </w:rPr>
      </w:r>
      <w:r>
        <w:rPr>
          <w:color w:val="000000"/>
          <w:szCs w:val="24"/>
        </w:rPr>
      </w:r>
    </w:p>
    <w:p w14:paraId="64000DE7" w14:textId="77777777">
      <w:pPr>
        <w:pBdr/>
        <w:spacing w:line="257" w:lineRule="atLeast"/>
        <w:ind w:firstLine="62" w:left="360"/>
        <w:jc w:val="both"/>
        <w:rPr>
          <w:color w:val="000000"/>
          <w:szCs w:val="24"/>
        </w:rPr>
      </w:pPr>
      <w:r>
        <w:rPr>
          <w:color w:val="000000"/>
          <w:szCs w:val="24"/>
        </w:rPr>
      </w:r>
      <w:r>
        <w:rPr>
          <w:color w:val="000000"/>
          <w:szCs w:val="24"/>
        </w:rPr>
      </w:r>
      <w:r>
        <w:rPr>
          <w:color w:val="000000"/>
          <w:szCs w:val="24"/>
        </w:rPr>
      </w:r>
    </w:p>
    <w:p w14:paraId="7122424A" w14:textId="77777777">
      <w:pPr>
        <w:pBdr/>
        <w:spacing w:line="257" w:lineRule="atLeast"/>
        <w:ind/>
        <w:jc w:val="both"/>
        <w:rPr>
          <w:color w:val="000000"/>
          <w:szCs w:val="24"/>
        </w:rPr>
      </w:pPr>
      <w:r>
        <w:rPr>
          <w:color w:val="000000"/>
          <w:szCs w:val="24"/>
        </w:rPr>
        <w:t xml:space="preserve">25.1. Bet kokie ginčai, nesutarimai ar reikalavimai, kylantys iš Sutarties arba susiję su Sutartimi, jos pažeidimu, nutraukimu ar galiojimu, visų pirma privalo būti sprendžiami derybomis tarp Šalių vadovų arba jų įgaliotų asmenų.</w:t>
      </w:r>
      <w:r>
        <w:rPr>
          <w:color w:val="000000"/>
          <w:szCs w:val="24"/>
        </w:rPr>
      </w:r>
      <w:r>
        <w:rPr>
          <w:color w:val="000000"/>
          <w:szCs w:val="24"/>
        </w:rPr>
      </w:r>
    </w:p>
    <w:p w14:paraId="4A55F5E3" w14:textId="77777777">
      <w:pPr>
        <w:pBdr/>
        <w:spacing w:line="257" w:lineRule="atLeast"/>
        <w:ind/>
        <w:jc w:val="both"/>
        <w:rPr>
          <w:color w:val="000000"/>
          <w:szCs w:val="24"/>
        </w:rPr>
      </w:pPr>
      <w:r>
        <w:rPr>
          <w:color w:val="000000"/>
          <w:szCs w:val="24"/>
        </w:rPr>
        <w:t xml:space="preserve">25.2. Jeigu Šalys neišsprendžia ginčo derybų</w:t>
      </w:r>
      <w:r>
        <w:rPr>
          <w:color w:val="000000"/>
          <w:szCs w:val="24"/>
        </w:rPr>
        <w:t xml:space="preserve"> būdu tuomet toks ginčas, nesutarimas ar reikalavimas, kylantis iš šios Sutarties arba susijęs su ja ar jos pažeidimu, nutraukimu arba negaliojimu, yra galutinai sprendžiamas Lietuvos Respublikos teismuose Lietuvos Respublikos įstatymuose nustatyta tvarka.</w:t>
      </w:r>
      <w:r>
        <w:rPr>
          <w:color w:val="000000"/>
          <w:szCs w:val="24"/>
        </w:rPr>
      </w:r>
      <w:r>
        <w:rPr>
          <w:color w:val="000000"/>
          <w:szCs w:val="24"/>
        </w:rPr>
      </w:r>
    </w:p>
    <w:p w14:paraId="5EC6D99C" w14:textId="77777777">
      <w:pPr>
        <w:pBdr/>
        <w:spacing w:line="257" w:lineRule="atLeast"/>
        <w:ind/>
        <w:jc w:val="both"/>
        <w:rPr>
          <w:color w:val="000000"/>
          <w:szCs w:val="24"/>
        </w:rPr>
      </w:pPr>
      <w:r>
        <w:rPr>
          <w:color w:val="000000"/>
          <w:szCs w:val="24"/>
        </w:rPr>
        <w:t xml:space="preserve">25.3. Kilę ginčai nesudaro pagrindo Šalims atsisakyti vykdyti savo prievoles pagal Sutartį.</w:t>
      </w:r>
      <w:r>
        <w:rPr>
          <w:color w:val="000000"/>
          <w:szCs w:val="24"/>
        </w:rPr>
      </w:r>
      <w:r>
        <w:rPr>
          <w:color w:val="000000"/>
          <w:szCs w:val="24"/>
        </w:rPr>
      </w:r>
    </w:p>
    <w:p w14:paraId="0D970ED7" w14:textId="77777777">
      <w:pPr>
        <w:pBdr/>
        <w:spacing w:line="257" w:lineRule="atLeast"/>
        <w:ind/>
        <w:rPr>
          <w:color w:val="000000"/>
          <w:szCs w:val="24"/>
        </w:rPr>
      </w:pPr>
      <w:r>
        <w:rPr>
          <w:color w:val="000000"/>
          <w:szCs w:val="24"/>
        </w:rPr>
      </w:r>
      <w:r>
        <w:rPr>
          <w:color w:val="000000"/>
          <w:szCs w:val="24"/>
        </w:rPr>
      </w:r>
      <w:r>
        <w:rPr>
          <w:color w:val="000000"/>
          <w:szCs w:val="24"/>
        </w:rPr>
      </w:r>
    </w:p>
    <w:p w14:paraId="7721076C" w14:textId="77777777">
      <w:pPr>
        <w:pBdr>
          <w:bottom w:val="single" w:color="000000" w:sz="12" w:space="1"/>
        </w:pBdr>
        <w:spacing w:line="259" w:lineRule="auto"/>
        <w:ind/>
        <w:jc w:val="center"/>
        <w:rPr>
          <w:szCs w:val="24"/>
        </w:rPr>
      </w:pPr>
      <w:r>
        <w:rPr>
          <w:szCs w:val="24"/>
        </w:rPr>
      </w:r>
      <w:r>
        <w:rPr>
          <w:szCs w:val="24"/>
        </w:rPr>
      </w:r>
      <w:r>
        <w:rPr>
          <w:szCs w:val="24"/>
        </w:rPr>
      </w:r>
    </w:p>
    <w:p w14:paraId="4926B8B7" w14:textId="77777777">
      <w:pPr>
        <w:pBdr/>
        <w:spacing w:line="259" w:lineRule="auto"/>
        <w:ind/>
        <w:jc w:val="center"/>
        <w:rPr>
          <w:szCs w:val="24"/>
        </w:rPr>
      </w:pPr>
      <w:r>
        <w:rPr>
          <w:szCs w:val="24"/>
        </w:rPr>
      </w:r>
      <w:r>
        <w:rPr>
          <w:szCs w:val="24"/>
        </w:rPr>
      </w:r>
      <w:r>
        <w:rPr>
          <w:szCs w:val="24"/>
        </w:rPr>
      </w:r>
    </w:p>
    <w:p w14:paraId="6D890F55" w14:textId="77777777">
      <w:pPr>
        <w:pBdr/>
        <w:spacing w:line="259" w:lineRule="auto"/>
        <w:ind/>
        <w:jc w:val="center"/>
        <w:rPr>
          <w:szCs w:val="24"/>
        </w:rPr>
      </w:pPr>
      <w:r>
        <w:rPr>
          <w:szCs w:val="24"/>
        </w:rPr>
      </w:r>
      <w:r>
        <w:rPr>
          <w:szCs w:val="24"/>
        </w:rPr>
      </w:r>
      <w:r>
        <w:rPr>
          <w:szCs w:val="24"/>
        </w:rPr>
      </w:r>
    </w:p>
    <w:p w14:paraId="3E1E1B54" w14:textId="77777777">
      <w:pPr>
        <w:pBdr/>
        <w:spacing w:line="259" w:lineRule="auto"/>
        <w:ind/>
        <w:jc w:val="center"/>
        <w:rPr>
          <w:szCs w:val="24"/>
        </w:rPr>
      </w:pPr>
      <w:r>
        <w:rPr>
          <w:szCs w:val="24"/>
        </w:rPr>
      </w:r>
      <w:r>
        <w:rPr>
          <w:szCs w:val="24"/>
        </w:rPr>
      </w:r>
      <w:r>
        <w:rPr>
          <w:szCs w:val="24"/>
        </w:rPr>
      </w:r>
    </w:p>
    <w:p w14:paraId="240B2B47" w14:textId="77777777">
      <w:pPr>
        <w:pageBreakBefore w:val="true"/>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s>
        <w:spacing/>
        <w:ind/>
        <w:jc w:val="center"/>
        <w:rPr>
          <w:caps/>
          <w:szCs w:val="24"/>
        </w:rPr>
      </w:pPr>
      <w:r>
        <w:rPr>
          <w:b/>
          <w:caps/>
          <w:szCs w:val="24"/>
        </w:rPr>
        <w:t xml:space="preserve">sutarties </w:t>
      </w:r>
      <w:r>
        <w:rPr>
          <w:b/>
          <w:bCs/>
          <w:caps/>
          <w:szCs w:val="24"/>
        </w:rPr>
        <w:t xml:space="preserve">Specialiosios</w:t>
      </w:r>
      <w:r>
        <w:rPr>
          <w:b/>
          <w:caps/>
          <w:szCs w:val="24"/>
        </w:rPr>
        <w:t xml:space="preserve"> sąlygos</w:t>
      </w:r>
      <w:r>
        <w:rPr>
          <w:caps/>
          <w:szCs w:val="24"/>
        </w:rPr>
        <w:t xml:space="preserve"> </w:t>
      </w:r>
      <w:r>
        <w:rPr>
          <w:caps/>
          <w:szCs w:val="24"/>
        </w:rPr>
      </w:r>
      <w:r>
        <w:rPr>
          <w:caps/>
          <w:szCs w:val="24"/>
        </w:rPr>
      </w:r>
    </w:p>
    <w:p w14:paraId="5B87FA63" w14:textId="77777777">
      <w:pPr>
        <w:pBdr/>
        <w:spacing/>
        <w:ind/>
        <w:jc w:val="center"/>
        <w:rPr>
          <w:szCs w:val="24"/>
        </w:rPr>
      </w:pPr>
      <w:r>
        <w:rPr>
          <w:szCs w:val="24"/>
        </w:rPr>
      </w:r>
      <w:r>
        <w:rPr>
          <w:szCs w:val="24"/>
        </w:rPr>
      </w:r>
      <w:r>
        <w:rPr>
          <w:szCs w:val="24"/>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647"/>
      </w:tblGrid>
      <w:tr>
        <w:trPr/>
        <w:tc>
          <w:tcPr>
            <w:tcBorders/>
            <w:tcW w:w="2448" w:type="dxa"/>
          </w:tcPr>
          <w:p w14:paraId="0A9D9FA1" w14:textId="77777777">
            <w:pPr>
              <w:pBdr/>
              <w:spacing/>
              <w:ind/>
              <w:jc w:val="both"/>
              <w:rPr>
                <w:b/>
                <w:bCs/>
                <w:szCs w:val="24"/>
              </w:rPr>
            </w:pPr>
            <w:r>
              <w:rPr>
                <w:b/>
                <w:bCs/>
                <w:szCs w:val="24"/>
              </w:rPr>
              <w:t xml:space="preserve">Sutarties pavadinimas</w:t>
            </w:r>
            <w:r>
              <w:rPr>
                <w:b/>
                <w:bCs/>
                <w:szCs w:val="24"/>
              </w:rPr>
            </w:r>
            <w:r>
              <w:rPr>
                <w:b/>
                <w:bCs/>
                <w:szCs w:val="24"/>
              </w:rPr>
            </w:r>
          </w:p>
        </w:tc>
        <w:tc>
          <w:tcPr>
            <w:gridSpan w:val="3"/>
            <w:tcBorders/>
            <w:tcW w:w="7186" w:type="dxa"/>
          </w:tcPr>
          <w:p w14:paraId="5C019A09" w14:textId="77777777">
            <w:pPr>
              <w:pBdr/>
              <w:spacing/>
              <w:ind/>
              <w:jc w:val="both"/>
              <w:rPr>
                <w:b/>
                <w:bCs/>
                <w:szCs w:val="24"/>
                <w:highlight w:val="none"/>
              </w:rPr>
            </w:pPr>
            <w:r>
              <w:rPr>
                <w:b/>
                <w:bCs/>
                <w:szCs w:val="24"/>
                <w:highlight w:val="none"/>
              </w:rPr>
              <w:t xml:space="preserve">Procedūrinės kėdės (4vnt) </w:t>
            </w:r>
            <w:r>
              <w:rPr>
                <w:b/>
                <w:bCs/>
                <w:szCs w:val="24"/>
                <w:highlight w:val="none"/>
              </w:rPr>
              <w:t xml:space="preserve">pirkimo sutartis</w:t>
            </w:r>
            <w:r>
              <w:rPr>
                <w:b/>
                <w:bCs/>
                <w:szCs w:val="24"/>
                <w:highlight w:val="none"/>
              </w:rPr>
            </w:r>
            <w:r>
              <w:rPr>
                <w:b/>
                <w:bCs/>
                <w:szCs w:val="24"/>
                <w:highlight w:val="none"/>
              </w:rPr>
            </w:r>
          </w:p>
        </w:tc>
      </w:tr>
      <w:tr>
        <w:trPr/>
        <w:tc>
          <w:tcPr>
            <w:tcBorders/>
            <w:tcW w:w="2448" w:type="dxa"/>
          </w:tcPr>
          <w:p w14:paraId="5E186553" w14:textId="77777777">
            <w:pPr>
              <w:pBdr/>
              <w:spacing/>
              <w:ind/>
              <w:jc w:val="both"/>
              <w:rPr>
                <w:b/>
                <w:bCs/>
                <w:szCs w:val="24"/>
              </w:rPr>
            </w:pPr>
            <w:r>
              <w:rPr>
                <w:b/>
                <w:bCs/>
                <w:szCs w:val="24"/>
              </w:rPr>
              <w:t xml:space="preserve">Sutarties data</w:t>
            </w:r>
            <w:r>
              <w:rPr>
                <w:b/>
                <w:bCs/>
                <w:szCs w:val="24"/>
              </w:rPr>
            </w:r>
            <w:r>
              <w:rPr>
                <w:b/>
                <w:bCs/>
                <w:szCs w:val="24"/>
              </w:rPr>
            </w:r>
          </w:p>
        </w:tc>
        <w:tc>
          <w:tcPr>
            <w:tcBorders/>
            <w:tcW w:w="2177" w:type="dxa"/>
          </w:tcPr>
          <w:p w14:paraId="68F3FEBC" w14:textId="77777777">
            <w:pPr>
              <w:pBdr/>
              <w:spacing/>
              <w:ind/>
              <w:jc w:val="both"/>
              <w:rPr>
                <w:i/>
                <w:iCs/>
                <w:szCs w:val="24"/>
              </w:rPr>
            </w:pPr>
            <w:r>
              <w:rPr>
                <w:i/>
                <w:iCs/>
                <w:szCs w:val="24"/>
              </w:rPr>
              <w:t xml:space="preserve">Nurodyta metaduomenyse</w:t>
            </w:r>
            <w:r>
              <w:rPr>
                <w:i/>
                <w:iCs/>
                <w:szCs w:val="24"/>
              </w:rPr>
            </w:r>
            <w:r>
              <w:rPr>
                <w:i/>
                <w:iCs/>
                <w:szCs w:val="24"/>
              </w:rPr>
            </w:r>
          </w:p>
        </w:tc>
        <w:tc>
          <w:tcPr>
            <w:tcBorders/>
            <w:tcW w:w="2362" w:type="dxa"/>
          </w:tcPr>
          <w:p w14:paraId="73806D7A" w14:textId="77777777">
            <w:pPr>
              <w:pBdr/>
              <w:spacing/>
              <w:ind/>
              <w:jc w:val="both"/>
              <w:rPr>
                <w:b/>
                <w:bCs/>
                <w:szCs w:val="24"/>
              </w:rPr>
            </w:pPr>
            <w:r>
              <w:rPr>
                <w:b/>
                <w:bCs/>
                <w:szCs w:val="24"/>
              </w:rPr>
              <w:t xml:space="preserve">Sutarties numeris</w:t>
            </w:r>
            <w:r>
              <w:rPr>
                <w:b/>
                <w:bCs/>
                <w:szCs w:val="24"/>
              </w:rPr>
            </w:r>
            <w:r>
              <w:rPr>
                <w:b/>
                <w:bCs/>
                <w:szCs w:val="24"/>
              </w:rPr>
            </w:r>
          </w:p>
        </w:tc>
        <w:tc>
          <w:tcPr>
            <w:tcBorders/>
            <w:tcW w:w="2647" w:type="dxa"/>
          </w:tcPr>
          <w:p w14:paraId="20F4D2D7" w14:textId="77777777">
            <w:pPr>
              <w:pBdr/>
              <w:spacing/>
              <w:ind/>
              <w:jc w:val="both"/>
              <w:rPr>
                <w:i/>
                <w:iCs/>
                <w:szCs w:val="24"/>
              </w:rPr>
            </w:pPr>
            <w:r>
              <w:rPr>
                <w:i/>
                <w:iCs/>
                <w:szCs w:val="24"/>
              </w:rPr>
              <w:t xml:space="preserve">Nurodyta metaduomenyse</w:t>
            </w:r>
            <w:r>
              <w:rPr>
                <w:i/>
                <w:iCs/>
                <w:szCs w:val="24"/>
              </w:rPr>
            </w:r>
            <w:r>
              <w:rPr>
                <w:i/>
                <w:iCs/>
                <w:szCs w:val="24"/>
              </w:rPr>
            </w:r>
          </w:p>
        </w:tc>
      </w:tr>
    </w:tbl>
    <w:p w14:paraId="73AD5A62" w14:textId="77777777">
      <w:pPr>
        <w:pBdr/>
        <w:spacing/>
        <w:ind/>
        <w:jc w:val="both"/>
        <w:rPr>
          <w:szCs w:val="24"/>
        </w:rPr>
      </w:pPr>
      <w:r>
        <w:rPr>
          <w:szCs w:val="24"/>
        </w:rPr>
      </w:r>
      <w:r>
        <w:rPr>
          <w:szCs w:val="24"/>
        </w:rPr>
      </w:r>
      <w:r>
        <w:rPr>
          <w:szCs w:val="24"/>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38"/>
        <w:gridCol w:w="3240"/>
        <w:gridCol w:w="4556"/>
      </w:tblGrid>
      <w:tr>
        <w:trPr/>
        <w:tc>
          <w:tcPr>
            <w:gridSpan w:val="3"/>
            <w:tcBorders/>
            <w:tcW w:w="9634" w:type="dxa"/>
          </w:tcPr>
          <w:p w14:paraId="5C715584" w14:textId="77777777">
            <w:pPr>
              <w:pBdr/>
              <w:spacing/>
              <w:ind/>
              <w:jc w:val="center"/>
              <w:rPr>
                <w:b/>
                <w:bCs/>
                <w:szCs w:val="24"/>
              </w:rPr>
            </w:pPr>
            <w:r>
              <w:rPr>
                <w:b/>
                <w:bCs/>
                <w:szCs w:val="24"/>
              </w:rPr>
              <w:t xml:space="preserve">1. SUTARTIES ŠALYS</w:t>
            </w:r>
            <w:r>
              <w:rPr>
                <w:b/>
                <w:bCs/>
                <w:szCs w:val="24"/>
              </w:rPr>
            </w:r>
            <w:r>
              <w:rPr>
                <w:b/>
                <w:bCs/>
                <w:szCs w:val="24"/>
              </w:rPr>
            </w:r>
          </w:p>
        </w:tc>
      </w:tr>
      <w:tr>
        <w:trPr/>
        <w:tc>
          <w:tcPr>
            <w:tcBorders/>
            <w:tcW w:w="1838" w:type="dxa"/>
            <w:vMerge w:val="restart"/>
          </w:tcPr>
          <w:p w14:paraId="79A8776A" w14:textId="77777777">
            <w:pPr>
              <w:pBdr/>
              <w:spacing/>
              <w:ind/>
              <w:rPr>
                <w:b/>
                <w:bCs/>
                <w:szCs w:val="24"/>
              </w:rPr>
            </w:pPr>
            <w:r>
              <w:rPr>
                <w:b/>
                <w:bCs/>
                <w:szCs w:val="24"/>
              </w:rPr>
              <w:t xml:space="preserve">1.1. Pirkėjas</w:t>
            </w:r>
            <w:r>
              <w:rPr>
                <w:b/>
                <w:bCs/>
                <w:szCs w:val="24"/>
              </w:rPr>
            </w:r>
            <w:r>
              <w:rPr>
                <w:b/>
                <w:bCs/>
                <w:szCs w:val="24"/>
              </w:rPr>
            </w:r>
          </w:p>
        </w:tc>
        <w:tc>
          <w:tcPr>
            <w:tcBorders/>
            <w:tcW w:w="3240" w:type="dxa"/>
          </w:tcPr>
          <w:p w14:paraId="4EFA1D43" w14:textId="77777777">
            <w:pPr>
              <w:pBdr/>
              <w:spacing/>
              <w:ind/>
              <w:rPr>
                <w:szCs w:val="24"/>
              </w:rPr>
            </w:pPr>
            <w:r>
              <w:rPr>
                <w:szCs w:val="24"/>
              </w:rPr>
              <w:t xml:space="preserve">1.1.1. Pavadinimas</w:t>
            </w:r>
            <w:r>
              <w:rPr>
                <w:szCs w:val="24"/>
              </w:rPr>
            </w:r>
            <w:r>
              <w:rPr>
                <w:szCs w:val="24"/>
              </w:rPr>
            </w:r>
          </w:p>
        </w:tc>
        <w:tc>
          <w:tcPr>
            <w:tcBorders/>
            <w:tcW w:w="4556" w:type="dxa"/>
          </w:tcPr>
          <w:p w14:paraId="6C417891" w14:textId="77777777">
            <w:pPr>
              <w:pBdr/>
              <w:spacing/>
              <w:ind/>
              <w:jc w:val="both"/>
              <w:rPr>
                <w:highlight w:val="none"/>
              </w:rPr>
            </w:pPr>
            <w:r>
              <w:rPr>
                <w:b/>
                <w:bCs/>
                <w:szCs w:val="24"/>
                <w:highlight w:val="none"/>
              </w:rPr>
              <w:t xml:space="preserve">Viešoji įstaiga Šiaulių rajono </w:t>
            </w:r>
            <w:r>
              <w:rPr>
                <w:highlight w:val="none"/>
              </w:rPr>
            </w:r>
            <w:r>
              <w:rPr>
                <w:highlight w:val="none"/>
              </w:rPr>
            </w:r>
          </w:p>
          <w:p w14:paraId="26BB3BBA" w14:textId="77777777">
            <w:pPr>
              <w:pBdr/>
              <w:spacing/>
              <w:ind/>
              <w:jc w:val="both"/>
              <w:rPr>
                <w:b/>
                <w:bCs/>
                <w:szCs w:val="24"/>
                <w:highlight w:val="none"/>
              </w:rPr>
            </w:pPr>
            <w:r>
              <w:rPr>
                <w:b/>
                <w:bCs/>
                <w:szCs w:val="24"/>
                <w:highlight w:val="none"/>
              </w:rPr>
              <w:t xml:space="preserve">savivaldybės sveikatos centras</w:t>
            </w:r>
            <w:r>
              <w:rPr>
                <w:b/>
                <w:bCs/>
                <w:szCs w:val="24"/>
                <w:highlight w:val="none"/>
              </w:rPr>
            </w:r>
            <w:r>
              <w:rPr>
                <w:b/>
                <w:bCs/>
                <w:szCs w:val="24"/>
                <w:highlight w:val="none"/>
              </w:rPr>
            </w:r>
          </w:p>
        </w:tc>
      </w:tr>
      <w:tr>
        <w:trPr/>
        <w:tc>
          <w:tcPr>
            <w:tcBorders/>
            <w:tcW w:w="1838" w:type="dxa"/>
            <w:vMerge w:val="continue"/>
          </w:tcPr>
          <w:p w14:paraId="2AFFAC10" w14:textId="77777777">
            <w:pPr>
              <w:pBdr/>
              <w:spacing/>
              <w:ind/>
              <w:rPr>
                <w:szCs w:val="24"/>
              </w:rPr>
            </w:pPr>
            <w:r>
              <w:rPr>
                <w:szCs w:val="24"/>
              </w:rPr>
            </w:r>
            <w:r>
              <w:rPr>
                <w:szCs w:val="24"/>
              </w:rPr>
            </w:r>
            <w:r>
              <w:rPr>
                <w:szCs w:val="24"/>
              </w:rPr>
            </w:r>
          </w:p>
        </w:tc>
        <w:tc>
          <w:tcPr>
            <w:tcBorders/>
            <w:tcW w:w="3240" w:type="dxa"/>
          </w:tcPr>
          <w:p w14:paraId="2D78A746" w14:textId="77777777">
            <w:pPr>
              <w:pBdr/>
              <w:spacing/>
              <w:ind/>
              <w:rPr>
                <w:szCs w:val="24"/>
              </w:rPr>
            </w:pPr>
            <w:r>
              <w:rPr>
                <w:szCs w:val="24"/>
              </w:rPr>
              <w:t xml:space="preserve">1.1.2. Juridinio asmens kodas</w:t>
            </w:r>
            <w:r>
              <w:rPr>
                <w:szCs w:val="24"/>
              </w:rPr>
            </w:r>
            <w:r>
              <w:rPr>
                <w:szCs w:val="24"/>
              </w:rPr>
            </w:r>
          </w:p>
        </w:tc>
        <w:tc>
          <w:tcPr>
            <w:tcBorders/>
            <w:tcW w:w="4556" w:type="dxa"/>
          </w:tcPr>
          <w:p w14:paraId="08B5EA85" w14:textId="77777777">
            <w:pPr>
              <w:pBdr/>
              <w:spacing/>
              <w:ind/>
              <w:rPr>
                <w:szCs w:val="24"/>
                <w:highlight w:val="none"/>
              </w:rPr>
            </w:pPr>
            <w:r>
              <w:rPr>
                <w:szCs w:val="24"/>
                <w:highlight w:val="none"/>
              </w:rPr>
              <w:t xml:space="preserve">306673280</w:t>
            </w:r>
            <w:r>
              <w:rPr>
                <w:szCs w:val="24"/>
                <w:highlight w:val="none"/>
              </w:rPr>
            </w:r>
            <w:r>
              <w:rPr>
                <w:szCs w:val="24"/>
                <w:highlight w:val="none"/>
              </w:rPr>
            </w:r>
          </w:p>
        </w:tc>
      </w:tr>
      <w:tr>
        <w:trPr/>
        <w:tc>
          <w:tcPr>
            <w:tcBorders/>
            <w:tcW w:w="1838" w:type="dxa"/>
            <w:vMerge w:val="continue"/>
          </w:tcPr>
          <w:p w14:paraId="09B326B7" w14:textId="77777777">
            <w:pPr>
              <w:pBdr/>
              <w:spacing/>
              <w:ind/>
              <w:rPr>
                <w:szCs w:val="24"/>
              </w:rPr>
            </w:pPr>
            <w:r>
              <w:rPr>
                <w:szCs w:val="24"/>
              </w:rPr>
            </w:r>
            <w:r>
              <w:rPr>
                <w:szCs w:val="24"/>
              </w:rPr>
            </w:r>
            <w:r>
              <w:rPr>
                <w:szCs w:val="24"/>
              </w:rPr>
            </w:r>
          </w:p>
        </w:tc>
        <w:tc>
          <w:tcPr>
            <w:tcBorders/>
            <w:tcW w:w="3240" w:type="dxa"/>
          </w:tcPr>
          <w:p w14:paraId="38E0DEAC" w14:textId="77777777">
            <w:pPr>
              <w:pBdr/>
              <w:spacing/>
              <w:ind/>
              <w:rPr>
                <w:szCs w:val="24"/>
              </w:rPr>
            </w:pPr>
            <w:r>
              <w:rPr>
                <w:szCs w:val="24"/>
              </w:rPr>
              <w:t xml:space="preserve">1.1.3. Adresas</w:t>
            </w:r>
            <w:r>
              <w:rPr>
                <w:szCs w:val="24"/>
              </w:rPr>
            </w:r>
            <w:r>
              <w:rPr>
                <w:szCs w:val="24"/>
              </w:rPr>
            </w:r>
          </w:p>
        </w:tc>
        <w:tc>
          <w:tcPr>
            <w:tcBorders/>
            <w:tcW w:w="4556" w:type="dxa"/>
          </w:tcPr>
          <w:p w14:paraId="25CB3C0F" w14:textId="77777777">
            <w:pPr>
              <w:pBdr/>
              <w:spacing/>
              <w:ind/>
              <w:rPr>
                <w:szCs w:val="24"/>
                <w:highlight w:val="none"/>
              </w:rPr>
            </w:pPr>
            <w:r>
              <w:rPr>
                <w:szCs w:val="24"/>
                <w:highlight w:val="none"/>
              </w:rPr>
              <w:t xml:space="preserve">J. Basanavičiaus g. 18, Kuršėnai, Šiaulių r.</w:t>
            </w:r>
            <w:r>
              <w:rPr>
                <w:szCs w:val="24"/>
                <w:highlight w:val="none"/>
              </w:rPr>
            </w:r>
            <w:r>
              <w:rPr>
                <w:szCs w:val="24"/>
                <w:highlight w:val="none"/>
              </w:rPr>
            </w:r>
          </w:p>
        </w:tc>
      </w:tr>
      <w:tr>
        <w:trPr/>
        <w:tc>
          <w:tcPr>
            <w:tcBorders/>
            <w:tcW w:w="1838" w:type="dxa"/>
            <w:vMerge w:val="continue"/>
          </w:tcPr>
          <w:p w14:paraId="28986006" w14:textId="77777777">
            <w:pPr>
              <w:pBdr/>
              <w:spacing/>
              <w:ind/>
              <w:rPr>
                <w:szCs w:val="24"/>
              </w:rPr>
            </w:pPr>
            <w:r>
              <w:rPr>
                <w:szCs w:val="24"/>
              </w:rPr>
            </w:r>
            <w:r>
              <w:rPr>
                <w:szCs w:val="24"/>
              </w:rPr>
            </w:r>
            <w:r>
              <w:rPr>
                <w:szCs w:val="24"/>
              </w:rPr>
            </w:r>
          </w:p>
        </w:tc>
        <w:tc>
          <w:tcPr>
            <w:tcBorders/>
            <w:tcW w:w="3240" w:type="dxa"/>
          </w:tcPr>
          <w:p w14:paraId="78A88771" w14:textId="77777777">
            <w:pPr>
              <w:pBdr/>
              <w:spacing/>
              <w:ind/>
              <w:rPr>
                <w:szCs w:val="24"/>
              </w:rPr>
            </w:pPr>
            <w:r>
              <w:rPr>
                <w:szCs w:val="24"/>
              </w:rPr>
              <w:t xml:space="preserve">1.1.4. PVM mokėtojo kodas</w:t>
            </w:r>
            <w:r>
              <w:rPr>
                <w:szCs w:val="24"/>
              </w:rPr>
            </w:r>
            <w:r>
              <w:rPr>
                <w:szCs w:val="24"/>
              </w:rPr>
            </w:r>
          </w:p>
        </w:tc>
        <w:tc>
          <w:tcPr>
            <w:tcBorders/>
            <w:tcW w:w="4556" w:type="dxa"/>
          </w:tcPr>
          <w:p w14:paraId="7460E768" w14:textId="77777777">
            <w:pPr>
              <w:pBdr/>
              <w:spacing/>
              <w:ind/>
              <w:rPr>
                <w:szCs w:val="24"/>
                <w:highlight w:val="none"/>
              </w:rPr>
            </w:pPr>
            <w:r>
              <w:rPr>
                <w:szCs w:val="24"/>
                <w:highlight w:val="none"/>
              </w:rPr>
              <w:t xml:space="preserve">Ne PVM mokėtojas</w:t>
            </w:r>
            <w:r>
              <w:rPr>
                <w:szCs w:val="24"/>
                <w:highlight w:val="none"/>
              </w:rPr>
            </w:r>
            <w:r>
              <w:rPr>
                <w:szCs w:val="24"/>
                <w:highlight w:val="none"/>
              </w:rPr>
            </w:r>
          </w:p>
        </w:tc>
      </w:tr>
      <w:tr>
        <w:trPr/>
        <w:tc>
          <w:tcPr>
            <w:tcBorders/>
            <w:tcW w:w="1838" w:type="dxa"/>
            <w:vMerge w:val="continue"/>
          </w:tcPr>
          <w:p w14:paraId="740E6F6A" w14:textId="77777777">
            <w:pPr>
              <w:pBdr/>
              <w:spacing/>
              <w:ind/>
              <w:rPr>
                <w:szCs w:val="24"/>
              </w:rPr>
            </w:pPr>
            <w:r>
              <w:rPr>
                <w:szCs w:val="24"/>
              </w:rPr>
            </w:r>
            <w:r>
              <w:rPr>
                <w:szCs w:val="24"/>
              </w:rPr>
            </w:r>
            <w:r>
              <w:rPr>
                <w:szCs w:val="24"/>
              </w:rPr>
            </w:r>
          </w:p>
        </w:tc>
        <w:tc>
          <w:tcPr>
            <w:tcBorders/>
            <w:tcW w:w="3240" w:type="dxa"/>
          </w:tcPr>
          <w:p w14:paraId="68D530B0" w14:textId="77777777">
            <w:pPr>
              <w:pBdr/>
              <w:spacing/>
              <w:ind/>
              <w:rPr>
                <w:szCs w:val="24"/>
              </w:rPr>
            </w:pPr>
            <w:r>
              <w:rPr>
                <w:szCs w:val="24"/>
              </w:rPr>
              <w:t xml:space="preserve">1.1.5. Atsiskaitomoji sąskaita</w:t>
            </w:r>
            <w:r>
              <w:rPr>
                <w:szCs w:val="24"/>
              </w:rPr>
            </w:r>
            <w:r>
              <w:rPr>
                <w:szCs w:val="24"/>
              </w:rPr>
            </w:r>
          </w:p>
        </w:tc>
        <w:tc>
          <w:tcPr>
            <w:tcBorders/>
            <w:tcW w:w="4556" w:type="dxa"/>
          </w:tcPr>
          <w:p w14:paraId="55B9C174" w14:textId="477635C6">
            <w:pPr>
              <w:pBdr/>
              <w:spacing/>
              <w:ind/>
              <w:rPr>
                <w:szCs w:val="24"/>
                <w:highlight w:val="none"/>
              </w:rPr>
            </w:pPr>
            <w:r>
              <w:rPr>
                <w:szCs w:val="24"/>
                <w:highlight w:val="none"/>
              </w:rPr>
              <w:t xml:space="preserve">LT</w:t>
            </w:r>
            <w:r>
              <w:rPr>
                <w:szCs w:val="24"/>
                <w:highlight w:val="none"/>
              </w:rPr>
              <w:t xml:space="preserve">094010051006232387</w:t>
            </w:r>
            <w:r>
              <w:rPr>
                <w:szCs w:val="24"/>
                <w:highlight w:val="none"/>
              </w:rPr>
            </w:r>
            <w:r>
              <w:rPr>
                <w:szCs w:val="24"/>
                <w:highlight w:val="none"/>
              </w:rPr>
            </w:r>
          </w:p>
        </w:tc>
      </w:tr>
      <w:tr>
        <w:trPr/>
        <w:tc>
          <w:tcPr>
            <w:tcBorders/>
            <w:tcW w:w="1838" w:type="dxa"/>
            <w:vMerge w:val="continue"/>
          </w:tcPr>
          <w:p w14:paraId="64567A91" w14:textId="77777777">
            <w:pPr>
              <w:pBdr/>
              <w:spacing/>
              <w:ind/>
              <w:rPr>
                <w:szCs w:val="24"/>
              </w:rPr>
            </w:pPr>
            <w:r>
              <w:rPr>
                <w:szCs w:val="24"/>
              </w:rPr>
            </w:r>
            <w:r>
              <w:rPr>
                <w:szCs w:val="24"/>
              </w:rPr>
            </w:r>
            <w:r>
              <w:rPr>
                <w:szCs w:val="24"/>
              </w:rPr>
            </w:r>
          </w:p>
        </w:tc>
        <w:tc>
          <w:tcPr>
            <w:tcBorders/>
            <w:tcW w:w="3240" w:type="dxa"/>
          </w:tcPr>
          <w:p w14:paraId="64A9048F" w14:textId="77777777">
            <w:pPr>
              <w:pBdr/>
              <w:spacing/>
              <w:ind/>
              <w:rPr>
                <w:szCs w:val="24"/>
              </w:rPr>
            </w:pPr>
            <w:r>
              <w:rPr>
                <w:szCs w:val="24"/>
              </w:rPr>
              <w:t xml:space="preserve">1.1.6. Bankas, banko kodas</w:t>
            </w:r>
            <w:r>
              <w:rPr>
                <w:szCs w:val="24"/>
              </w:rPr>
            </w:r>
            <w:r>
              <w:rPr>
                <w:szCs w:val="24"/>
              </w:rPr>
            </w:r>
          </w:p>
        </w:tc>
        <w:tc>
          <w:tcPr>
            <w:tcBorders/>
            <w:tcW w:w="4556" w:type="dxa"/>
          </w:tcPr>
          <w:p w14:paraId="4320D3C4" w14:textId="77777777">
            <w:pPr>
              <w:pBdr/>
              <w:spacing/>
              <w:ind/>
              <w:rPr>
                <w:szCs w:val="24"/>
                <w:highlight w:val="none"/>
              </w:rPr>
            </w:pPr>
            <w:r>
              <w:rPr>
                <w:szCs w:val="24"/>
                <w:highlight w:val="none"/>
              </w:rPr>
              <w:t xml:space="preserve">„</w:t>
            </w:r>
            <w:r>
              <w:rPr>
                <w:szCs w:val="24"/>
                <w:highlight w:val="none"/>
              </w:rPr>
              <w:t xml:space="preserve">Luminor</w:t>
            </w:r>
            <w:r>
              <w:rPr>
                <w:szCs w:val="24"/>
                <w:highlight w:val="none"/>
              </w:rPr>
              <w:t xml:space="preserve">“ Bank, AS Lietuvos skyrius</w:t>
            </w:r>
            <w:r>
              <w:rPr>
                <w:szCs w:val="24"/>
                <w:highlight w:val="none"/>
              </w:rPr>
            </w:r>
            <w:r>
              <w:rPr>
                <w:szCs w:val="24"/>
                <w:highlight w:val="none"/>
              </w:rPr>
            </w:r>
          </w:p>
        </w:tc>
      </w:tr>
      <w:tr>
        <w:trPr>
          <w:trHeight w:val="333"/>
        </w:trPr>
        <w:tc>
          <w:tcPr>
            <w:tcBorders/>
            <w:tcW w:w="1838" w:type="dxa"/>
            <w:vMerge w:val="continue"/>
          </w:tcPr>
          <w:p w14:paraId="1AE67D7D" w14:textId="77777777">
            <w:pPr>
              <w:pBdr/>
              <w:spacing/>
              <w:ind/>
              <w:rPr>
                <w:szCs w:val="24"/>
              </w:rPr>
            </w:pPr>
            <w:r>
              <w:rPr>
                <w:szCs w:val="24"/>
              </w:rPr>
            </w:r>
            <w:r>
              <w:rPr>
                <w:szCs w:val="24"/>
              </w:rPr>
            </w:r>
            <w:r>
              <w:rPr>
                <w:szCs w:val="24"/>
              </w:rPr>
            </w:r>
          </w:p>
        </w:tc>
        <w:tc>
          <w:tcPr>
            <w:tcBorders/>
            <w:tcW w:w="3240" w:type="dxa"/>
          </w:tcPr>
          <w:p w14:paraId="1768F76F" w14:textId="77777777">
            <w:pPr>
              <w:pBdr/>
              <w:spacing/>
              <w:ind/>
              <w:rPr>
                <w:szCs w:val="24"/>
              </w:rPr>
            </w:pPr>
            <w:r>
              <w:rPr>
                <w:szCs w:val="24"/>
              </w:rPr>
              <w:t xml:space="preserve">1.1.7. Telefonas</w:t>
            </w:r>
            <w:r>
              <w:rPr>
                <w:szCs w:val="24"/>
              </w:rPr>
            </w:r>
            <w:r>
              <w:rPr>
                <w:szCs w:val="24"/>
              </w:rPr>
            </w:r>
          </w:p>
        </w:tc>
        <w:tc>
          <w:tcPr>
            <w:tcBorders/>
            <w:tcW w:w="4556" w:type="dxa"/>
          </w:tcPr>
          <w:p w14:paraId="30E91AB1" w14:textId="77777777">
            <w:pPr>
              <w:pBdr/>
              <w:spacing/>
              <w:ind/>
              <w:rPr>
                <w:szCs w:val="24"/>
                <w:highlight w:val="none"/>
              </w:rPr>
            </w:pPr>
            <w:r>
              <w:rPr>
                <w:szCs w:val="24"/>
                <w:highlight w:val="none"/>
              </w:rPr>
              <w:t xml:space="preserve">+370 686 702 04</w:t>
            </w:r>
            <w:r>
              <w:rPr>
                <w:szCs w:val="24"/>
                <w:highlight w:val="none"/>
              </w:rPr>
            </w:r>
            <w:r>
              <w:rPr>
                <w:szCs w:val="24"/>
                <w:highlight w:val="none"/>
              </w:rPr>
            </w:r>
          </w:p>
        </w:tc>
      </w:tr>
      <w:tr>
        <w:trPr/>
        <w:tc>
          <w:tcPr>
            <w:tcBorders/>
            <w:tcW w:w="1838" w:type="dxa"/>
            <w:vMerge w:val="continue"/>
          </w:tcPr>
          <w:p w14:paraId="347BB066" w14:textId="77777777">
            <w:pPr>
              <w:pBdr/>
              <w:spacing/>
              <w:ind/>
              <w:rPr>
                <w:szCs w:val="24"/>
              </w:rPr>
            </w:pPr>
            <w:r>
              <w:rPr>
                <w:szCs w:val="24"/>
              </w:rPr>
            </w:r>
            <w:r>
              <w:rPr>
                <w:szCs w:val="24"/>
              </w:rPr>
            </w:r>
            <w:r>
              <w:rPr>
                <w:szCs w:val="24"/>
              </w:rPr>
            </w:r>
          </w:p>
        </w:tc>
        <w:tc>
          <w:tcPr>
            <w:tcBorders/>
            <w:tcW w:w="3240" w:type="dxa"/>
          </w:tcPr>
          <w:p w14:paraId="082B1273" w14:textId="77777777">
            <w:pPr>
              <w:pBdr/>
              <w:spacing/>
              <w:ind/>
              <w:rPr>
                <w:szCs w:val="24"/>
              </w:rPr>
            </w:pPr>
            <w:r>
              <w:rPr>
                <w:szCs w:val="24"/>
              </w:rPr>
              <w:t xml:space="preserve">1.1.8. El. paštas</w:t>
            </w:r>
            <w:r>
              <w:rPr>
                <w:szCs w:val="24"/>
              </w:rPr>
            </w:r>
            <w:r>
              <w:rPr>
                <w:szCs w:val="24"/>
              </w:rPr>
            </w:r>
          </w:p>
        </w:tc>
        <w:tc>
          <w:tcPr>
            <w:tcBorders/>
            <w:tcW w:w="4556" w:type="dxa"/>
          </w:tcPr>
          <w:p w14:paraId="776F6DA3"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direktorius@srsc.lt</w:t>
            </w:r>
            <w:r>
              <w:rPr>
                <w:highlight w:val="none"/>
              </w:rPr>
            </w:r>
            <w:r>
              <w:rPr>
                <w:highlight w:val="none"/>
              </w:rPr>
            </w:r>
          </w:p>
        </w:tc>
      </w:tr>
      <w:tr>
        <w:trPr/>
        <w:tc>
          <w:tcPr>
            <w:tcBorders/>
            <w:tcW w:w="1838" w:type="dxa"/>
            <w:vMerge w:val="continue"/>
          </w:tcPr>
          <w:p w14:paraId="60BCA0EE" w14:textId="77777777">
            <w:pPr>
              <w:pBdr/>
              <w:spacing/>
              <w:ind/>
              <w:rPr>
                <w:szCs w:val="24"/>
              </w:rPr>
            </w:pPr>
            <w:r>
              <w:rPr>
                <w:szCs w:val="24"/>
              </w:rPr>
            </w:r>
            <w:r>
              <w:rPr>
                <w:szCs w:val="24"/>
              </w:rPr>
            </w:r>
            <w:r>
              <w:rPr>
                <w:szCs w:val="24"/>
              </w:rPr>
            </w:r>
          </w:p>
        </w:tc>
        <w:tc>
          <w:tcPr>
            <w:tcBorders/>
            <w:tcW w:w="3240" w:type="dxa"/>
          </w:tcPr>
          <w:p w14:paraId="3F76B250" w14:textId="77777777">
            <w:pPr>
              <w:pBdr/>
              <w:spacing/>
              <w:ind/>
              <w:rPr>
                <w:szCs w:val="24"/>
              </w:rPr>
            </w:pPr>
            <w:r>
              <w:rPr>
                <w:szCs w:val="24"/>
              </w:rPr>
              <w:t xml:space="preserve">1.1.9. Šalies atstovas</w:t>
            </w:r>
            <w:r>
              <w:rPr>
                <w:szCs w:val="24"/>
              </w:rPr>
            </w:r>
            <w:r>
              <w:rPr>
                <w:szCs w:val="24"/>
              </w:rPr>
            </w:r>
          </w:p>
        </w:tc>
        <w:tc>
          <w:tcPr>
            <w:tcBorders/>
            <w:tcW w:w="4556" w:type="dxa"/>
          </w:tcPr>
          <w:p w14:paraId="47A37776"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Direktorė Zita Jablonskienė</w:t>
            </w:r>
            <w:r>
              <w:rPr>
                <w:highlight w:val="none"/>
              </w:rPr>
            </w:r>
            <w:r>
              <w:rPr>
                <w:highlight w:val="none"/>
              </w:rPr>
            </w:r>
          </w:p>
        </w:tc>
      </w:tr>
      <w:tr>
        <w:trPr/>
        <w:tc>
          <w:tcPr>
            <w:tcBorders/>
            <w:tcW w:w="1838" w:type="dxa"/>
            <w:vMerge w:val="continue"/>
          </w:tcPr>
          <w:p w14:paraId="34102F06" w14:textId="77777777">
            <w:pPr>
              <w:pBdr/>
              <w:spacing/>
              <w:ind/>
              <w:rPr>
                <w:szCs w:val="24"/>
              </w:rPr>
            </w:pPr>
            <w:r>
              <w:rPr>
                <w:szCs w:val="24"/>
              </w:rPr>
            </w:r>
            <w:r>
              <w:rPr>
                <w:szCs w:val="24"/>
              </w:rPr>
            </w:r>
            <w:r>
              <w:rPr>
                <w:szCs w:val="24"/>
              </w:rPr>
            </w:r>
          </w:p>
        </w:tc>
        <w:tc>
          <w:tcPr>
            <w:tcBorders/>
            <w:tcW w:w="3240" w:type="dxa"/>
          </w:tcPr>
          <w:p w14:paraId="6BE8BE90" w14:textId="77777777">
            <w:pPr>
              <w:pBdr/>
              <w:spacing/>
              <w:ind/>
              <w:rPr>
                <w:szCs w:val="24"/>
              </w:rPr>
            </w:pPr>
            <w:r>
              <w:rPr>
                <w:szCs w:val="24"/>
              </w:rPr>
              <w:t xml:space="preserve">1.1.10. Atstovavimo pagrindas</w:t>
            </w:r>
            <w:r>
              <w:rPr>
                <w:szCs w:val="24"/>
              </w:rPr>
            </w:r>
            <w:r>
              <w:rPr>
                <w:szCs w:val="24"/>
              </w:rPr>
            </w:r>
          </w:p>
        </w:tc>
        <w:tc>
          <w:tcPr>
            <w:tcBorders/>
            <w:tcW w:w="4556" w:type="dxa"/>
          </w:tcPr>
          <w:p w14:paraId="5AE37BCB"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Įstaigos įstatai.</w:t>
            </w:r>
            <w:r>
              <w:rPr>
                <w:highlight w:val="none"/>
              </w:rPr>
            </w:r>
            <w:r>
              <w:rPr>
                <w:highlight w:val="none"/>
              </w:rPr>
            </w:r>
          </w:p>
        </w:tc>
      </w:tr>
      <w:tr>
        <w:trPr/>
        <w:tc>
          <w:tcPr>
            <w:tcBorders/>
            <w:tcW w:w="1838" w:type="dxa"/>
            <w:vMerge w:val="restart"/>
          </w:tcPr>
          <w:p w14:paraId="7B559B36" w14:textId="77777777">
            <w:pPr>
              <w:pBdr/>
              <w:spacing/>
              <w:ind/>
              <w:rPr>
                <w:b/>
                <w:bCs/>
                <w:szCs w:val="24"/>
              </w:rPr>
            </w:pPr>
            <w:r>
              <w:rPr>
                <w:b/>
                <w:bCs/>
                <w:szCs w:val="24"/>
              </w:rPr>
              <w:t xml:space="preserve">1.2. Tiekėjas</w:t>
            </w:r>
            <w:r>
              <w:rPr>
                <w:b/>
                <w:bCs/>
                <w:szCs w:val="24"/>
              </w:rPr>
            </w:r>
            <w:r>
              <w:rPr>
                <w:b/>
                <w:bCs/>
                <w:szCs w:val="24"/>
              </w:rPr>
            </w:r>
          </w:p>
        </w:tc>
        <w:tc>
          <w:tcPr>
            <w:tcBorders/>
            <w:tcW w:w="3240" w:type="dxa"/>
          </w:tcPr>
          <w:p w14:paraId="1E3056F0" w14:textId="77777777">
            <w:pPr>
              <w:pBdr/>
              <w:spacing/>
              <w:ind/>
              <w:rPr>
                <w:szCs w:val="24"/>
              </w:rPr>
            </w:pPr>
            <w:r>
              <w:rPr>
                <w:szCs w:val="24"/>
              </w:rPr>
              <w:t xml:space="preserve">1.2.1. Pavadinimas</w:t>
            </w:r>
            <w:r>
              <w:rPr>
                <w:szCs w:val="24"/>
              </w:rPr>
            </w:r>
            <w:r>
              <w:rPr>
                <w:szCs w:val="24"/>
              </w:rPr>
            </w:r>
          </w:p>
        </w:tc>
        <w:tc>
          <w:tcPr>
            <w:tcBorders/>
            <w:tcW w:w="4556" w:type="dxa"/>
          </w:tcPr>
          <w:p w14:paraId="3F83F374" w14:textId="77777777">
            <w:pPr>
              <w:pBdr/>
              <w:spacing/>
              <w:ind/>
              <w:jc w:val="center"/>
              <w:rPr>
                <w:szCs w:val="24"/>
              </w:rPr>
            </w:pPr>
            <w:r>
              <w:rPr>
                <w:szCs w:val="24"/>
              </w:rPr>
            </w:r>
            <w:r>
              <w:rPr>
                <w:szCs w:val="24"/>
              </w:rPr>
            </w:r>
            <w:r>
              <w:rPr>
                <w:szCs w:val="24"/>
              </w:rPr>
            </w:r>
          </w:p>
        </w:tc>
      </w:tr>
      <w:tr>
        <w:trPr/>
        <w:tc>
          <w:tcPr>
            <w:tcBorders/>
            <w:tcW w:w="1838" w:type="dxa"/>
            <w:vMerge w:val="continue"/>
          </w:tcPr>
          <w:p w14:paraId="079D4C9C" w14:textId="77777777">
            <w:pPr>
              <w:pBdr/>
              <w:spacing/>
              <w:ind/>
              <w:rPr>
                <w:b/>
                <w:bCs/>
                <w:szCs w:val="24"/>
              </w:rPr>
            </w:pPr>
            <w:r>
              <w:rPr>
                <w:b/>
                <w:bCs/>
                <w:szCs w:val="24"/>
              </w:rPr>
            </w:r>
            <w:r>
              <w:rPr>
                <w:b/>
                <w:bCs/>
                <w:szCs w:val="24"/>
              </w:rPr>
            </w:r>
            <w:r>
              <w:rPr>
                <w:b/>
                <w:bCs/>
                <w:szCs w:val="24"/>
              </w:rPr>
            </w:r>
          </w:p>
        </w:tc>
        <w:tc>
          <w:tcPr>
            <w:tcBorders/>
            <w:tcW w:w="3240" w:type="dxa"/>
          </w:tcPr>
          <w:p w14:paraId="3890B41F" w14:textId="77777777">
            <w:pPr>
              <w:pBdr/>
              <w:spacing/>
              <w:ind/>
              <w:rPr>
                <w:szCs w:val="24"/>
              </w:rPr>
            </w:pPr>
            <w:r>
              <w:rPr>
                <w:szCs w:val="24"/>
              </w:rPr>
              <w:t xml:space="preserve">1.2.2. Juridinio asmens kodas</w:t>
            </w:r>
            <w:r>
              <w:rPr>
                <w:szCs w:val="24"/>
              </w:rPr>
            </w:r>
            <w:r>
              <w:rPr>
                <w:szCs w:val="24"/>
              </w:rPr>
            </w:r>
          </w:p>
        </w:tc>
        <w:tc>
          <w:tcPr>
            <w:tcBorders/>
            <w:tcW w:w="4556" w:type="dxa"/>
          </w:tcPr>
          <w:p w14:paraId="225ACCA0" w14:textId="77777777">
            <w:pPr>
              <w:pBdr/>
              <w:spacing/>
              <w:ind/>
              <w:jc w:val="center"/>
              <w:rPr>
                <w:szCs w:val="24"/>
              </w:rPr>
            </w:pPr>
            <w:r>
              <w:rPr>
                <w:szCs w:val="24"/>
              </w:rPr>
            </w:r>
            <w:r>
              <w:rPr>
                <w:szCs w:val="24"/>
              </w:rPr>
            </w:r>
            <w:r>
              <w:rPr>
                <w:szCs w:val="24"/>
              </w:rPr>
            </w:r>
          </w:p>
        </w:tc>
      </w:tr>
      <w:tr>
        <w:trPr/>
        <w:tc>
          <w:tcPr>
            <w:tcBorders/>
            <w:tcW w:w="1838" w:type="dxa"/>
            <w:vMerge w:val="continue"/>
          </w:tcPr>
          <w:p w14:paraId="20BCF717" w14:textId="77777777">
            <w:pPr>
              <w:pBdr/>
              <w:spacing/>
              <w:ind/>
              <w:rPr>
                <w:b/>
                <w:bCs/>
                <w:szCs w:val="24"/>
              </w:rPr>
            </w:pPr>
            <w:r>
              <w:rPr>
                <w:b/>
                <w:bCs/>
                <w:szCs w:val="24"/>
              </w:rPr>
            </w:r>
            <w:r>
              <w:rPr>
                <w:b/>
                <w:bCs/>
                <w:szCs w:val="24"/>
              </w:rPr>
            </w:r>
            <w:r>
              <w:rPr>
                <w:b/>
                <w:bCs/>
                <w:szCs w:val="24"/>
              </w:rPr>
            </w:r>
          </w:p>
        </w:tc>
        <w:tc>
          <w:tcPr>
            <w:tcBorders/>
            <w:tcW w:w="3240" w:type="dxa"/>
          </w:tcPr>
          <w:p w14:paraId="0C5FFE48" w14:textId="77777777">
            <w:pPr>
              <w:pBdr/>
              <w:spacing/>
              <w:ind/>
              <w:rPr>
                <w:szCs w:val="24"/>
              </w:rPr>
            </w:pPr>
            <w:r>
              <w:rPr>
                <w:szCs w:val="24"/>
              </w:rPr>
              <w:t xml:space="preserve">1.2.3. Adresas</w:t>
            </w:r>
            <w:r>
              <w:rPr>
                <w:szCs w:val="24"/>
              </w:rPr>
            </w:r>
            <w:r>
              <w:rPr>
                <w:szCs w:val="24"/>
              </w:rPr>
            </w:r>
          </w:p>
        </w:tc>
        <w:tc>
          <w:tcPr>
            <w:tcBorders/>
            <w:tcW w:w="4556" w:type="dxa"/>
          </w:tcPr>
          <w:p w14:paraId="59AACA39" w14:textId="77777777">
            <w:pPr>
              <w:pBdr/>
              <w:spacing/>
              <w:ind/>
              <w:jc w:val="center"/>
              <w:rPr>
                <w:szCs w:val="24"/>
              </w:rPr>
            </w:pPr>
            <w:r>
              <w:rPr>
                <w:szCs w:val="24"/>
              </w:rPr>
            </w:r>
            <w:r>
              <w:rPr>
                <w:szCs w:val="24"/>
              </w:rPr>
            </w:r>
            <w:r>
              <w:rPr>
                <w:szCs w:val="24"/>
              </w:rPr>
            </w:r>
          </w:p>
        </w:tc>
      </w:tr>
      <w:tr>
        <w:trPr/>
        <w:tc>
          <w:tcPr>
            <w:tcBorders/>
            <w:tcW w:w="1838" w:type="dxa"/>
            <w:vMerge w:val="continue"/>
          </w:tcPr>
          <w:p w14:paraId="57692772" w14:textId="77777777">
            <w:pPr>
              <w:pBdr/>
              <w:spacing/>
              <w:ind/>
              <w:rPr>
                <w:b/>
                <w:bCs/>
                <w:szCs w:val="24"/>
              </w:rPr>
            </w:pPr>
            <w:r>
              <w:rPr>
                <w:b/>
                <w:bCs/>
                <w:szCs w:val="24"/>
              </w:rPr>
            </w:r>
            <w:r>
              <w:rPr>
                <w:b/>
                <w:bCs/>
                <w:szCs w:val="24"/>
              </w:rPr>
            </w:r>
            <w:r>
              <w:rPr>
                <w:b/>
                <w:bCs/>
                <w:szCs w:val="24"/>
              </w:rPr>
            </w:r>
          </w:p>
        </w:tc>
        <w:tc>
          <w:tcPr>
            <w:tcBorders/>
            <w:tcW w:w="3240" w:type="dxa"/>
          </w:tcPr>
          <w:p w14:paraId="781B2F9B" w14:textId="77777777">
            <w:pPr>
              <w:pBdr/>
              <w:spacing/>
              <w:ind/>
              <w:rPr>
                <w:szCs w:val="24"/>
              </w:rPr>
            </w:pPr>
            <w:r>
              <w:rPr>
                <w:szCs w:val="24"/>
              </w:rPr>
              <w:t xml:space="preserve">1.2.4. PVM mokėtojo kodas</w:t>
            </w:r>
            <w:r>
              <w:rPr>
                <w:szCs w:val="24"/>
              </w:rPr>
            </w:r>
            <w:r>
              <w:rPr>
                <w:szCs w:val="24"/>
              </w:rPr>
            </w:r>
          </w:p>
        </w:tc>
        <w:tc>
          <w:tcPr>
            <w:tcBorders/>
            <w:tcW w:w="4556" w:type="dxa"/>
          </w:tcPr>
          <w:p w14:paraId="45FE3C6D" w14:textId="77777777">
            <w:pPr>
              <w:pBdr/>
              <w:spacing/>
              <w:ind/>
              <w:jc w:val="center"/>
              <w:rPr>
                <w:szCs w:val="24"/>
              </w:rPr>
            </w:pPr>
            <w:r>
              <w:rPr>
                <w:szCs w:val="24"/>
              </w:rPr>
            </w:r>
            <w:r>
              <w:rPr>
                <w:szCs w:val="24"/>
              </w:rPr>
            </w:r>
            <w:r>
              <w:rPr>
                <w:szCs w:val="24"/>
              </w:rPr>
            </w:r>
          </w:p>
        </w:tc>
      </w:tr>
      <w:tr>
        <w:trPr/>
        <w:tc>
          <w:tcPr>
            <w:tcBorders/>
            <w:tcW w:w="1838" w:type="dxa"/>
            <w:vMerge w:val="continue"/>
          </w:tcPr>
          <w:p w14:paraId="36C2B088" w14:textId="77777777">
            <w:pPr>
              <w:pBdr/>
              <w:spacing/>
              <w:ind/>
              <w:rPr>
                <w:b/>
                <w:bCs/>
                <w:szCs w:val="24"/>
              </w:rPr>
            </w:pPr>
            <w:r>
              <w:rPr>
                <w:b/>
                <w:bCs/>
                <w:szCs w:val="24"/>
              </w:rPr>
            </w:r>
            <w:r>
              <w:rPr>
                <w:b/>
                <w:bCs/>
                <w:szCs w:val="24"/>
              </w:rPr>
            </w:r>
            <w:r>
              <w:rPr>
                <w:b/>
                <w:bCs/>
                <w:szCs w:val="24"/>
              </w:rPr>
            </w:r>
          </w:p>
        </w:tc>
        <w:tc>
          <w:tcPr>
            <w:tcBorders/>
            <w:tcW w:w="3240" w:type="dxa"/>
          </w:tcPr>
          <w:p w14:paraId="65FB12D1" w14:textId="77777777">
            <w:pPr>
              <w:pBdr/>
              <w:spacing/>
              <w:ind/>
              <w:rPr>
                <w:szCs w:val="24"/>
              </w:rPr>
            </w:pPr>
            <w:r>
              <w:rPr>
                <w:szCs w:val="24"/>
              </w:rPr>
              <w:t xml:space="preserve">1.2.5. Atsiskaitomoji sąskaita</w:t>
            </w:r>
            <w:r>
              <w:rPr>
                <w:szCs w:val="24"/>
              </w:rPr>
            </w:r>
            <w:r>
              <w:rPr>
                <w:szCs w:val="24"/>
              </w:rPr>
            </w:r>
          </w:p>
        </w:tc>
        <w:tc>
          <w:tcPr>
            <w:tcBorders/>
            <w:tcW w:w="4556" w:type="dxa"/>
          </w:tcPr>
          <w:p w14:paraId="6C0DCBB7" w14:textId="77777777">
            <w:pPr>
              <w:pBdr/>
              <w:spacing/>
              <w:ind/>
              <w:jc w:val="center"/>
              <w:rPr>
                <w:szCs w:val="24"/>
              </w:rPr>
            </w:pPr>
            <w:r>
              <w:rPr>
                <w:szCs w:val="24"/>
              </w:rPr>
            </w:r>
            <w:r>
              <w:rPr>
                <w:szCs w:val="24"/>
              </w:rPr>
            </w:r>
            <w:r>
              <w:rPr>
                <w:szCs w:val="24"/>
              </w:rPr>
            </w:r>
          </w:p>
        </w:tc>
      </w:tr>
      <w:tr>
        <w:trPr/>
        <w:tc>
          <w:tcPr>
            <w:tcBorders/>
            <w:tcW w:w="1838" w:type="dxa"/>
            <w:vMerge w:val="continue"/>
          </w:tcPr>
          <w:p w14:paraId="739D29CD" w14:textId="77777777">
            <w:pPr>
              <w:pBdr/>
              <w:spacing/>
              <w:ind/>
              <w:rPr>
                <w:b/>
                <w:bCs/>
                <w:szCs w:val="24"/>
              </w:rPr>
            </w:pPr>
            <w:r>
              <w:rPr>
                <w:b/>
                <w:bCs/>
                <w:szCs w:val="24"/>
              </w:rPr>
            </w:r>
            <w:r>
              <w:rPr>
                <w:b/>
                <w:bCs/>
                <w:szCs w:val="24"/>
              </w:rPr>
            </w:r>
            <w:r>
              <w:rPr>
                <w:b/>
                <w:bCs/>
                <w:szCs w:val="24"/>
              </w:rPr>
            </w:r>
          </w:p>
        </w:tc>
        <w:tc>
          <w:tcPr>
            <w:tcBorders/>
            <w:tcW w:w="3240" w:type="dxa"/>
          </w:tcPr>
          <w:p w14:paraId="6F5993B5" w14:textId="77777777">
            <w:pPr>
              <w:pBdr/>
              <w:spacing/>
              <w:ind/>
              <w:rPr>
                <w:szCs w:val="24"/>
              </w:rPr>
            </w:pPr>
            <w:r>
              <w:rPr>
                <w:szCs w:val="24"/>
              </w:rPr>
              <w:t xml:space="preserve">1.2.6. Bankas, banko kodas</w:t>
            </w:r>
            <w:r>
              <w:rPr>
                <w:szCs w:val="24"/>
              </w:rPr>
            </w:r>
            <w:r>
              <w:rPr>
                <w:szCs w:val="24"/>
              </w:rPr>
            </w:r>
          </w:p>
        </w:tc>
        <w:tc>
          <w:tcPr>
            <w:tcBorders/>
            <w:tcW w:w="4556" w:type="dxa"/>
          </w:tcPr>
          <w:p w14:paraId="5A8478DE" w14:textId="77777777">
            <w:pPr>
              <w:pBdr/>
              <w:spacing/>
              <w:ind/>
              <w:jc w:val="center"/>
              <w:rPr>
                <w:szCs w:val="24"/>
              </w:rPr>
            </w:pPr>
            <w:r>
              <w:rPr>
                <w:szCs w:val="24"/>
              </w:rPr>
            </w:r>
            <w:r>
              <w:rPr>
                <w:szCs w:val="24"/>
              </w:rPr>
            </w:r>
            <w:r>
              <w:rPr>
                <w:szCs w:val="24"/>
              </w:rPr>
            </w:r>
          </w:p>
        </w:tc>
      </w:tr>
      <w:tr>
        <w:trPr/>
        <w:tc>
          <w:tcPr>
            <w:tcBorders/>
            <w:tcW w:w="1838" w:type="dxa"/>
            <w:vMerge w:val="continue"/>
          </w:tcPr>
          <w:p w14:paraId="3D9D80AA" w14:textId="77777777">
            <w:pPr>
              <w:pBdr/>
              <w:spacing/>
              <w:ind/>
              <w:rPr>
                <w:b/>
                <w:bCs/>
                <w:szCs w:val="24"/>
              </w:rPr>
            </w:pPr>
            <w:r>
              <w:rPr>
                <w:b/>
                <w:bCs/>
                <w:szCs w:val="24"/>
              </w:rPr>
            </w:r>
            <w:r>
              <w:rPr>
                <w:b/>
                <w:bCs/>
                <w:szCs w:val="24"/>
              </w:rPr>
            </w:r>
            <w:r>
              <w:rPr>
                <w:b/>
                <w:bCs/>
                <w:szCs w:val="24"/>
              </w:rPr>
            </w:r>
          </w:p>
        </w:tc>
        <w:tc>
          <w:tcPr>
            <w:tcBorders/>
            <w:tcW w:w="3240" w:type="dxa"/>
          </w:tcPr>
          <w:p w14:paraId="5E5DCA28" w14:textId="77777777">
            <w:pPr>
              <w:pBdr/>
              <w:spacing/>
              <w:ind/>
              <w:rPr>
                <w:szCs w:val="24"/>
              </w:rPr>
            </w:pPr>
            <w:r>
              <w:rPr>
                <w:szCs w:val="24"/>
              </w:rPr>
              <w:t xml:space="preserve">1.2.7. Telefonas</w:t>
            </w:r>
            <w:r>
              <w:rPr>
                <w:szCs w:val="24"/>
              </w:rPr>
            </w:r>
            <w:r>
              <w:rPr>
                <w:szCs w:val="24"/>
              </w:rPr>
            </w:r>
          </w:p>
        </w:tc>
        <w:tc>
          <w:tcPr>
            <w:tcBorders/>
            <w:tcW w:w="4556" w:type="dxa"/>
          </w:tcPr>
          <w:p w14:paraId="4F21368C" w14:textId="77777777">
            <w:pPr>
              <w:pBdr/>
              <w:spacing/>
              <w:ind/>
              <w:jc w:val="center"/>
              <w:rPr>
                <w:szCs w:val="24"/>
              </w:rPr>
            </w:pPr>
            <w:r>
              <w:rPr>
                <w:szCs w:val="24"/>
              </w:rPr>
            </w:r>
            <w:r>
              <w:rPr>
                <w:szCs w:val="24"/>
              </w:rPr>
            </w:r>
            <w:r>
              <w:rPr>
                <w:szCs w:val="24"/>
              </w:rPr>
            </w:r>
          </w:p>
        </w:tc>
      </w:tr>
      <w:tr>
        <w:trPr/>
        <w:tc>
          <w:tcPr>
            <w:tcBorders/>
            <w:tcW w:w="1838" w:type="dxa"/>
            <w:vMerge w:val="continue"/>
          </w:tcPr>
          <w:p w14:paraId="6EDD6C0A" w14:textId="77777777">
            <w:pPr>
              <w:pBdr/>
              <w:spacing/>
              <w:ind/>
              <w:rPr>
                <w:b/>
                <w:bCs/>
                <w:szCs w:val="24"/>
              </w:rPr>
            </w:pPr>
            <w:r>
              <w:rPr>
                <w:b/>
                <w:bCs/>
                <w:szCs w:val="24"/>
              </w:rPr>
            </w:r>
            <w:r>
              <w:rPr>
                <w:b/>
                <w:bCs/>
                <w:szCs w:val="24"/>
              </w:rPr>
            </w:r>
            <w:r>
              <w:rPr>
                <w:b/>
                <w:bCs/>
                <w:szCs w:val="24"/>
              </w:rPr>
            </w:r>
          </w:p>
        </w:tc>
        <w:tc>
          <w:tcPr>
            <w:tcBorders/>
            <w:tcW w:w="3240" w:type="dxa"/>
          </w:tcPr>
          <w:p w14:paraId="3F869D1D" w14:textId="77777777">
            <w:pPr>
              <w:pBdr/>
              <w:spacing/>
              <w:ind/>
              <w:rPr>
                <w:szCs w:val="24"/>
              </w:rPr>
            </w:pPr>
            <w:r>
              <w:rPr>
                <w:szCs w:val="24"/>
              </w:rPr>
              <w:t xml:space="preserve">1.2.8. El. paštas</w:t>
            </w:r>
            <w:r>
              <w:rPr>
                <w:szCs w:val="24"/>
              </w:rPr>
            </w:r>
            <w:r>
              <w:rPr>
                <w:szCs w:val="24"/>
              </w:rPr>
            </w:r>
          </w:p>
        </w:tc>
        <w:tc>
          <w:tcPr>
            <w:tcBorders/>
            <w:tcW w:w="4556" w:type="dxa"/>
          </w:tcPr>
          <w:p w14:paraId="2A464784" w14:textId="77777777">
            <w:pPr>
              <w:pBdr/>
              <w:spacing/>
              <w:ind/>
              <w:jc w:val="center"/>
              <w:rPr>
                <w:szCs w:val="24"/>
              </w:rPr>
            </w:pPr>
            <w:r>
              <w:rPr>
                <w:szCs w:val="24"/>
              </w:rPr>
            </w:r>
            <w:r>
              <w:rPr>
                <w:szCs w:val="24"/>
              </w:rPr>
            </w:r>
            <w:r>
              <w:rPr>
                <w:szCs w:val="24"/>
              </w:rPr>
            </w:r>
          </w:p>
        </w:tc>
      </w:tr>
      <w:tr>
        <w:trPr/>
        <w:tc>
          <w:tcPr>
            <w:tcBorders/>
            <w:tcW w:w="1838" w:type="dxa"/>
            <w:vMerge w:val="continue"/>
          </w:tcPr>
          <w:p w14:paraId="55FE0D89" w14:textId="77777777">
            <w:pPr>
              <w:pBdr/>
              <w:spacing/>
              <w:ind/>
              <w:rPr>
                <w:b/>
                <w:bCs/>
                <w:szCs w:val="24"/>
              </w:rPr>
            </w:pPr>
            <w:r>
              <w:rPr>
                <w:b/>
                <w:bCs/>
                <w:szCs w:val="24"/>
              </w:rPr>
            </w:r>
            <w:r>
              <w:rPr>
                <w:b/>
                <w:bCs/>
                <w:szCs w:val="24"/>
              </w:rPr>
            </w:r>
            <w:r>
              <w:rPr>
                <w:b/>
                <w:bCs/>
                <w:szCs w:val="24"/>
              </w:rPr>
            </w:r>
          </w:p>
        </w:tc>
        <w:tc>
          <w:tcPr>
            <w:tcBorders/>
            <w:tcW w:w="3240" w:type="dxa"/>
          </w:tcPr>
          <w:p w14:paraId="0E5A2554" w14:textId="77777777">
            <w:pPr>
              <w:pBdr/>
              <w:spacing/>
              <w:ind/>
              <w:rPr>
                <w:szCs w:val="24"/>
              </w:rPr>
            </w:pPr>
            <w:r>
              <w:rPr>
                <w:szCs w:val="24"/>
              </w:rPr>
              <w:t xml:space="preserve">1.2.9. Šalies atstovas</w:t>
            </w:r>
            <w:r>
              <w:rPr>
                <w:szCs w:val="24"/>
              </w:rPr>
            </w:r>
            <w:r>
              <w:rPr>
                <w:szCs w:val="24"/>
              </w:rPr>
            </w:r>
          </w:p>
        </w:tc>
        <w:tc>
          <w:tcPr>
            <w:tcBorders/>
            <w:tcW w:w="4556" w:type="dxa"/>
          </w:tcPr>
          <w:p w14:paraId="3356B1DA" w14:textId="77777777">
            <w:pPr>
              <w:pBdr/>
              <w:spacing/>
              <w:ind/>
              <w:jc w:val="center"/>
              <w:rPr>
                <w:szCs w:val="24"/>
              </w:rPr>
            </w:pPr>
            <w:r>
              <w:rPr>
                <w:szCs w:val="24"/>
              </w:rPr>
            </w:r>
            <w:r>
              <w:rPr>
                <w:szCs w:val="24"/>
              </w:rPr>
            </w:r>
            <w:r>
              <w:rPr>
                <w:szCs w:val="24"/>
              </w:rPr>
            </w:r>
          </w:p>
        </w:tc>
      </w:tr>
      <w:tr>
        <w:trPr/>
        <w:tc>
          <w:tcPr>
            <w:tcBorders/>
            <w:tcW w:w="1838" w:type="dxa"/>
            <w:vMerge w:val="continue"/>
          </w:tcPr>
          <w:p w14:paraId="18EE6DA5" w14:textId="77777777">
            <w:pPr>
              <w:pBdr/>
              <w:spacing/>
              <w:ind/>
              <w:rPr>
                <w:b/>
                <w:bCs/>
                <w:szCs w:val="24"/>
              </w:rPr>
            </w:pPr>
            <w:r>
              <w:rPr>
                <w:b/>
                <w:bCs/>
                <w:szCs w:val="24"/>
              </w:rPr>
            </w:r>
            <w:r>
              <w:rPr>
                <w:b/>
                <w:bCs/>
                <w:szCs w:val="24"/>
              </w:rPr>
            </w:r>
            <w:r>
              <w:rPr>
                <w:b/>
                <w:bCs/>
                <w:szCs w:val="24"/>
              </w:rPr>
            </w:r>
          </w:p>
        </w:tc>
        <w:tc>
          <w:tcPr>
            <w:tcBorders/>
            <w:tcW w:w="3240" w:type="dxa"/>
          </w:tcPr>
          <w:p w14:paraId="0DF119D4" w14:textId="77777777">
            <w:pPr>
              <w:pBdr/>
              <w:spacing/>
              <w:ind/>
              <w:rPr>
                <w:szCs w:val="24"/>
              </w:rPr>
            </w:pPr>
            <w:r>
              <w:rPr>
                <w:szCs w:val="24"/>
              </w:rPr>
              <w:t xml:space="preserve">1.2.10. Atstovavimo pagrindas</w:t>
            </w:r>
            <w:r>
              <w:rPr>
                <w:szCs w:val="24"/>
              </w:rPr>
            </w:r>
            <w:r>
              <w:rPr>
                <w:szCs w:val="24"/>
              </w:rPr>
            </w:r>
          </w:p>
        </w:tc>
        <w:tc>
          <w:tcPr>
            <w:tcBorders/>
            <w:tcW w:w="4556" w:type="dxa"/>
          </w:tcPr>
          <w:p w14:paraId="7578870B" w14:textId="77777777">
            <w:pPr>
              <w:pBdr/>
              <w:spacing/>
              <w:ind/>
              <w:jc w:val="center"/>
              <w:rPr>
                <w:szCs w:val="24"/>
              </w:rPr>
            </w:pPr>
            <w:r>
              <w:rPr>
                <w:szCs w:val="24"/>
              </w:rPr>
            </w:r>
            <w:r>
              <w:rPr>
                <w:szCs w:val="24"/>
              </w:rPr>
            </w:r>
            <w:r>
              <w:rPr>
                <w:szCs w:val="24"/>
              </w:rPr>
            </w:r>
          </w:p>
        </w:tc>
      </w:tr>
    </w:tbl>
    <w:p w14:paraId="0D4C1836" w14:textId="77777777">
      <w:pPr>
        <w:pBdr/>
        <w:spacing/>
        <w:ind/>
        <w:jc w:val="both"/>
        <w:rPr>
          <w:szCs w:val="24"/>
        </w:rPr>
      </w:pPr>
      <w:r>
        <w:rPr>
          <w:szCs w:val="24"/>
        </w:rPr>
      </w:r>
      <w:r>
        <w:rPr>
          <w:szCs w:val="24"/>
        </w:rPr>
      </w:r>
      <w:r>
        <w:rPr>
          <w:szCs w:val="24"/>
        </w:rPr>
      </w:r>
    </w:p>
    <w:tbl>
      <w:tblPr>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7"/>
        <w:gridCol w:w="2080"/>
        <w:gridCol w:w="5132"/>
      </w:tblGrid>
      <w:tr>
        <w:trPr>
          <w:trHeight w:val="300"/>
        </w:trPr>
        <w:tc>
          <w:tcPr>
            <w:gridSpan w:val="4"/>
            <w:tcBorders/>
            <w:tcW w:w="9918" w:type="dxa"/>
          </w:tcPr>
          <w:p w14:paraId="3B497DA0" w14:textId="77777777">
            <w:pPr>
              <w:pBdr/>
              <w:spacing/>
              <w:ind/>
              <w:jc w:val="center"/>
              <w:rPr>
                <w:b/>
                <w:bCs/>
                <w:szCs w:val="24"/>
              </w:rPr>
            </w:pPr>
            <w:r>
              <w:rPr>
                <w:b/>
                <w:bCs/>
                <w:szCs w:val="24"/>
              </w:rPr>
              <w:t xml:space="preserve">2. ATSAKINGI ASMENYS</w:t>
            </w:r>
            <w:r>
              <w:rPr>
                <w:b/>
                <w:bCs/>
                <w:szCs w:val="24"/>
              </w:rPr>
            </w:r>
            <w:r>
              <w:rPr>
                <w:b/>
                <w:bCs/>
                <w:szCs w:val="24"/>
              </w:rPr>
            </w:r>
          </w:p>
        </w:tc>
      </w:tr>
      <w:tr>
        <w:trPr>
          <w:trHeight w:val="300"/>
        </w:trPr>
        <w:tc>
          <w:tcPr>
            <w:gridSpan w:val="2"/>
            <w:tcBorders/>
            <w:tcW w:w="2706" w:type="dxa"/>
          </w:tcPr>
          <w:p w14:paraId="7D2900B2" w14:textId="77777777">
            <w:pPr>
              <w:pBdr/>
              <w:spacing/>
              <w:ind/>
              <w:rPr>
                <w:b/>
                <w:bCs/>
                <w:szCs w:val="24"/>
              </w:rPr>
            </w:pPr>
            <w:r>
              <w:rPr>
                <w:b/>
                <w:bCs/>
                <w:szCs w:val="24"/>
              </w:rPr>
              <w:t xml:space="preserve">2.1. Pirkėjo kontaktiniai asmenys, atsakingi už Sutarties vykdymą, Prekių priėmimą, Sąskaitų per informacinę sistemą SABIS priėmimą</w:t>
            </w:r>
            <w:r>
              <w:rPr>
                <w:b/>
                <w:bCs/>
                <w:szCs w:val="24"/>
              </w:rPr>
            </w:r>
            <w:r>
              <w:rPr>
                <w:b/>
                <w:bCs/>
                <w:szCs w:val="24"/>
              </w:rPr>
            </w:r>
          </w:p>
        </w:tc>
        <w:tc>
          <w:tcPr>
            <w:gridSpan w:val="2"/>
            <w:tcBorders/>
            <w:tcW w:w="7212" w:type="dxa"/>
          </w:tcPr>
          <w:p w14:paraId="290CAC45" w14:textId="77777777">
            <w:pPr>
              <w:pBdr/>
              <w:spacing/>
              <w:ind/>
              <w:jc w:val="both"/>
              <w:rPr>
                <w:highlight w:val="none"/>
              </w:rPr>
            </w:pPr>
            <w:r>
              <w:rPr>
                <w:szCs w:val="24"/>
                <w:highlight w:val="none"/>
                <w:lang w:val="pt-BR"/>
              </w:rPr>
              <w:t xml:space="preserve">Bendrųjų reikalų ir Ūkio skyriaus vadovas Evaldas Ručinskas,</w:t>
            </w:r>
            <w:r>
              <w:rPr>
                <w:highlight w:val="none"/>
              </w:rPr>
            </w:r>
            <w:r>
              <w:rPr>
                <w:highlight w:val="none"/>
              </w:rPr>
            </w:r>
          </w:p>
          <w:p w14:paraId="6639936E" w14:textId="77777777">
            <w:pPr>
              <w:pBdr/>
              <w:spacing/>
              <w:ind/>
              <w:jc w:val="both"/>
              <w:rPr>
                <w:highlight w:val="none"/>
              </w:rPr>
            </w:pPr>
            <w:r>
              <w:rPr>
                <w:szCs w:val="24"/>
                <w:highlight w:val="none"/>
                <w:lang w:val="pt-BR"/>
              </w:rPr>
              <w:t xml:space="preserve">mob. +370 682 39 883,</w:t>
            </w:r>
            <w:r>
              <w:rPr>
                <w:highlight w:val="none"/>
              </w:rPr>
            </w:r>
            <w:r>
              <w:rPr>
                <w:highlight w:val="none"/>
              </w:rPr>
            </w:r>
          </w:p>
          <w:p w14:paraId="49D9BDEC" w14:textId="77777777">
            <w:pPr>
              <w:pBdr/>
              <w:spacing/>
              <w:ind/>
              <w:jc w:val="both"/>
              <w:rPr>
                <w:szCs w:val="24"/>
                <w:highlight w:val="none"/>
              </w:rPr>
            </w:pPr>
            <w:r>
              <w:rPr>
                <w:szCs w:val="24"/>
                <w:highlight w:val="none"/>
                <w:lang w:val="pt-BR"/>
              </w:rPr>
              <w:t xml:space="preserve">el. paštas evaldas.rucinskas@srsc.lt</w:t>
            </w:r>
            <w:r>
              <w:rPr>
                <w:szCs w:val="24"/>
                <w:highlight w:val="none"/>
              </w:rPr>
            </w:r>
            <w:r>
              <w:rPr>
                <w:szCs w:val="24"/>
                <w:highlight w:val="none"/>
              </w:rPr>
            </w:r>
          </w:p>
          <w:p w14:paraId="4157F434" w14:textId="77777777">
            <w:pPr>
              <w:pBdr/>
              <w:spacing/>
              <w:ind/>
              <w:jc w:val="both"/>
              <w:rPr>
                <w:szCs w:val="24"/>
                <w:lang w:val="pt-BR"/>
              </w:rPr>
            </w:pPr>
            <w:r>
              <w:rPr>
                <w:szCs w:val="24"/>
                <w:lang w:val="pt-BR"/>
              </w:rPr>
            </w:r>
            <w:r>
              <w:rPr>
                <w:szCs w:val="24"/>
                <w:lang w:val="pt-BR"/>
              </w:rPr>
            </w:r>
            <w:r>
              <w:rPr>
                <w:szCs w:val="24"/>
                <w:lang w:val="pt-BR"/>
              </w:rPr>
            </w:r>
          </w:p>
          <w:p w14:paraId="66405730" w14:textId="77777777">
            <w:pPr>
              <w:pBdr/>
              <w:spacing/>
              <w:ind/>
              <w:jc w:val="both"/>
              <w:rPr>
                <w:szCs w:val="24"/>
                <w:lang w:val="pt-BR"/>
              </w:rPr>
            </w:pPr>
            <w:r>
              <w:rPr>
                <w:szCs w:val="24"/>
                <w:lang w:val="pt-BR"/>
              </w:rPr>
            </w:r>
            <w:r>
              <w:rPr>
                <w:szCs w:val="24"/>
                <w:lang w:val="pt-BR"/>
              </w:rPr>
            </w:r>
            <w:r>
              <w:rPr>
                <w:szCs w:val="24"/>
                <w:lang w:val="pt-BR"/>
              </w:rPr>
            </w:r>
          </w:p>
        </w:tc>
      </w:tr>
      <w:tr>
        <w:trPr>
          <w:trHeight w:val="300"/>
        </w:trPr>
        <w:tc>
          <w:tcPr>
            <w:gridSpan w:val="2"/>
            <w:tcBorders/>
            <w:tcW w:w="2706" w:type="dxa"/>
          </w:tcPr>
          <w:p w14:paraId="219A8B99" w14:textId="77777777">
            <w:pPr>
              <w:pBdr/>
              <w:spacing/>
              <w:ind/>
              <w:rPr>
                <w:b/>
                <w:bCs/>
                <w:szCs w:val="24"/>
              </w:rPr>
            </w:pPr>
            <w:r>
              <w:rPr>
                <w:b/>
                <w:bCs/>
                <w:szCs w:val="24"/>
              </w:rPr>
              <w:t xml:space="preserve">2.2. Tiekėjo kontaktiniai asmenys, atsakingi už Sutarties vykdymą</w:t>
            </w:r>
            <w:r>
              <w:rPr>
                <w:b/>
                <w:bCs/>
                <w:szCs w:val="24"/>
              </w:rPr>
            </w:r>
            <w:r>
              <w:rPr>
                <w:b/>
                <w:bCs/>
                <w:szCs w:val="24"/>
              </w:rPr>
            </w:r>
          </w:p>
        </w:tc>
        <w:tc>
          <w:tcPr>
            <w:gridSpan w:val="2"/>
            <w:tcBorders/>
            <w:tcW w:w="7212" w:type="dxa"/>
          </w:tcPr>
          <w:p w14:paraId="0D655B61">
            <w:pPr>
              <w:pBdr/>
              <w:spacing/>
              <w:ind/>
              <w:rPr>
                <w:color w:val="4472c4"/>
                <w:szCs w:val="24"/>
              </w:rPr>
            </w:pPr>
            <w:r>
              <w:rPr>
                <w:color w:val="4472c4"/>
                <w:szCs w:val="24"/>
              </w:rPr>
              <w:t xml:space="preserve">(atstovo pareigos, </w:t>
            </w:r>
            <w:r>
              <w:rPr>
                <w:color w:val="4472c4"/>
                <w:szCs w:val="24"/>
              </w:rPr>
              <w:t xml:space="preserve"> vardas, pavardė)</w:t>
            </w:r>
            <w:r>
              <w:rPr>
                <w:color w:val="4472c4"/>
                <w:szCs w:val="24"/>
              </w:rPr>
            </w:r>
            <w:r>
              <w:rPr>
                <w:color w:val="4472c4"/>
                <w:szCs w:val="24"/>
              </w:rPr>
            </w:r>
          </w:p>
          <w:p w14:paraId="40EA3663" w14:textId="77777777">
            <w:pPr>
              <w:pBdr/>
              <w:spacing/>
              <w:ind/>
              <w:rPr>
                <w:color w:val="4472c4"/>
                <w:szCs w:val="24"/>
              </w:rPr>
            </w:pPr>
            <w:r>
              <w:rPr>
                <w:color w:val="4472c4"/>
                <w:szCs w:val="24"/>
              </w:rPr>
            </w:r>
            <w:r>
              <w:rPr>
                <w:color w:val="4472c4"/>
                <w:szCs w:val="24"/>
              </w:rPr>
            </w:r>
            <w:r>
              <w:rPr>
                <w:color w:val="4472c4"/>
                <w:szCs w:val="24"/>
              </w:rPr>
            </w:r>
          </w:p>
        </w:tc>
      </w:tr>
      <w:tr>
        <w:trPr>
          <w:trHeight w:val="300"/>
        </w:trPr>
        <w:tc>
          <w:tcPr>
            <w:gridSpan w:val="4"/>
            <w:tcBorders/>
            <w:tcW w:w="9918" w:type="dxa"/>
          </w:tcPr>
          <w:p w14:paraId="3B7B0F12" w14:textId="77777777">
            <w:pPr>
              <w:pBdr/>
              <w:spacing/>
              <w:ind/>
              <w:jc w:val="center"/>
              <w:rPr>
                <w:b/>
                <w:bCs/>
                <w:szCs w:val="24"/>
              </w:rPr>
            </w:pPr>
            <w:r>
              <w:rPr>
                <w:b/>
                <w:bCs/>
                <w:szCs w:val="24"/>
              </w:rPr>
              <w:t xml:space="preserve">3. SUTARTIES DALYKAS</w:t>
            </w:r>
            <w:r>
              <w:rPr>
                <w:b/>
                <w:bCs/>
                <w:szCs w:val="24"/>
              </w:rPr>
            </w:r>
            <w:r>
              <w:rPr>
                <w:b/>
                <w:bCs/>
                <w:szCs w:val="24"/>
              </w:rPr>
            </w:r>
          </w:p>
        </w:tc>
      </w:tr>
      <w:tr>
        <w:trPr>
          <w:trHeight w:val="300"/>
        </w:trPr>
        <w:tc>
          <w:tcPr>
            <w:gridSpan w:val="2"/>
            <w:tcBorders/>
            <w:tcW w:w="2706" w:type="dxa"/>
          </w:tcPr>
          <w:p w14:paraId="7AFC17C6" w14:textId="77777777">
            <w:pPr>
              <w:pBdr/>
              <w:spacing/>
              <w:ind/>
              <w:rPr>
                <w:b/>
                <w:bCs/>
                <w:szCs w:val="24"/>
              </w:rPr>
            </w:pPr>
            <w:r>
              <w:rPr>
                <w:b/>
                <w:bCs/>
                <w:szCs w:val="24"/>
              </w:rPr>
              <w:t xml:space="preserve">3.1. Sutarties dalykas </w:t>
            </w:r>
            <w:r>
              <w:rPr>
                <w:b/>
                <w:bCs/>
                <w:szCs w:val="24"/>
              </w:rPr>
            </w:r>
            <w:r>
              <w:rPr>
                <w:b/>
                <w:bCs/>
                <w:szCs w:val="24"/>
              </w:rPr>
            </w:r>
          </w:p>
        </w:tc>
        <w:tc>
          <w:tcPr>
            <w:gridSpan w:val="2"/>
            <w:tcBorders/>
            <w:tcW w:w="7212" w:type="dxa"/>
          </w:tcPr>
          <w:p w14:paraId="3428F30D" w14:textId="7BD69A1F">
            <w:pPr>
              <w:pBdr/>
              <w:spacing/>
              <w:ind/>
              <w:rPr>
                <w:color w:val="000000"/>
                <w:szCs w:val="24"/>
                <w:highlight w:val="none"/>
              </w:rPr>
            </w:pPr>
            <w:r>
              <w:rPr>
                <w:szCs w:val="24"/>
                <w:highlight w:val="none"/>
              </w:rPr>
              <w:t xml:space="preserve">Tiekėjas įsipareigoja Sutartyje numatytomis sąlygomis perduoti Pirkėjui Procedūrines kėdes (4vnt)</w:t>
            </w:r>
            <w:r>
              <w:rPr>
                <w:szCs w:val="24"/>
                <w:highlight w:val="none"/>
              </w:rPr>
              <w:t xml:space="preserve"> </w:t>
            </w:r>
            <w:r>
              <w:rPr>
                <w:color w:val="000000" w:themeColor="text1"/>
                <w:szCs w:val="24"/>
                <w:highlight w:val="none"/>
              </w:rPr>
              <w:t xml:space="preserve">(</w:t>
            </w:r>
            <w:r>
              <w:rPr>
                <w:color w:val="ee0000"/>
                <w:szCs w:val="24"/>
                <w:highlight w:val="none"/>
              </w:rPr>
              <w:t xml:space="preserve">įrašome modelį</w:t>
            </w:r>
            <w:r>
              <w:rPr>
                <w:color w:val="000000" w:themeColor="text1"/>
                <w:szCs w:val="24"/>
                <w:highlight w:val="none"/>
              </w:rPr>
              <w:t xml:space="preserve">)</w:t>
            </w:r>
            <w:r>
              <w:rPr>
                <w:color w:val="000000" w:themeColor="text1"/>
                <w:szCs w:val="24"/>
                <w:highlight w:val="none"/>
                <w:u w:val="single"/>
              </w:rPr>
              <w:t xml:space="preserve">                                 </w:t>
            </w:r>
            <w:r>
              <w:rPr>
                <w:szCs w:val="24"/>
                <w:highlight w:val="none"/>
              </w:rPr>
              <w:t xml:space="preserve">su priedais,</w:t>
            </w:r>
            <w:r>
              <w:rPr>
                <w:color w:val="ff0000"/>
                <w:szCs w:val="24"/>
                <w:highlight w:val="none"/>
              </w:rPr>
              <w:t xml:space="preserve"> </w:t>
            </w:r>
            <w:r>
              <w:rPr>
                <w:color w:val="000000"/>
                <w:szCs w:val="24"/>
                <w:highlight w:val="none"/>
              </w:rPr>
              <w:t xml:space="preserve">(toliau – Prekė).</w:t>
            </w:r>
            <w:r>
              <w:rPr>
                <w:color w:val="000000"/>
                <w:szCs w:val="24"/>
                <w:highlight w:val="none"/>
              </w:rPr>
            </w:r>
            <w:r>
              <w:rPr>
                <w:color w:val="000000"/>
                <w:szCs w:val="24"/>
                <w:highlight w:val="none"/>
              </w:rPr>
            </w:r>
          </w:p>
          <w:p w14:paraId="220117C3" w14:textId="1D4B239B">
            <w:pPr>
              <w:pBdr/>
              <w:spacing/>
              <w:ind/>
              <w:rPr>
                <w:color w:val="000000"/>
                <w:szCs w:val="24"/>
                <w:highlight w:val="none"/>
              </w:rPr>
            </w:pPr>
            <w:r>
              <w:rPr>
                <w:color w:val="000000"/>
                <w:szCs w:val="24"/>
                <w:highlight w:val="none"/>
              </w:rPr>
              <w:t xml:space="preserve">Išsamus Prekės aprašymas ir kiti reikalavimai Prekei yra nustatyti Sutarties priede Nr. </w:t>
            </w:r>
            <w:r>
              <w:rPr>
                <w:color w:val="000000"/>
                <w:szCs w:val="24"/>
                <w:highlight w:val="none"/>
              </w:rPr>
              <w:t xml:space="preserve">3</w:t>
            </w:r>
            <w:r>
              <w:rPr>
                <w:color w:val="000000"/>
                <w:szCs w:val="24"/>
                <w:highlight w:val="none"/>
              </w:rPr>
              <w:t xml:space="preserve"> „Techninė specifikacija“ (toliau – Techninė specifikacija).</w:t>
            </w:r>
            <w:r>
              <w:rPr>
                <w:color w:val="000000"/>
                <w:szCs w:val="24"/>
                <w:highlight w:val="none"/>
              </w:rPr>
            </w:r>
            <w:r>
              <w:rPr>
                <w:color w:val="000000"/>
                <w:szCs w:val="24"/>
                <w:highlight w:val="none"/>
              </w:rPr>
            </w:r>
          </w:p>
        </w:tc>
      </w:tr>
      <w:tr>
        <w:trPr>
          <w:trHeight w:val="300"/>
        </w:trPr>
        <w:tc>
          <w:tcPr>
            <w:gridSpan w:val="2"/>
            <w:tcBorders/>
            <w:tcW w:w="2706" w:type="dxa"/>
          </w:tcPr>
          <w:p w14:paraId="5BF562D0" w14:textId="77777777">
            <w:pPr>
              <w:pBdr/>
              <w:spacing/>
              <w:ind/>
              <w:rPr>
                <w:b/>
                <w:bCs/>
                <w:szCs w:val="24"/>
              </w:rPr>
            </w:pPr>
            <w:r>
              <w:rPr>
                <w:b/>
                <w:bCs/>
                <w:szCs w:val="24"/>
              </w:rPr>
              <w:t xml:space="preserve">3.2. Pirkimo numeris</w:t>
            </w:r>
            <w:r>
              <w:rPr>
                <w:b/>
                <w:bCs/>
                <w:szCs w:val="24"/>
              </w:rPr>
            </w:r>
            <w:r>
              <w:rPr>
                <w:b/>
                <w:bCs/>
                <w:szCs w:val="24"/>
              </w:rPr>
            </w:r>
          </w:p>
        </w:tc>
        <w:tc>
          <w:tcPr>
            <w:gridSpan w:val="2"/>
            <w:tcBorders/>
            <w:tcW w:w="7212" w:type="dxa"/>
          </w:tcPr>
          <w:p w14:paraId="6FDCA8C4" w14:textId="77777777">
            <w:pPr>
              <w:pBdr/>
              <w:spacing/>
              <w:ind/>
              <w:rPr>
                <w:szCs w:val="24"/>
              </w:rPr>
            </w:pPr>
            <w:r>
              <w:rPr>
                <w:szCs w:val="24"/>
                <w:highlight w:val="lightGray"/>
              </w:rPr>
              <w:t xml:space="preserve">___________</w:t>
            </w:r>
            <w:r>
              <w:rPr>
                <w:szCs w:val="24"/>
              </w:rPr>
            </w:r>
            <w:r>
              <w:rPr>
                <w:szCs w:val="24"/>
              </w:rPr>
            </w:r>
          </w:p>
        </w:tc>
      </w:tr>
      <w:tr>
        <w:trPr>
          <w:trHeight w:val="300"/>
        </w:trPr>
        <w:tc>
          <w:tcPr>
            <w:gridSpan w:val="2"/>
            <w:tcBorders/>
            <w:tcW w:w="2706" w:type="dxa"/>
          </w:tcPr>
          <w:p w14:paraId="54F77427" w14:textId="77777777">
            <w:pPr>
              <w:pBdr/>
              <w:spacing/>
              <w:ind/>
              <w:rPr>
                <w:b/>
                <w:bCs/>
                <w:szCs w:val="24"/>
              </w:rPr>
            </w:pPr>
            <w:r>
              <w:rPr>
                <w:b/>
                <w:bCs/>
                <w:szCs w:val="24"/>
              </w:rPr>
              <w:t xml:space="preserve">3.3. Informacija apie Europos Sąjungos lėšomis finansuojamą projektą arba kitą projektą</w:t>
            </w:r>
            <w:r>
              <w:rPr>
                <w:b/>
                <w:bCs/>
                <w:szCs w:val="24"/>
              </w:rPr>
            </w:r>
            <w:r>
              <w:rPr>
                <w:b/>
                <w:bCs/>
                <w:szCs w:val="24"/>
              </w:rPr>
            </w:r>
          </w:p>
        </w:tc>
        <w:tc>
          <w:tcPr>
            <w:gridSpan w:val="2"/>
            <w:tcBorders/>
            <w:tcW w:w="7212" w:type="dxa"/>
          </w:tcPr>
          <w:p w14:paraId="342FD9E8" w14:textId="77777777">
            <w:pPr>
              <w:pBdr>
                <w:top w:val="none" w:color="000000" w:sz="4" w:space="0"/>
                <w:left w:val="none" w:color="000000" w:sz="4" w:space="0"/>
                <w:bottom w:val="none" w:color="000000" w:sz="4" w:space="0"/>
                <w:right w:val="none" w:color="000000" w:sz="4" w:space="0"/>
              </w:pBdr>
              <w:spacing/>
              <w:ind/>
              <w:rPr>
                <w:color w:val="000000" w:themeColor="text1"/>
                <w:highlight w:val="none"/>
              </w:rPr>
            </w:pPr>
            <w:r>
              <w:rPr>
                <w:color w:val="000000" w:themeColor="text1"/>
                <w:highlight w:val="none"/>
              </w:rPr>
              <w:t xml:space="preserve">Projektas ,,Sveikatos centrų sudėtyje teikiamų sveikatos priežiūros </w:t>
            </w:r>
            <w:r>
              <w:rPr>
                <w:color w:val="000000" w:themeColor="text1"/>
                <w:highlight w:val="none"/>
              </w:rPr>
            </w:r>
            <w:r>
              <w:rPr>
                <w:color w:val="000000" w:themeColor="text1"/>
                <w:highlight w:val="none"/>
              </w:rPr>
            </w:r>
          </w:p>
          <w:p w14:paraId="2AC755AD" w14:textId="77777777">
            <w:pPr>
              <w:pBdr>
                <w:top w:val="none" w:color="000000" w:sz="4" w:space="0"/>
                <w:left w:val="none" w:color="000000" w:sz="4" w:space="0"/>
                <w:bottom w:val="none" w:color="000000" w:sz="4" w:space="0"/>
                <w:right w:val="none" w:color="000000" w:sz="4" w:space="0"/>
              </w:pBdr>
              <w:spacing/>
              <w:ind/>
              <w:rPr>
                <w:color w:val="000000" w:themeColor="text1"/>
                <w:highlight w:val="none"/>
              </w:rPr>
            </w:pPr>
            <w:r>
              <w:rPr>
                <w:color w:val="000000" w:themeColor="text1"/>
                <w:highlight w:val="none"/>
              </w:rPr>
              <w:t xml:space="preserve">paslaugų infrastruktūros modernizavimas Šiaulių rajone”, Nr. 09-</w:t>
            </w:r>
            <w:r>
              <w:rPr>
                <w:color w:val="000000" w:themeColor="text1"/>
                <w:highlight w:val="none"/>
              </w:rPr>
            </w:r>
            <w:r>
              <w:rPr>
                <w:color w:val="000000" w:themeColor="text1"/>
                <w:highlight w:val="none"/>
              </w:rPr>
            </w:r>
          </w:p>
          <w:p w14:paraId="3C2E90C2" w14:textId="77777777">
            <w:pPr>
              <w:pBdr>
                <w:top w:val="none" w:color="000000" w:sz="4" w:space="0"/>
                <w:left w:val="none" w:color="000000" w:sz="4" w:space="0"/>
                <w:bottom w:val="none" w:color="000000" w:sz="4" w:space="0"/>
                <w:right w:val="none" w:color="000000" w:sz="4" w:space="0"/>
              </w:pBdr>
              <w:spacing/>
              <w:ind/>
              <w:rPr>
                <w:color w:val="000000" w:themeColor="text1"/>
                <w:highlight w:val="none"/>
              </w:rPr>
            </w:pPr>
            <w:r>
              <w:rPr>
                <w:color w:val="000000" w:themeColor="text1"/>
                <w:highlight w:val="none"/>
              </w:rPr>
              <w:t xml:space="preserve">022-P-0044</w:t>
            </w:r>
            <w:r>
              <w:rPr>
                <w:color w:val="000000" w:themeColor="text1"/>
                <w:highlight w:val="none"/>
              </w:rPr>
            </w:r>
            <w:r>
              <w:rPr>
                <w:color w:val="000000" w:themeColor="text1"/>
                <w:highlight w:val="none"/>
              </w:rPr>
            </w:r>
          </w:p>
          <w:p w14:paraId="6174442E" w14:textId="77777777">
            <w:pPr>
              <w:pBdr/>
              <w:spacing w:after="100" w:afterAutospacing="1" w:before="100" w:beforeAutospacing="1"/>
              <w:ind/>
              <w:jc w:val="both"/>
              <w:rPr>
                <w:szCs w:val="24"/>
              </w:rPr>
            </w:pPr>
            <w:r>
              <w:rPr>
                <w:szCs w:val="24"/>
              </w:rPr>
            </w:r>
            <w:r>
              <w:rPr>
                <w:szCs w:val="24"/>
              </w:rPr>
            </w:r>
            <w:r>
              <w:rPr>
                <w:szCs w:val="24"/>
              </w:rPr>
            </w:r>
          </w:p>
        </w:tc>
      </w:tr>
      <w:tr>
        <w:trPr>
          <w:trHeight w:val="300"/>
        </w:trPr>
        <w:tc>
          <w:tcPr>
            <w:gridSpan w:val="4"/>
            <w:tcBorders/>
            <w:tcW w:w="9918" w:type="dxa"/>
          </w:tcPr>
          <w:p w14:paraId="7AF023FD" w14:textId="77777777">
            <w:pPr>
              <w:pBdr/>
              <w:spacing/>
              <w:ind/>
              <w:jc w:val="center"/>
              <w:rPr>
                <w:b/>
                <w:bCs/>
                <w:szCs w:val="24"/>
              </w:rPr>
            </w:pPr>
            <w:r>
              <w:rPr>
                <w:b/>
                <w:bCs/>
                <w:szCs w:val="24"/>
              </w:rPr>
              <w:t xml:space="preserve">4. PREKIŲ PRISTATYMO TERMINAI IR PREKIŲ PERDAVIMO - PRIĖMIMO TVARKA</w:t>
            </w:r>
            <w:r>
              <w:rPr>
                <w:b/>
                <w:bCs/>
                <w:szCs w:val="24"/>
              </w:rPr>
            </w:r>
            <w:r>
              <w:rPr>
                <w:b/>
                <w:bCs/>
                <w:szCs w:val="24"/>
              </w:rPr>
            </w:r>
          </w:p>
        </w:tc>
      </w:tr>
      <w:tr>
        <w:trPr>
          <w:trHeight w:val="300"/>
        </w:trPr>
        <w:tc>
          <w:tcPr>
            <w:gridSpan w:val="2"/>
            <w:tcBorders/>
            <w:tcW w:w="2706" w:type="dxa"/>
          </w:tcPr>
          <w:p w14:paraId="771679A5" w14:textId="77777777">
            <w:pPr>
              <w:pBdr/>
              <w:spacing/>
              <w:ind/>
              <w:rPr>
                <w:b/>
                <w:bCs/>
                <w:szCs w:val="24"/>
              </w:rPr>
            </w:pPr>
            <w:r>
              <w:rPr>
                <w:b/>
                <w:bCs/>
                <w:szCs w:val="24"/>
              </w:rPr>
              <w:t xml:space="preserve">4.1. Prekių pristatymo terminas, kai Prekės pristatomos vienu kartu</w:t>
            </w:r>
            <w:r>
              <w:rPr>
                <w:b/>
                <w:bCs/>
                <w:szCs w:val="24"/>
              </w:rPr>
            </w:r>
            <w:r>
              <w:rPr>
                <w:b/>
                <w:bCs/>
                <w:szCs w:val="24"/>
              </w:rPr>
            </w:r>
          </w:p>
          <w:p w14:paraId="3445990A" w14:textId="77777777">
            <w:pPr>
              <w:pBdr/>
              <w:spacing/>
              <w:ind/>
              <w:rPr>
                <w:b/>
                <w:bCs/>
                <w:szCs w:val="24"/>
              </w:rPr>
            </w:pPr>
            <w:r>
              <w:rPr>
                <w:b/>
                <w:bCs/>
                <w:szCs w:val="24"/>
              </w:rPr>
            </w:r>
            <w:r>
              <w:rPr>
                <w:b/>
                <w:bCs/>
                <w:szCs w:val="24"/>
              </w:rPr>
            </w:r>
            <w:r>
              <w:rPr>
                <w:b/>
                <w:bCs/>
                <w:szCs w:val="24"/>
              </w:rPr>
            </w:r>
          </w:p>
        </w:tc>
        <w:tc>
          <w:tcPr>
            <w:gridSpan w:val="2"/>
            <w:tcBorders/>
            <w:tcW w:w="7212" w:type="dxa"/>
          </w:tcPr>
          <w:p w14:paraId="6D0CF643"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Tiekėjas Prekes įsipareigoja pristatyti ne vėliau kaip per 3 (tris) </w:t>
            </w:r>
            <w:r>
              <w:rPr>
                <w:highlight w:val="none"/>
              </w:rPr>
            </w:r>
            <w:r>
              <w:rPr>
                <w:highlight w:val="none"/>
              </w:rPr>
            </w:r>
          </w:p>
          <w:p w14:paraId="25505C2E"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mėnesius nuo Sutarties sudarymo dienos šiuo adresu:</w:t>
            </w:r>
            <w:r>
              <w:rPr>
                <w:highlight w:val="none"/>
              </w:rPr>
            </w:r>
            <w:r>
              <w:rPr>
                <w:highlight w:val="none"/>
              </w:rPr>
            </w:r>
          </w:p>
          <w:p w14:paraId="16ED23A9"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J. Basanavičiaus g. 18, Kuršėnai, Šiaulių raj. sav.</w:t>
            </w:r>
            <w:r>
              <w:rPr>
                <w:highlight w:val="none"/>
              </w:rPr>
            </w:r>
            <w:r>
              <w:rPr>
                <w:highlight w:val="none"/>
              </w:rPr>
            </w:r>
          </w:p>
          <w:p w14:paraId="227DC0CB" w14:textId="77777777">
            <w:pPr>
              <w:pBdr/>
              <w:spacing/>
              <w:ind/>
              <w:rPr>
                <w:szCs w:val="24"/>
                <w:highlight w:val="yellow"/>
              </w:rPr>
            </w:pPr>
            <w:r>
              <w:rPr>
                <w:szCs w:val="24"/>
                <w:highlight w:val="yellow"/>
              </w:rPr>
            </w:r>
            <w:r>
              <w:rPr>
                <w:szCs w:val="24"/>
                <w:highlight w:val="yellow"/>
              </w:rPr>
            </w:r>
            <w:r>
              <w:rPr>
                <w:szCs w:val="24"/>
                <w:highlight w:val="yellow"/>
              </w:rPr>
            </w:r>
          </w:p>
        </w:tc>
      </w:tr>
      <w:tr>
        <w:trPr>
          <w:trHeight w:val="300"/>
        </w:trPr>
        <w:tc>
          <w:tcPr>
            <w:gridSpan w:val="2"/>
            <w:tcBorders/>
            <w:tcW w:w="2706" w:type="dxa"/>
          </w:tcPr>
          <w:p w14:paraId="10D765B4" w14:textId="77777777">
            <w:pPr>
              <w:pBdr/>
              <w:spacing/>
              <w:ind/>
              <w:rPr>
                <w:b/>
                <w:bCs/>
                <w:szCs w:val="24"/>
              </w:rPr>
            </w:pPr>
            <w:r>
              <w:rPr>
                <w:b/>
                <w:bCs/>
                <w:szCs w:val="24"/>
              </w:rPr>
              <w:t xml:space="preserve">4.2. Prekių (ar jų dalies) pristatymo termino pratęsimas</w:t>
            </w:r>
            <w:r>
              <w:rPr>
                <w:b/>
                <w:bCs/>
                <w:szCs w:val="24"/>
              </w:rPr>
            </w:r>
            <w:r>
              <w:rPr>
                <w:b/>
                <w:bCs/>
                <w:szCs w:val="24"/>
              </w:rPr>
            </w:r>
          </w:p>
        </w:tc>
        <w:tc>
          <w:tcPr>
            <w:gridSpan w:val="2"/>
            <w:tcBorders/>
            <w:tcW w:w="7212" w:type="dxa"/>
          </w:tcPr>
          <w:p w14:paraId="326560DD" w14:textId="77777777">
            <w:pPr>
              <w:pBdr/>
              <w:spacing/>
              <w:ind/>
              <w:jc w:val="both"/>
              <w:rPr>
                <w:szCs w:val="24"/>
              </w:rPr>
            </w:pPr>
            <w:r>
              <w:rPr>
                <w:szCs w:val="24"/>
              </w:rPr>
              <w:t xml:space="preserve">Netaikoma</w:t>
            </w:r>
            <w:r>
              <w:rPr>
                <w:szCs w:val="24"/>
              </w:rPr>
            </w:r>
            <w:r>
              <w:rPr>
                <w:szCs w:val="24"/>
              </w:rPr>
            </w:r>
          </w:p>
        </w:tc>
      </w:tr>
      <w:tr>
        <w:trPr>
          <w:trHeight w:val="300"/>
        </w:trPr>
        <w:tc>
          <w:tcPr>
            <w:gridSpan w:val="2"/>
            <w:tcBorders/>
            <w:tcW w:w="2706" w:type="dxa"/>
          </w:tcPr>
          <w:p w14:paraId="575AB1CE" w14:textId="77777777">
            <w:pPr>
              <w:pBdr/>
              <w:spacing/>
              <w:ind/>
              <w:rPr>
                <w:b/>
                <w:bCs/>
                <w:szCs w:val="24"/>
              </w:rPr>
            </w:pPr>
            <w:r>
              <w:rPr>
                <w:b/>
                <w:bCs/>
                <w:szCs w:val="24"/>
              </w:rPr>
              <w:t xml:space="preserve">4.3. Kartu su Prekėmis pateikiami dokumentai </w:t>
            </w:r>
            <w:r>
              <w:rPr>
                <w:b/>
                <w:bCs/>
                <w:szCs w:val="24"/>
              </w:rPr>
            </w:r>
            <w:r>
              <w:rPr>
                <w:b/>
                <w:bCs/>
                <w:szCs w:val="24"/>
              </w:rPr>
            </w:r>
          </w:p>
        </w:tc>
        <w:tc>
          <w:tcPr>
            <w:gridSpan w:val="2"/>
            <w:tcBorders/>
            <w:tcW w:w="7212" w:type="dxa"/>
          </w:tcPr>
          <w:p w14:paraId="4D64091F" w14:textId="77777777">
            <w:pPr>
              <w:pBdr/>
              <w:spacing/>
              <w:ind/>
              <w:rPr>
                <w:szCs w:val="24"/>
                <w:highlight w:val="none"/>
              </w:rPr>
            </w:pPr>
            <w:r>
              <w:rPr>
                <w:szCs w:val="24"/>
                <w:highlight w:val="none"/>
              </w:rPr>
              <w:t xml:space="preserve">Kartu su Prekėmis pateikiami šie dokumentai:</w:t>
            </w:r>
            <w:r>
              <w:rPr>
                <w:szCs w:val="24"/>
                <w:highlight w:val="none"/>
              </w:rPr>
            </w:r>
            <w:r>
              <w:rPr>
                <w:szCs w:val="24"/>
                <w:highlight w:val="none"/>
              </w:rPr>
            </w:r>
          </w:p>
          <w:p w14:paraId="11BEC993" w14:textId="1703DB92">
            <w:pPr>
              <w:numPr>
                <w:ilvl w:val="0"/>
                <w:numId w:val="3"/>
              </w:numPr>
              <w:pBdr/>
              <w:spacing/>
              <w:ind/>
              <w:contextualSpacing w:val="true"/>
              <w:rPr>
                <w:szCs w:val="24"/>
                <w:highlight w:val="none"/>
              </w:rPr>
            </w:pPr>
            <w:r>
              <w:rPr>
                <w:szCs w:val="24"/>
                <w:highlight w:val="none"/>
              </w:rPr>
              <w:t xml:space="preserve"> Prekių naudojimo ir priežiūros instrukcijos </w:t>
            </w:r>
            <w:r>
              <w:rPr>
                <w:szCs w:val="24"/>
                <w:highlight w:val="none"/>
              </w:rPr>
              <w:t xml:space="preserve">originalo ir </w:t>
            </w:r>
            <w:r>
              <w:rPr>
                <w:szCs w:val="24"/>
                <w:highlight w:val="none"/>
              </w:rPr>
              <w:t xml:space="preserve">lietuvių kalba ir garantijos dokumentai (kuriuose nurodytas garantinio aptarnavimo periodiškumas, garantinio aptarnavimo atlikėjai ir jų kontaktiniai duomenys, užpildyti medicinos aparatų pasai.</w:t>
            </w:r>
            <w:r>
              <w:rPr>
                <w:szCs w:val="24"/>
                <w:highlight w:val="none"/>
              </w:rPr>
            </w:r>
            <w:r>
              <w:rPr>
                <w:szCs w:val="24"/>
                <w:highlight w:val="none"/>
              </w:rPr>
            </w:r>
          </w:p>
          <w:p w14:paraId="5F47C1AD" w14:textId="77777777">
            <w:pPr>
              <w:pBdr/>
              <w:spacing/>
              <w:ind/>
              <w:rPr>
                <w:szCs w:val="24"/>
                <w:highlight w:val="none"/>
              </w:rPr>
            </w:pPr>
            <w:r>
              <w:rPr>
                <w:szCs w:val="24"/>
                <w:highlight w:val="none"/>
              </w:rPr>
              <w:t xml:space="preserve">Tiekėjui nepateikus nurodytų dokumentų, laikoma, kad Prekės neatitinka Sutartyje nustatytų reikalavimų.</w:t>
            </w:r>
            <w:r>
              <w:rPr>
                <w:szCs w:val="24"/>
                <w:highlight w:val="none"/>
              </w:rPr>
            </w:r>
            <w:r>
              <w:rPr>
                <w:szCs w:val="24"/>
                <w:highlight w:val="none"/>
              </w:rPr>
            </w:r>
          </w:p>
        </w:tc>
      </w:tr>
      <w:tr>
        <w:trPr>
          <w:trHeight w:val="300"/>
        </w:trPr>
        <w:tc>
          <w:tcPr>
            <w:gridSpan w:val="2"/>
            <w:tcBorders/>
            <w:tcW w:w="2706" w:type="dxa"/>
          </w:tcPr>
          <w:p w14:paraId="024C3EEA" w14:textId="77777777">
            <w:pPr>
              <w:pBdr/>
              <w:spacing/>
              <w:ind/>
              <w:rPr>
                <w:b/>
                <w:bCs/>
                <w:szCs w:val="24"/>
              </w:rPr>
            </w:pPr>
            <w:r>
              <w:rPr>
                <w:b/>
                <w:bCs/>
              </w:rPr>
              <w:t xml:space="preserve">4.4. Dėl minimalios užsakymo vertės / apimties</w:t>
            </w:r>
            <w:r>
              <w:rPr>
                <w:b/>
                <w:bCs/>
                <w:szCs w:val="24"/>
              </w:rPr>
            </w:r>
            <w:r>
              <w:rPr>
                <w:b/>
                <w:bCs/>
                <w:szCs w:val="24"/>
              </w:rPr>
            </w:r>
          </w:p>
        </w:tc>
        <w:tc>
          <w:tcPr>
            <w:gridSpan w:val="2"/>
            <w:tcBorders/>
            <w:tcW w:w="7212" w:type="dxa"/>
          </w:tcPr>
          <w:p w14:paraId="421647DC" w14:textId="77777777">
            <w:pPr>
              <w:pBdr/>
              <w:spacing/>
              <w:ind/>
              <w:rPr>
                <w:szCs w:val="24"/>
              </w:rPr>
            </w:pPr>
            <w:r>
              <w:t xml:space="preserve">Netaikoma</w:t>
            </w:r>
            <w:r>
              <w:rPr>
                <w:szCs w:val="24"/>
              </w:rPr>
            </w:r>
            <w:r>
              <w:rPr>
                <w:szCs w:val="24"/>
              </w:rPr>
            </w:r>
          </w:p>
        </w:tc>
      </w:tr>
      <w:tr>
        <w:trPr>
          <w:trHeight w:val="300"/>
        </w:trPr>
        <w:tc>
          <w:tcPr>
            <w:gridSpan w:val="4"/>
            <w:tcBorders/>
            <w:tcW w:w="9918" w:type="dxa"/>
          </w:tcPr>
          <w:p w14:paraId="19363111" w14:textId="77777777">
            <w:pPr>
              <w:pBdr/>
              <w:spacing/>
              <w:ind/>
              <w:jc w:val="center"/>
              <w:rPr>
                <w:b/>
                <w:bCs/>
                <w:szCs w:val="24"/>
              </w:rPr>
            </w:pPr>
            <w:r>
              <w:rPr>
                <w:b/>
                <w:bCs/>
                <w:szCs w:val="24"/>
              </w:rPr>
              <w:t xml:space="preserve">5. SUTARTIES KAINA IR ATSISKAITYMO TVARKA</w:t>
            </w:r>
            <w:r>
              <w:rPr>
                <w:b/>
                <w:bCs/>
                <w:szCs w:val="24"/>
              </w:rPr>
            </w:r>
            <w:r>
              <w:rPr>
                <w:b/>
                <w:bCs/>
                <w:szCs w:val="24"/>
              </w:rPr>
            </w:r>
          </w:p>
        </w:tc>
      </w:tr>
      <w:tr>
        <w:trPr>
          <w:trHeight w:val="300"/>
        </w:trPr>
        <w:tc>
          <w:tcPr>
            <w:gridSpan w:val="2"/>
            <w:tcBorders/>
            <w:tcW w:w="2706" w:type="dxa"/>
          </w:tcPr>
          <w:p w14:paraId="10756C53" w14:textId="77777777">
            <w:pPr>
              <w:pBdr/>
              <w:spacing/>
              <w:ind/>
              <w:rPr>
                <w:b/>
                <w:bCs/>
                <w:szCs w:val="24"/>
              </w:rPr>
            </w:pPr>
            <w:r>
              <w:rPr>
                <w:b/>
                <w:bCs/>
                <w:szCs w:val="24"/>
              </w:rPr>
              <w:t xml:space="preserve">5.1. Sutarčiai taikomas kainos apskaičiavimo būdas</w:t>
            </w:r>
            <w:r>
              <w:rPr>
                <w:b/>
                <w:bCs/>
                <w:szCs w:val="24"/>
              </w:rPr>
            </w:r>
            <w:r>
              <w:rPr>
                <w:b/>
                <w:bCs/>
                <w:szCs w:val="24"/>
              </w:rPr>
            </w:r>
          </w:p>
        </w:tc>
        <w:tc>
          <w:tcPr>
            <w:gridSpan w:val="2"/>
            <w:tcBorders/>
            <w:tcW w:w="7212" w:type="dxa"/>
          </w:tcPr>
          <w:p w14:paraId="03C96C38" w14:textId="77777777">
            <w:pPr>
              <w:pBdr/>
              <w:spacing/>
              <w:ind/>
              <w:rPr>
                <w:szCs w:val="24"/>
              </w:rPr>
            </w:pPr>
            <w:r>
              <w:rPr>
                <w:szCs w:val="24"/>
              </w:rPr>
              <w:t xml:space="preserve">Fiksuotos kainos kainodara</w:t>
            </w:r>
            <w:r>
              <w:rPr>
                <w:szCs w:val="24"/>
              </w:rPr>
            </w:r>
            <w:r>
              <w:rPr>
                <w:szCs w:val="24"/>
              </w:rPr>
            </w:r>
          </w:p>
          <w:p w14:paraId="61495F6F" w14:textId="77777777">
            <w:pPr>
              <w:pBdr/>
              <w:spacing/>
              <w:ind/>
              <w:rPr>
                <w:color w:val="4472c4"/>
              </w:rPr>
            </w:pPr>
            <w:r>
              <w:rPr>
                <w:color w:val="4472c4"/>
              </w:rPr>
            </w:r>
            <w:r>
              <w:rPr>
                <w:color w:val="4472c4"/>
              </w:rPr>
            </w:r>
            <w:r>
              <w:rPr>
                <w:color w:val="4472c4"/>
              </w:rPr>
            </w:r>
          </w:p>
        </w:tc>
      </w:tr>
      <w:tr>
        <w:trPr>
          <w:trHeight w:val="300"/>
        </w:trPr>
        <w:tc>
          <w:tcPr>
            <w:gridSpan w:val="2"/>
            <w:tcBorders/>
            <w:tcW w:w="2706" w:type="dxa"/>
          </w:tcPr>
          <w:p w14:paraId="439983CF" w14:textId="77777777">
            <w:pPr>
              <w:pBdr/>
              <w:spacing/>
              <w:ind/>
              <w:rPr>
                <w:b/>
                <w:bCs/>
                <w:szCs w:val="24"/>
              </w:rPr>
            </w:pPr>
            <w:r>
              <w:rPr>
                <w:b/>
                <w:bCs/>
                <w:szCs w:val="24"/>
              </w:rPr>
              <w:t xml:space="preserve">5.2. Pradinės Sutarties vertė ir Sutarties kaina, kai taikoma </w:t>
            </w:r>
            <w:r>
              <w:rPr>
                <w:b/>
                <w:bCs/>
                <w:szCs w:val="24"/>
                <w:u w:val="single"/>
              </w:rPr>
              <w:t xml:space="preserve">fiksuotos kainos</w:t>
            </w:r>
            <w:r>
              <w:rPr>
                <w:b/>
                <w:bCs/>
                <w:szCs w:val="24"/>
              </w:rPr>
              <w:t xml:space="preserve"> kainodara</w:t>
            </w:r>
            <w:r>
              <w:rPr>
                <w:b/>
                <w:bCs/>
                <w:szCs w:val="24"/>
              </w:rPr>
            </w:r>
            <w:r>
              <w:rPr>
                <w:b/>
                <w:bCs/>
                <w:szCs w:val="24"/>
              </w:rPr>
            </w:r>
          </w:p>
          <w:p w14:paraId="73627E21" w14:textId="77777777">
            <w:pPr>
              <w:pBdr/>
              <w:spacing/>
              <w:ind/>
              <w:rPr>
                <w:b/>
                <w:bCs/>
                <w:szCs w:val="24"/>
              </w:rPr>
            </w:pPr>
            <w:r>
              <w:rPr>
                <w:b/>
                <w:bCs/>
                <w:szCs w:val="24"/>
              </w:rPr>
            </w:r>
            <w:r>
              <w:rPr>
                <w:b/>
                <w:bCs/>
                <w:szCs w:val="24"/>
              </w:rPr>
            </w:r>
            <w:r>
              <w:rPr>
                <w:b/>
                <w:bCs/>
                <w:szCs w:val="24"/>
              </w:rPr>
            </w:r>
          </w:p>
        </w:tc>
        <w:tc>
          <w:tcPr>
            <w:gridSpan w:val="2"/>
            <w:tcBorders/>
            <w:tcW w:w="7212" w:type="dxa"/>
          </w:tcPr>
          <w:p w14:paraId="248DA157" w14:textId="77777777">
            <w:pPr>
              <w:pBdr/>
              <w:spacing/>
              <w:ind/>
              <w:rPr>
                <w:szCs w:val="24"/>
              </w:rPr>
            </w:pPr>
            <w:r>
              <w:rPr>
                <w:szCs w:val="24"/>
              </w:rPr>
              <w:t xml:space="preserve">Pradinės Sutarties vertė yra _______</w:t>
            </w:r>
            <w:r>
              <w:rPr>
                <w:color w:val="4472c4"/>
                <w:szCs w:val="24"/>
              </w:rPr>
              <w:t xml:space="preserve">(nurodyti sumą skaičiais)</w:t>
            </w:r>
            <w:r>
              <w:rPr>
                <w:szCs w:val="24"/>
              </w:rPr>
              <w:t xml:space="preserve"> Eur (_____________________) </w:t>
            </w:r>
            <w:r>
              <w:rPr>
                <w:color w:val="4472c4"/>
                <w:szCs w:val="24"/>
              </w:rPr>
              <w:t xml:space="preserve">(nurodyti sumą žodžiais)</w:t>
            </w:r>
            <w:r>
              <w:rPr>
                <w:szCs w:val="24"/>
              </w:rPr>
              <w:t xml:space="preserve"> be pridėtinės vertės mokesčio (toliau – PVM). </w:t>
            </w:r>
            <w:r>
              <w:rPr>
                <w:szCs w:val="24"/>
              </w:rPr>
            </w:r>
            <w:r>
              <w:rPr>
                <w:szCs w:val="24"/>
              </w:rPr>
            </w:r>
          </w:p>
          <w:p w14:paraId="68734911" w14:textId="77777777">
            <w:pPr>
              <w:pBdr/>
              <w:spacing/>
              <w:ind/>
              <w:rPr>
                <w:szCs w:val="24"/>
              </w:rPr>
            </w:pPr>
            <w:r>
              <w:rPr>
                <w:szCs w:val="24"/>
              </w:rPr>
              <w:t xml:space="preserve">PVM sudaro ________ </w:t>
            </w:r>
            <w:r>
              <w:rPr>
                <w:color w:val="4472c4"/>
                <w:szCs w:val="24"/>
              </w:rPr>
              <w:t xml:space="preserve">(nurodyti sumą skaičiais)</w:t>
            </w:r>
            <w:r>
              <w:rPr>
                <w:szCs w:val="24"/>
              </w:rPr>
              <w:t xml:space="preserve"> Eur (___________________)</w:t>
            </w:r>
            <w:r>
              <w:rPr>
                <w:color w:val="4472c4"/>
                <w:szCs w:val="24"/>
              </w:rPr>
              <w:t xml:space="preserve">(nurodyti sumą žodžiais)</w:t>
            </w:r>
            <w:r>
              <w:rPr>
                <w:szCs w:val="24"/>
              </w:rPr>
              <w:t xml:space="preserve">.</w:t>
            </w:r>
            <w:r>
              <w:rPr>
                <w:szCs w:val="24"/>
              </w:rPr>
            </w:r>
            <w:r>
              <w:rPr>
                <w:szCs w:val="24"/>
              </w:rPr>
            </w:r>
          </w:p>
          <w:p w14:paraId="29C6EF70" w14:textId="77777777">
            <w:pPr>
              <w:pBdr/>
              <w:spacing/>
              <w:ind/>
              <w:rPr>
                <w:szCs w:val="24"/>
              </w:rPr>
            </w:pPr>
            <w:r>
              <w:rPr>
                <w:szCs w:val="24"/>
              </w:rPr>
              <w:t xml:space="preserve">Sutarties kaina yra ________</w:t>
            </w:r>
            <w:r>
              <w:rPr>
                <w:color w:val="4472c4"/>
                <w:szCs w:val="24"/>
              </w:rPr>
              <w:t xml:space="preserve">(nurodyti sumą skaičiais)</w:t>
            </w:r>
            <w:r>
              <w:rPr>
                <w:szCs w:val="24"/>
              </w:rPr>
              <w:t xml:space="preserve"> Eur (______________________), </w:t>
            </w:r>
            <w:r>
              <w:rPr>
                <w:color w:val="4472c4"/>
                <w:szCs w:val="24"/>
              </w:rPr>
              <w:t xml:space="preserve">(nurodyti sumą žodžiais)</w:t>
            </w:r>
            <w:r>
              <w:rPr>
                <w:szCs w:val="24"/>
              </w:rPr>
              <w:t xml:space="preserve"> Eur su PVM.</w:t>
            </w:r>
            <w:r>
              <w:rPr>
                <w:szCs w:val="24"/>
              </w:rPr>
            </w:r>
            <w:r>
              <w:rPr>
                <w:szCs w:val="24"/>
              </w:rPr>
            </w:r>
          </w:p>
          <w:p w14:paraId="4FDC627E" w14:textId="77777777">
            <w:pPr>
              <w:pBdr/>
              <w:spacing/>
              <w:ind/>
              <w:rPr>
                <w:color w:val="ff0000"/>
                <w:szCs w:val="24"/>
              </w:rPr>
            </w:pPr>
            <w:r>
              <w:rPr>
                <w:szCs w:val="24"/>
              </w:rPr>
              <w:t xml:space="preserve">Šioje Sutartyje P</w:t>
            </w:r>
            <w:r>
              <w:rPr>
                <w:color w:val="000000"/>
                <w:szCs w:val="24"/>
              </w:rPr>
              <w:t xml:space="preserve">radinės Sutarties vertė yra lygi Tiekėjo pasiūlymo kainai be PVM, nurodytai už visą pirkimo dokumentuose ir Sutartyje nurodytą Prekių kiekį.</w:t>
            </w:r>
            <w:r>
              <w:rPr>
                <w:szCs w:val="24"/>
              </w:rPr>
              <w:t xml:space="preserve"> Šioje Sutartyje P</w:t>
            </w:r>
            <w:r>
              <w:rPr>
                <w:color w:val="000000"/>
                <w:szCs w:val="24"/>
              </w:rPr>
              <w:t xml:space="preserve">radinės Sutarties vertė yra lygi Tiekėjo pasiūlymo kainai be PVM, nurodytai už visą pirkimo dokumentuose ir Sutartyje nurodytą Prekių kiekį.</w:t>
            </w:r>
            <w:r>
              <w:rPr>
                <w:color w:val="ff0000"/>
                <w:szCs w:val="24"/>
              </w:rPr>
            </w:r>
            <w:r>
              <w:rPr>
                <w:color w:val="ff0000"/>
                <w:szCs w:val="24"/>
              </w:rPr>
            </w:r>
          </w:p>
        </w:tc>
      </w:tr>
      <w:tr>
        <w:trPr>
          <w:trHeight w:val="300"/>
        </w:trPr>
        <w:tc>
          <w:tcPr>
            <w:gridSpan w:val="2"/>
            <w:tcBorders/>
            <w:tcW w:w="2706" w:type="dxa"/>
          </w:tcPr>
          <w:p w14:paraId="358D6EA4" w14:textId="77777777">
            <w:pPr>
              <w:pBdr/>
              <w:spacing/>
              <w:ind/>
              <w:rPr>
                <w:b/>
                <w:bCs/>
                <w:szCs w:val="24"/>
              </w:rPr>
            </w:pPr>
            <w:r>
              <w:rPr>
                <w:b/>
                <w:bCs/>
                <w:szCs w:val="24"/>
              </w:rPr>
              <w:t xml:space="preserve">5.3. Sutarties kainos perskaičiavimas taikant </w:t>
            </w:r>
            <w:r>
              <w:rPr>
                <w:b/>
                <w:bCs/>
                <w:szCs w:val="24"/>
                <w:u w:val="single"/>
              </w:rPr>
              <w:t xml:space="preserve">peržiūros</w:t>
            </w:r>
            <w:r>
              <w:rPr>
                <w:b/>
                <w:bCs/>
                <w:szCs w:val="24"/>
              </w:rPr>
              <w:t xml:space="preserve"> taisykles</w:t>
            </w:r>
            <w:r>
              <w:rPr>
                <w:b/>
                <w:bCs/>
                <w:szCs w:val="24"/>
              </w:rPr>
            </w:r>
            <w:r>
              <w:rPr>
                <w:b/>
                <w:bCs/>
                <w:szCs w:val="24"/>
              </w:rPr>
            </w:r>
          </w:p>
          <w:p w14:paraId="0DDA6BBD" w14:textId="77777777">
            <w:pPr>
              <w:pBdr/>
              <w:spacing/>
              <w:ind/>
              <w:rPr>
                <w:b/>
                <w:bCs/>
                <w:szCs w:val="24"/>
              </w:rPr>
            </w:pPr>
            <w:r>
              <w:rPr>
                <w:b/>
                <w:bCs/>
                <w:szCs w:val="24"/>
              </w:rPr>
            </w:r>
            <w:r>
              <w:rPr>
                <w:b/>
                <w:bCs/>
                <w:szCs w:val="24"/>
              </w:rPr>
            </w:r>
            <w:r>
              <w:rPr>
                <w:b/>
                <w:bCs/>
                <w:szCs w:val="24"/>
              </w:rPr>
            </w:r>
          </w:p>
          <w:p w14:paraId="0F63E331" w14:textId="77777777">
            <w:pPr>
              <w:pBdr/>
              <w:spacing/>
              <w:ind/>
              <w:rPr>
                <w:szCs w:val="24"/>
              </w:rPr>
            </w:pPr>
            <w:r>
              <w:rPr>
                <w:szCs w:val="24"/>
              </w:rPr>
            </w:r>
            <w:r>
              <w:rPr>
                <w:szCs w:val="24"/>
              </w:rPr>
            </w:r>
            <w:r>
              <w:rPr>
                <w:szCs w:val="24"/>
              </w:rPr>
            </w:r>
          </w:p>
        </w:tc>
        <w:tc>
          <w:tcPr>
            <w:gridSpan w:val="2"/>
            <w:tcBorders/>
            <w:tcW w:w="7212" w:type="dxa"/>
          </w:tcPr>
          <w:p w14:paraId="060F84C1" w14:textId="77777777">
            <w:pPr>
              <w:pBdr/>
              <w:spacing/>
              <w:ind/>
              <w:rPr>
                <w:szCs w:val="24"/>
              </w:rPr>
            </w:pPr>
            <w:r>
              <w:rPr>
                <w:szCs w:val="24"/>
              </w:rPr>
              <w:t xml:space="preserve">Sutarties kaina bus perskaičiuojama:</w:t>
            </w:r>
            <w:r>
              <w:rPr>
                <w:szCs w:val="24"/>
              </w:rPr>
            </w:r>
            <w:r>
              <w:rPr>
                <w:szCs w:val="24"/>
              </w:rPr>
            </w:r>
          </w:p>
          <w:p w14:paraId="1C648B33" w14:textId="77777777">
            <w:pPr>
              <w:pBdr/>
              <w:spacing/>
              <w:ind/>
              <w:rPr>
                <w:szCs w:val="24"/>
              </w:rPr>
            </w:pPr>
            <w:r>
              <w:rPr>
                <w:szCs w:val="24"/>
              </w:rPr>
              <w:t xml:space="preserve">5.3.1 punkte nustatytomis sąlygomis dėl PVM tarifo pasikeitimo;</w:t>
            </w:r>
            <w:r>
              <w:rPr>
                <w:szCs w:val="24"/>
              </w:rPr>
            </w:r>
            <w:r>
              <w:rPr>
                <w:szCs w:val="24"/>
              </w:rPr>
            </w:r>
          </w:p>
          <w:p w14:paraId="583CE803" w14:textId="77777777">
            <w:pPr>
              <w:pBdr/>
              <w:spacing/>
              <w:ind/>
              <w:rPr>
                <w:color w:val="ff0000"/>
                <w:szCs w:val="24"/>
              </w:rPr>
            </w:pPr>
            <w:r>
              <w:rPr>
                <w:szCs w:val="24"/>
              </w:rPr>
              <w:t xml:space="preserve">5.3.3. punkte nustatytomis sąlygomis dėl kainų lygio pokyčių.</w:t>
            </w:r>
            <w:r>
              <w:rPr>
                <w:color w:val="ff0000"/>
                <w:szCs w:val="24"/>
              </w:rPr>
            </w:r>
            <w:r>
              <w:rPr>
                <w:color w:val="ff0000"/>
                <w:szCs w:val="24"/>
              </w:rPr>
            </w:r>
          </w:p>
        </w:tc>
      </w:tr>
      <w:tr>
        <w:trPr>
          <w:trHeight w:val="300"/>
        </w:trPr>
        <w:tc>
          <w:tcPr>
            <w:gridSpan w:val="2"/>
            <w:tcBorders/>
            <w:tcW w:w="2706" w:type="dxa"/>
          </w:tcPr>
          <w:p w14:paraId="3F83FED7" w14:textId="77777777">
            <w:pPr>
              <w:pBdr/>
              <w:spacing/>
              <w:ind/>
              <w:rPr>
                <w:b/>
                <w:bCs/>
                <w:szCs w:val="24"/>
              </w:rPr>
            </w:pPr>
            <w:r>
              <w:rPr>
                <w:b/>
                <w:bCs/>
                <w:szCs w:val="24"/>
              </w:rPr>
              <w:t xml:space="preserve">5.3.1. Sutarties kainos peržiūra dėl PVM tarifo pasikeitimo</w:t>
            </w:r>
            <w:r>
              <w:rPr>
                <w:b/>
                <w:bCs/>
                <w:szCs w:val="24"/>
              </w:rPr>
            </w:r>
            <w:r>
              <w:rPr>
                <w:b/>
                <w:bCs/>
                <w:szCs w:val="24"/>
              </w:rPr>
            </w:r>
          </w:p>
        </w:tc>
        <w:tc>
          <w:tcPr>
            <w:gridSpan w:val="2"/>
            <w:tcBorders/>
            <w:tcW w:w="7212" w:type="dxa"/>
          </w:tcPr>
          <w:p w14:paraId="45D454A6" w14:textId="77777777">
            <w:pPr>
              <w:pBdr/>
              <w:spacing/>
              <w:ind/>
              <w:rPr>
                <w:szCs w:val="24"/>
              </w:rPr>
            </w:pPr>
            <w:r>
              <w:rPr>
                <w:szCs w:val="24"/>
              </w:rPr>
              <w:t xml:space="preserve">Jeigu Sutarties vykdymo metu pasikeičia PVM mokėjimą reglamentuojantys teisės aktai, darantys tiesioginę įtaką Tiekėjo tiekiamų Prekių Sutartyje nurodytai kainai, Sutarties kaina perskaičiuojama nekeičiant Prekių kainos be PVM.</w:t>
            </w:r>
            <w:r>
              <w:rPr>
                <w:szCs w:val="24"/>
              </w:rPr>
            </w:r>
            <w:r>
              <w:rPr>
                <w:szCs w:val="24"/>
              </w:rPr>
            </w:r>
          </w:p>
          <w:p w14:paraId="7DC03646" w14:textId="77777777">
            <w:pPr>
              <w:pBdr/>
              <w:spacing/>
              <w:ind/>
              <w:rPr>
                <w:szCs w:val="24"/>
              </w:rPr>
            </w:pPr>
            <w:r>
              <w:rPr>
                <w:szCs w:val="24"/>
              </w:rPr>
            </w:r>
            <w:r>
              <w:rPr>
                <w:szCs w:val="24"/>
              </w:rPr>
            </w:r>
            <w:r>
              <w:rPr>
                <w:szCs w:val="24"/>
              </w:rPr>
            </w:r>
          </w:p>
          <w:p w14:paraId="51EF10B1" w14:textId="77777777">
            <w:pPr>
              <w:pBdr/>
              <w:spacing/>
              <w:ind/>
              <w:rPr>
                <w:szCs w:val="24"/>
              </w:rPr>
            </w:pPr>
            <w:r>
              <w:rPr>
                <w:szCs w:val="24"/>
              </w:rPr>
              <w:t xml:space="preserve">Perskaičiuota Sutarties kaina įforminama Susitarimu ir turi būti taikoma nuo naujo PVM įvedimo datos (nepriklausomai nuo to, kada pasirašytas Susitarimas).</w:t>
            </w:r>
            <w:r>
              <w:rPr>
                <w:szCs w:val="24"/>
              </w:rPr>
            </w:r>
            <w:r>
              <w:rPr>
                <w:szCs w:val="24"/>
              </w:rPr>
            </w:r>
          </w:p>
        </w:tc>
      </w:tr>
      <w:tr>
        <w:trPr>
          <w:trHeight w:val="300"/>
        </w:trPr>
        <w:tc>
          <w:tcPr>
            <w:gridSpan w:val="2"/>
            <w:tcBorders/>
            <w:tcW w:w="2706" w:type="dxa"/>
          </w:tcPr>
          <w:p w14:paraId="15B054E8" w14:textId="77777777">
            <w:pPr>
              <w:pBdr/>
              <w:spacing/>
              <w:ind/>
              <w:rPr>
                <w:b/>
                <w:bCs/>
                <w:szCs w:val="24"/>
              </w:rPr>
            </w:pPr>
            <w:r>
              <w:rPr>
                <w:b/>
                <w:bCs/>
              </w:rPr>
              <w:t xml:space="preserve">5.3.2. Sutarties kainos peržiūra dėl kitų mokesčių, lemiančių Prekių kainos pokytį, pasikeitimo</w:t>
            </w:r>
            <w:r>
              <w:rPr>
                <w:b/>
                <w:bCs/>
                <w:szCs w:val="24"/>
              </w:rPr>
            </w:r>
            <w:r>
              <w:rPr>
                <w:b/>
                <w:bCs/>
                <w:szCs w:val="24"/>
              </w:rPr>
            </w:r>
          </w:p>
        </w:tc>
        <w:tc>
          <w:tcPr>
            <w:gridSpan w:val="2"/>
            <w:tcBorders/>
            <w:tcW w:w="7212" w:type="dxa"/>
          </w:tcPr>
          <w:p w14:paraId="28B6020D" w14:textId="77777777">
            <w:pPr>
              <w:pBdr/>
              <w:spacing/>
              <w:ind/>
              <w:rPr>
                <w:szCs w:val="24"/>
              </w:rPr>
            </w:pPr>
            <w:r>
              <w:t xml:space="preserve">Netaikoma.</w:t>
            </w:r>
            <w:r>
              <w:rPr>
                <w:szCs w:val="24"/>
              </w:rPr>
            </w:r>
            <w:r>
              <w:rPr>
                <w:szCs w:val="24"/>
              </w:rPr>
            </w:r>
          </w:p>
        </w:tc>
      </w:tr>
      <w:tr>
        <w:trPr>
          <w:trHeight w:val="300"/>
        </w:trPr>
        <w:tc>
          <w:tcPr>
            <w:gridSpan w:val="2"/>
            <w:tcBorders/>
            <w:tcW w:w="2706" w:type="dxa"/>
          </w:tcPr>
          <w:p w14:paraId="766E3102" w14:textId="77777777">
            <w:pPr>
              <w:pBdr/>
              <w:spacing/>
              <w:ind/>
              <w:rPr>
                <w:b/>
                <w:bCs/>
                <w:szCs w:val="24"/>
              </w:rPr>
            </w:pPr>
            <w:r>
              <w:rPr>
                <w:b/>
                <w:bCs/>
                <w:szCs w:val="24"/>
              </w:rPr>
              <w:t xml:space="preserve">5.3.3. Sutarties kainos peržiūra dėl kainų lygio pokyčių</w:t>
            </w:r>
            <w:r>
              <w:rPr>
                <w:b/>
                <w:bCs/>
                <w:szCs w:val="24"/>
              </w:rPr>
            </w:r>
            <w:r>
              <w:rPr>
                <w:b/>
                <w:bCs/>
                <w:szCs w:val="24"/>
              </w:rPr>
            </w:r>
          </w:p>
        </w:tc>
        <w:tc>
          <w:tcPr>
            <w:gridSpan w:val="2"/>
            <w:tcBorders/>
            <w:tcW w:w="7212" w:type="dxa"/>
          </w:tcPr>
          <w:p w14:paraId="7C5B076B" w14:textId="77777777">
            <w:pPr>
              <w:pBdr/>
              <w:spacing/>
              <w:ind/>
              <w:contextualSpacing w:val="true"/>
              <w:rPr>
                <w:szCs w:val="24"/>
              </w:rPr>
            </w:pPr>
            <w:r>
              <w:rPr>
                <w:szCs w:val="24"/>
              </w:rPr>
              <w:t xml:space="preserve">Netaikoma.</w:t>
            </w:r>
            <w:r>
              <w:rPr>
                <w:szCs w:val="24"/>
              </w:rPr>
            </w:r>
            <w:r>
              <w:rPr>
                <w:szCs w:val="24"/>
              </w:rPr>
            </w:r>
          </w:p>
          <w:p w14:paraId="4B389113" w14:textId="77777777">
            <w:pPr>
              <w:pBdr/>
              <w:spacing/>
              <w:ind/>
              <w:contextualSpacing w:val="true"/>
              <w:rPr>
                <w:szCs w:val="24"/>
              </w:rPr>
            </w:pPr>
            <w:r>
              <w:rPr>
                <w:szCs w:val="24"/>
              </w:rPr>
            </w:r>
            <w:r>
              <w:rPr>
                <w:szCs w:val="24"/>
              </w:rPr>
            </w:r>
            <w:r>
              <w:rPr>
                <w:szCs w:val="24"/>
              </w:rPr>
            </w:r>
          </w:p>
        </w:tc>
      </w:tr>
      <w:tr>
        <w:trPr>
          <w:trHeight w:val="300"/>
        </w:trPr>
        <w:tc>
          <w:tcPr>
            <w:gridSpan w:val="2"/>
            <w:tcBorders/>
            <w:tcW w:w="2706" w:type="dxa"/>
          </w:tcPr>
          <w:p w14:paraId="48C22B09" w14:textId="77777777">
            <w:pPr>
              <w:pBdr/>
              <w:spacing/>
              <w:ind/>
              <w:rPr>
                <w:b/>
                <w:bCs/>
                <w:szCs w:val="24"/>
              </w:rPr>
            </w:pPr>
            <w:r/>
            <w:bookmarkStart w:id="2" w:name="_Hlk198538148"/>
            <w:r>
              <w:rPr>
                <w:b/>
                <w:bCs/>
                <w:szCs w:val="24"/>
              </w:rPr>
              <w:t xml:space="preserve">5.3.4. Sutarties kainos peržiūra dėl kitų mokesčių, lemiančių Prekių kainos pokytį, pasikeitimo</w:t>
            </w:r>
            <w:r>
              <w:rPr>
                <w:b/>
                <w:bCs/>
                <w:szCs w:val="24"/>
              </w:rPr>
            </w:r>
            <w:r>
              <w:rPr>
                <w:b/>
                <w:bCs/>
                <w:szCs w:val="24"/>
              </w:rPr>
            </w:r>
          </w:p>
        </w:tc>
        <w:tc>
          <w:tcPr>
            <w:gridSpan w:val="2"/>
            <w:tcBorders/>
            <w:tcW w:w="7212" w:type="dxa"/>
          </w:tcPr>
          <w:p w14:paraId="5BF9D9C0" w14:textId="77777777">
            <w:pPr>
              <w:pBdr/>
              <w:spacing/>
              <w:ind/>
              <w:rPr>
                <w:szCs w:val="24"/>
              </w:rPr>
            </w:pPr>
            <w:r>
              <w:rPr>
                <w:szCs w:val="24"/>
              </w:rPr>
              <w:t xml:space="preserve">Netaikoma.</w:t>
            </w:r>
            <w:r>
              <w:rPr>
                <w:szCs w:val="24"/>
              </w:rPr>
            </w:r>
            <w:r>
              <w:rPr>
                <w:szCs w:val="24"/>
              </w:rPr>
            </w:r>
          </w:p>
          <w:p w14:paraId="1B2380A8" w14:textId="77777777">
            <w:pPr>
              <w:pBdr/>
              <w:spacing/>
              <w:ind/>
              <w:rPr>
                <w:highlight w:val="yellow"/>
              </w:rPr>
            </w:pPr>
            <w:r>
              <w:rPr>
                <w:highlight w:val="yellow"/>
              </w:rPr>
            </w:r>
            <w:r>
              <w:rPr>
                <w:highlight w:val="yellow"/>
              </w:rPr>
            </w:r>
            <w:r>
              <w:rPr>
                <w:highlight w:val="yellow"/>
              </w:rPr>
            </w:r>
          </w:p>
        </w:tc>
      </w:tr>
      <w:tr>
        <w:trPr>
          <w:trHeight w:val="300"/>
        </w:trPr>
        <w:tc>
          <w:tcPr>
            <w:gridSpan w:val="2"/>
            <w:tcBorders/>
            <w:tcW w:w="2706" w:type="dxa"/>
          </w:tcPr>
          <w:p w14:paraId="1BB02AD5" w14:textId="77777777">
            <w:pPr>
              <w:pBdr/>
              <w:spacing/>
              <w:ind/>
              <w:rPr>
                <w:b/>
                <w:bCs/>
                <w:szCs w:val="24"/>
              </w:rPr>
            </w:pPr>
            <w:r>
              <w:rPr>
                <w:b/>
                <w:bCs/>
              </w:rPr>
              <w:t xml:space="preserve">5.4. Sutarties kainos apskaičiavimas taikant kiekio (apimties) keitimo taisykles</w:t>
            </w:r>
            <w:r>
              <w:rPr>
                <w:b/>
                <w:bCs/>
                <w:szCs w:val="24"/>
              </w:rPr>
            </w:r>
            <w:r>
              <w:rPr>
                <w:b/>
                <w:bCs/>
                <w:szCs w:val="24"/>
              </w:rPr>
            </w:r>
          </w:p>
        </w:tc>
        <w:tc>
          <w:tcPr>
            <w:gridSpan w:val="2"/>
            <w:tcBorders/>
            <w:tcW w:w="7212" w:type="dxa"/>
          </w:tcPr>
          <w:p w14:paraId="5067EB32" w14:textId="77777777">
            <w:pPr>
              <w:pBdr/>
              <w:spacing/>
              <w:ind/>
              <w:rPr>
                <w:szCs w:val="24"/>
              </w:rPr>
            </w:pPr>
            <w:r>
              <w:t xml:space="preserve">Netaikoma</w:t>
            </w:r>
            <w:bookmarkEnd w:id="2"/>
            <w:r>
              <w:rPr>
                <w:szCs w:val="24"/>
              </w:rPr>
            </w:r>
            <w:r>
              <w:rPr>
                <w:szCs w:val="24"/>
              </w:rPr>
            </w:r>
          </w:p>
        </w:tc>
      </w:tr>
      <w:tr>
        <w:trPr>
          <w:trHeight w:val="300"/>
        </w:trPr>
        <w:tc>
          <w:tcPr>
            <w:gridSpan w:val="2"/>
            <w:tcBorders/>
            <w:tcW w:w="2706" w:type="dxa"/>
          </w:tcPr>
          <w:p w14:paraId="24BFDCBD" w14:textId="77777777">
            <w:pPr>
              <w:pBdr/>
              <w:spacing/>
              <w:ind/>
              <w:rPr>
                <w:b/>
                <w:bCs/>
                <w:szCs w:val="24"/>
              </w:rPr>
            </w:pPr>
            <w:r>
              <w:rPr>
                <w:b/>
                <w:bCs/>
                <w:szCs w:val="24"/>
              </w:rPr>
              <w:t xml:space="preserve">5.5. Atsiskaitymo su Tiekėju terminas ir tvarka</w:t>
            </w:r>
            <w:r>
              <w:rPr>
                <w:b/>
                <w:bCs/>
                <w:szCs w:val="24"/>
              </w:rPr>
            </w:r>
            <w:r>
              <w:rPr>
                <w:b/>
                <w:bCs/>
                <w:szCs w:val="24"/>
              </w:rPr>
            </w:r>
          </w:p>
        </w:tc>
        <w:tc>
          <w:tcPr>
            <w:gridSpan w:val="2"/>
            <w:tcBorders/>
            <w:tcW w:w="7212" w:type="dxa"/>
          </w:tcPr>
          <w:p w14:paraId="6F83F3DB" w14:textId="77777777">
            <w:pPr>
              <w:pBdr/>
              <w:spacing/>
              <w:ind/>
              <w:rPr>
                <w:szCs w:val="24"/>
              </w:rPr>
            </w:pPr>
            <w:r>
              <w:rPr>
                <w:szCs w:val="24"/>
              </w:rPr>
              <w:t xml:space="preserve">Pirkėjas atsiskaito su Tiekėju ne vėliau kaip per 30 dienų nuo Sąskaitos gavimo dienos.</w:t>
            </w:r>
            <w:r>
              <w:rPr>
                <w:szCs w:val="24"/>
              </w:rPr>
            </w:r>
            <w:r>
              <w:rPr>
                <w:szCs w:val="24"/>
              </w:rPr>
            </w:r>
          </w:p>
          <w:p w14:paraId="342F176A" w14:textId="77777777">
            <w:pPr>
              <w:pBdr/>
              <w:spacing/>
              <w:ind/>
              <w:rPr>
                <w:szCs w:val="24"/>
                <w:shd w:val="clear" w:color="auto" w:fill="ffffff"/>
              </w:rPr>
            </w:pPr>
            <w:r>
              <w:rPr>
                <w:color w:val="000000"/>
                <w:szCs w:val="24"/>
                <w:shd w:val="clear" w:color="auto" w:fill="ffffff"/>
              </w:rPr>
              <w:t xml:space="preserve">Apmokėjimo </w:t>
            </w:r>
            <w:r>
              <w:rPr>
                <w:szCs w:val="24"/>
                <w:shd w:val="clear" w:color="auto" w:fill="ffffff"/>
              </w:rPr>
              <w:t xml:space="preserve">sąlygos: įvykdžius visus sutartinius įsipareigojimus, sumokama visa Sutarties kaina.</w:t>
            </w:r>
            <w:r>
              <w:rPr>
                <w:szCs w:val="24"/>
                <w:shd w:val="clear" w:color="auto" w:fill="ffffff"/>
              </w:rPr>
            </w:r>
            <w:r>
              <w:rPr>
                <w:szCs w:val="24"/>
                <w:shd w:val="clear" w:color="auto" w:fill="ffffff"/>
              </w:rPr>
            </w:r>
          </w:p>
          <w:p w14:paraId="0DA204EB" w14:textId="77777777">
            <w:pPr>
              <w:pBdr/>
              <w:spacing/>
              <w:ind/>
              <w:rPr>
                <w:color w:val="000000"/>
                <w:szCs w:val="24"/>
                <w:shd w:val="clear" w:color="auto" w:fill="ffffff"/>
              </w:rPr>
            </w:pPr>
            <w:r>
              <w:rPr>
                <w:color w:val="000000"/>
                <w:szCs w:val="24"/>
                <w:shd w:val="clear" w:color="auto" w:fill="ffffff"/>
              </w:rPr>
            </w:r>
            <w:r>
              <w:rPr>
                <w:color w:val="000000"/>
                <w:szCs w:val="24"/>
                <w:shd w:val="clear" w:color="auto" w:fill="ffffff"/>
              </w:rPr>
            </w:r>
            <w:r>
              <w:rPr>
                <w:color w:val="000000"/>
                <w:szCs w:val="24"/>
                <w:shd w:val="clear" w:color="auto" w:fill="ffffff"/>
              </w:rPr>
            </w:r>
          </w:p>
        </w:tc>
      </w:tr>
      <w:tr>
        <w:trPr>
          <w:trHeight w:val="300"/>
        </w:trPr>
        <w:tc>
          <w:tcPr>
            <w:gridSpan w:val="2"/>
            <w:tcBorders/>
            <w:tcW w:w="2706" w:type="dxa"/>
          </w:tcPr>
          <w:p w14:paraId="6612D5A6" w14:textId="77777777">
            <w:pPr>
              <w:pBdr/>
              <w:spacing/>
              <w:ind/>
              <w:rPr>
                <w:b/>
                <w:bCs/>
                <w:szCs w:val="24"/>
              </w:rPr>
            </w:pPr>
            <w:r>
              <w:rPr>
                <w:b/>
                <w:bCs/>
                <w:szCs w:val="24"/>
              </w:rPr>
              <w:t xml:space="preserve">5.6. Avansas</w:t>
            </w:r>
            <w:r>
              <w:rPr>
                <w:b/>
                <w:bCs/>
                <w:szCs w:val="24"/>
              </w:rPr>
            </w:r>
            <w:r>
              <w:rPr>
                <w:b/>
                <w:bCs/>
                <w:szCs w:val="24"/>
              </w:rPr>
            </w:r>
          </w:p>
        </w:tc>
        <w:tc>
          <w:tcPr>
            <w:gridSpan w:val="2"/>
            <w:tcBorders/>
            <w:tcW w:w="7212" w:type="dxa"/>
          </w:tcPr>
          <w:p w14:paraId="7B9B2674" w14:textId="77777777">
            <w:pPr>
              <w:pBdr/>
              <w:spacing w:line="259" w:lineRule="auto"/>
              <w:ind/>
              <w:rPr>
                <w:color w:val="000000"/>
                <w:szCs w:val="24"/>
                <w:shd w:val="clear" w:color="auto" w:fill="ffffff"/>
              </w:rPr>
            </w:pPr>
            <w:r>
              <w:rPr>
                <w:color w:val="000000"/>
                <w:szCs w:val="24"/>
                <w:shd w:val="clear" w:color="auto" w:fill="ffffff"/>
              </w:rPr>
              <w:t xml:space="preserve">Netaikoma.</w:t>
            </w:r>
            <w:r>
              <w:rPr>
                <w:color w:val="000000"/>
                <w:szCs w:val="24"/>
                <w:shd w:val="clear" w:color="auto" w:fill="ffffff"/>
              </w:rPr>
            </w:r>
            <w:r>
              <w:rPr>
                <w:color w:val="000000"/>
                <w:szCs w:val="24"/>
                <w:shd w:val="clear" w:color="auto" w:fill="ffffff"/>
              </w:rPr>
            </w:r>
          </w:p>
        </w:tc>
      </w:tr>
      <w:tr>
        <w:trPr>
          <w:trHeight w:val="300"/>
        </w:trPr>
        <w:tc>
          <w:tcPr>
            <w:gridSpan w:val="4"/>
            <w:tcBorders/>
            <w:tcW w:w="9918" w:type="dxa"/>
          </w:tcPr>
          <w:p w14:paraId="6ACAA37D" w14:textId="77777777">
            <w:pPr>
              <w:pBdr/>
              <w:spacing/>
              <w:ind/>
              <w:jc w:val="center"/>
              <w:rPr>
                <w:b/>
                <w:bCs/>
                <w:szCs w:val="24"/>
              </w:rPr>
            </w:pPr>
            <w:r>
              <w:rPr>
                <w:b/>
                <w:bCs/>
                <w:szCs w:val="24"/>
              </w:rPr>
              <w:t xml:space="preserve">6. PREKIŲ KOKYBĖ IR GARANTINIAI ĮSIPAREIGOJIMAI</w:t>
            </w:r>
            <w:r>
              <w:rPr>
                <w:b/>
                <w:bCs/>
                <w:szCs w:val="24"/>
              </w:rPr>
            </w:r>
            <w:r>
              <w:rPr>
                <w:b/>
                <w:bCs/>
                <w:szCs w:val="24"/>
              </w:rPr>
            </w:r>
          </w:p>
        </w:tc>
      </w:tr>
      <w:tr>
        <w:trPr>
          <w:trHeight w:val="300"/>
        </w:trPr>
        <w:tc>
          <w:tcPr>
            <w:gridSpan w:val="2"/>
            <w:tcBorders/>
            <w:tcW w:w="2706" w:type="dxa"/>
          </w:tcPr>
          <w:p w14:paraId="3826CD84" w14:textId="77777777">
            <w:pPr>
              <w:pBdr/>
              <w:spacing/>
              <w:ind/>
              <w:rPr>
                <w:b/>
                <w:bCs/>
                <w:szCs w:val="24"/>
              </w:rPr>
            </w:pPr>
            <w:r>
              <w:rPr>
                <w:b/>
                <w:bCs/>
                <w:szCs w:val="24"/>
              </w:rPr>
              <w:t xml:space="preserve">6.1. Garantinis terminas</w:t>
            </w:r>
            <w:r>
              <w:rPr>
                <w:b/>
                <w:bCs/>
                <w:szCs w:val="24"/>
              </w:rPr>
            </w:r>
            <w:r>
              <w:rPr>
                <w:b/>
                <w:bCs/>
                <w:szCs w:val="24"/>
              </w:rPr>
            </w:r>
          </w:p>
        </w:tc>
        <w:tc>
          <w:tcPr>
            <w:gridSpan w:val="2"/>
            <w:tcBorders/>
            <w:tcW w:w="7212" w:type="dxa"/>
          </w:tcPr>
          <w:p w14:paraId="43A70969"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Prekėms nustatomas Tiekėjo pasiūlytas arba Prekių gamintojo </w:t>
            </w:r>
            <w:r>
              <w:rPr>
                <w:highlight w:val="none"/>
              </w:rPr>
            </w:r>
            <w:r>
              <w:rPr>
                <w:highlight w:val="none"/>
              </w:rPr>
            </w:r>
          </w:p>
          <w:p w14:paraId="7A20CD6B" w14:textId="77777777">
            <w:pPr>
              <w:pBdr>
                <w:top w:val="none" w:color="000000" w:sz="4" w:space="0"/>
                <w:left w:val="none" w:color="000000" w:sz="4" w:space="0"/>
                <w:bottom w:val="none" w:color="000000" w:sz="4" w:space="0"/>
                <w:right w:val="none" w:color="000000" w:sz="4" w:space="0"/>
              </w:pBdr>
              <w:spacing/>
              <w:ind/>
              <w:rPr>
                <w:b/>
                <w:bCs/>
                <w:highlight w:val="none"/>
              </w:rPr>
            </w:pPr>
            <w:r>
              <w:rPr>
                <w:highlight w:val="none"/>
              </w:rPr>
              <w:t xml:space="preserve">taikomas Garantinis terminas, tačiau bet kokiu atveju </w:t>
            </w:r>
            <w:r>
              <w:rPr>
                <w:b/>
                <w:bCs/>
                <w:highlight w:val="none"/>
              </w:rPr>
              <w:t xml:space="preserve">ne </w:t>
            </w:r>
            <w:r>
              <w:rPr>
                <w:b/>
                <w:bCs/>
                <w:highlight w:val="none"/>
              </w:rPr>
            </w:r>
            <w:r>
              <w:rPr>
                <w:b/>
                <w:bCs/>
                <w:highlight w:val="none"/>
              </w:rPr>
            </w:r>
          </w:p>
          <w:p w14:paraId="57757EA0" w14:textId="77777777">
            <w:pPr>
              <w:pBdr>
                <w:top w:val="none" w:color="000000" w:sz="4" w:space="0"/>
                <w:left w:val="none" w:color="000000" w:sz="4" w:space="0"/>
                <w:bottom w:val="none" w:color="000000" w:sz="4" w:space="0"/>
                <w:right w:val="none" w:color="000000" w:sz="4" w:space="0"/>
              </w:pBdr>
              <w:spacing/>
              <w:ind/>
              <w:rPr>
                <w:highlight w:val="none"/>
              </w:rPr>
            </w:pPr>
            <w:r>
              <w:rPr>
                <w:b/>
                <w:bCs/>
                <w:highlight w:val="none"/>
              </w:rPr>
              <w:t xml:space="preserve">trumpesnis kaip 24 mėnesių</w:t>
            </w:r>
            <w:r>
              <w:rPr>
                <w:highlight w:val="none"/>
              </w:rPr>
              <w:t xml:space="preserve">. Garantinis terminas, skaičiuojamas </w:t>
            </w:r>
            <w:r>
              <w:rPr>
                <w:highlight w:val="none"/>
              </w:rPr>
            </w:r>
            <w:r>
              <w:rPr>
                <w:highlight w:val="none"/>
              </w:rPr>
            </w:r>
          </w:p>
          <w:p w14:paraId="5187AA99"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nuo Prekių perdavimo–priėmimo akto pasirašymo dienos</w:t>
            </w:r>
            <w:r>
              <w:rPr>
                <w:highlight w:val="none"/>
              </w:rPr>
            </w:r>
            <w:r>
              <w:rPr>
                <w:highlight w:val="none"/>
              </w:rPr>
            </w:r>
          </w:p>
          <w:p w14:paraId="5CA88DB1" w14:textId="77777777">
            <w:pPr>
              <w:pBdr/>
              <w:spacing/>
              <w:ind/>
              <w:rPr>
                <w:szCs w:val="24"/>
                <w:highlight w:val="yellow"/>
              </w:rPr>
            </w:pPr>
            <w:r>
              <w:rPr>
                <w:szCs w:val="24"/>
                <w:highlight w:val="yellow"/>
              </w:rPr>
            </w:r>
            <w:r>
              <w:rPr>
                <w:szCs w:val="24"/>
                <w:highlight w:val="yellow"/>
              </w:rPr>
            </w:r>
            <w:r>
              <w:rPr>
                <w:szCs w:val="24"/>
                <w:highlight w:val="yellow"/>
              </w:rPr>
            </w:r>
          </w:p>
        </w:tc>
      </w:tr>
      <w:tr>
        <w:trPr>
          <w:trHeight w:val="300"/>
        </w:trPr>
        <w:tc>
          <w:tcPr>
            <w:gridSpan w:val="2"/>
            <w:tcBorders/>
            <w:tcW w:w="2706" w:type="dxa"/>
          </w:tcPr>
          <w:p w14:paraId="34DEC271" w14:textId="77777777">
            <w:pPr>
              <w:pBdr/>
              <w:spacing/>
              <w:ind/>
              <w:rPr>
                <w:b/>
                <w:bCs/>
                <w:szCs w:val="24"/>
              </w:rPr>
            </w:pPr>
            <w:r>
              <w:rPr>
                <w:b/>
                <w:bCs/>
                <w:szCs w:val="24"/>
              </w:rPr>
              <w:t xml:space="preserve">6.2. Garantinė techninė priežiūra</w:t>
            </w:r>
            <w:r>
              <w:rPr>
                <w:b/>
                <w:bCs/>
                <w:szCs w:val="24"/>
              </w:rPr>
            </w:r>
            <w:r>
              <w:rPr>
                <w:b/>
                <w:bCs/>
                <w:szCs w:val="24"/>
              </w:rPr>
            </w:r>
          </w:p>
        </w:tc>
        <w:tc>
          <w:tcPr>
            <w:gridSpan w:val="2"/>
            <w:tcBorders/>
            <w:tcW w:w="7212" w:type="dxa"/>
          </w:tcPr>
          <w:p w14:paraId="60D62644" w14:textId="77777777">
            <w:pPr>
              <w:pBdr/>
              <w:spacing/>
              <w:ind/>
              <w:rPr>
                <w:szCs w:val="24"/>
              </w:rPr>
            </w:pPr>
            <w:r>
              <w:rPr>
                <w:szCs w:val="24"/>
              </w:rPr>
              <w:t xml:space="preserve">Tiekėjas</w:t>
            </w:r>
            <w:r>
              <w:rPr>
                <w:szCs w:val="24"/>
              </w:rPr>
              <w:t xml:space="preserve"> įsipareigoja Prekėms teikti garantinę techninę priežiūrą pagal Prekės gamintojo nustatytus reikalavimus ir periodiškumą.</w:t>
            </w:r>
            <w:r>
              <w:rPr>
                <w:szCs w:val="24"/>
              </w:rPr>
            </w:r>
            <w:r>
              <w:rPr>
                <w:szCs w:val="24"/>
              </w:rPr>
            </w:r>
          </w:p>
        </w:tc>
      </w:tr>
      <w:tr>
        <w:trPr>
          <w:trHeight w:val="300"/>
        </w:trPr>
        <w:tc>
          <w:tcPr>
            <w:gridSpan w:val="4"/>
            <w:tcBorders/>
            <w:tcW w:w="9918" w:type="dxa"/>
          </w:tcPr>
          <w:p w14:paraId="5C7B63A8" w14:textId="77777777">
            <w:pPr>
              <w:pBdr/>
              <w:spacing/>
              <w:ind/>
              <w:jc w:val="center"/>
              <w:rPr>
                <w:b/>
                <w:bCs/>
                <w:szCs w:val="24"/>
              </w:rPr>
            </w:pPr>
            <w:r>
              <w:rPr>
                <w:b/>
                <w:bCs/>
                <w:szCs w:val="24"/>
              </w:rPr>
              <w:t xml:space="preserve">7. SUTARTIES VYKDYMUI PASITELKIAMI SUBTIEKĖJAI</w:t>
            </w:r>
            <w:r>
              <w:rPr>
                <w:b/>
                <w:bCs/>
                <w:szCs w:val="24"/>
              </w:rPr>
            </w:r>
            <w:r>
              <w:rPr>
                <w:b/>
                <w:bCs/>
                <w:szCs w:val="24"/>
              </w:rPr>
            </w:r>
          </w:p>
        </w:tc>
      </w:tr>
      <w:tr>
        <w:trPr>
          <w:trHeight w:val="300"/>
        </w:trPr>
        <w:tc>
          <w:tcPr>
            <w:gridSpan w:val="2"/>
            <w:tcBorders/>
            <w:tcW w:w="2706" w:type="dxa"/>
          </w:tcPr>
          <w:p w14:paraId="2EA947E2" w14:textId="77777777">
            <w:pPr>
              <w:pBdr/>
              <w:spacing/>
              <w:ind/>
              <w:rPr>
                <w:b/>
                <w:bCs/>
                <w:szCs w:val="24"/>
              </w:rPr>
            </w:pPr>
            <w:r>
              <w:rPr>
                <w:b/>
                <w:bCs/>
                <w:szCs w:val="24"/>
              </w:rPr>
              <w:t xml:space="preserve">Sutarties vykdymui pasitelkiami subtiekėjai ir (ar) specialistai</w:t>
            </w:r>
            <w:r>
              <w:rPr>
                <w:b/>
                <w:bCs/>
                <w:szCs w:val="24"/>
              </w:rPr>
            </w:r>
            <w:r>
              <w:rPr>
                <w:b/>
                <w:bCs/>
                <w:szCs w:val="24"/>
              </w:rPr>
            </w:r>
          </w:p>
        </w:tc>
        <w:tc>
          <w:tcPr>
            <w:gridSpan w:val="2"/>
            <w:tcBorders/>
            <w:tcW w:w="7212" w:type="dxa"/>
          </w:tcPr>
          <w:p w14:paraId="2F377BD3" w14:textId="77777777">
            <w:pPr>
              <w:pBdr/>
              <w:spacing/>
              <w:ind/>
              <w:rPr>
                <w:szCs w:val="24"/>
              </w:rPr>
            </w:pPr>
            <w:r>
              <w:rPr>
                <w:szCs w:val="24"/>
              </w:rPr>
              <w:t xml:space="preserve">Sutarties vykdymui subtiekėjai nepasitelkiami.</w:t>
            </w:r>
            <w:r>
              <w:rPr>
                <w:szCs w:val="24"/>
              </w:rPr>
            </w:r>
            <w:r>
              <w:rPr>
                <w:szCs w:val="24"/>
              </w:rPr>
            </w:r>
          </w:p>
          <w:p w14:paraId="7E961581" w14:textId="77777777">
            <w:pPr>
              <w:pBdr/>
              <w:spacing/>
              <w:ind/>
              <w:rPr>
                <w:szCs w:val="24"/>
              </w:rPr>
            </w:pPr>
            <w:r>
              <w:rPr>
                <w:szCs w:val="24"/>
              </w:rPr>
            </w:r>
            <w:r>
              <w:rPr>
                <w:szCs w:val="24"/>
              </w:rPr>
            </w:r>
            <w:r>
              <w:rPr>
                <w:szCs w:val="24"/>
              </w:rPr>
            </w:r>
          </w:p>
          <w:p w14:paraId="5EC3FD7B" w14:textId="77777777">
            <w:pPr>
              <w:pBdr/>
              <w:spacing/>
              <w:ind/>
              <w:rPr>
                <w:b/>
                <w:bCs/>
                <w:szCs w:val="24"/>
              </w:rPr>
            </w:pPr>
            <w:r>
              <w:rPr>
                <w:b/>
                <w:bCs/>
                <w:szCs w:val="24"/>
              </w:rPr>
            </w:r>
            <w:r>
              <w:rPr>
                <w:b/>
                <w:bCs/>
                <w:szCs w:val="24"/>
              </w:rPr>
            </w:r>
            <w:r>
              <w:rPr>
                <w:b/>
                <w:bCs/>
                <w:szCs w:val="24"/>
              </w:rPr>
            </w:r>
          </w:p>
        </w:tc>
      </w:tr>
      <w:tr>
        <w:trPr>
          <w:trHeight w:val="300"/>
        </w:trPr>
        <w:tc>
          <w:tcPr>
            <w:gridSpan w:val="4"/>
            <w:tcBorders/>
            <w:tcW w:w="9918" w:type="dxa"/>
          </w:tcPr>
          <w:p w14:paraId="7B4B0023" w14:textId="77777777">
            <w:pPr>
              <w:pBdr/>
              <w:spacing/>
              <w:ind/>
              <w:jc w:val="center"/>
              <w:rPr>
                <w:b/>
                <w:bCs/>
                <w:szCs w:val="24"/>
              </w:rPr>
            </w:pPr>
            <w:r>
              <w:rPr>
                <w:b/>
                <w:bCs/>
                <w:szCs w:val="24"/>
              </w:rPr>
              <w:t xml:space="preserve">8. PRIEVOLIŲ PAGAL SUTARTĮ ĮVYKDYMO UŽTIKRINIMAS</w:t>
            </w:r>
            <w:r>
              <w:rPr>
                <w:b/>
                <w:bCs/>
                <w:szCs w:val="24"/>
              </w:rPr>
            </w:r>
            <w:r>
              <w:rPr>
                <w:b/>
                <w:bCs/>
                <w:szCs w:val="24"/>
              </w:rPr>
            </w:r>
          </w:p>
        </w:tc>
      </w:tr>
      <w:tr>
        <w:trPr>
          <w:trHeight w:val="300"/>
        </w:trPr>
        <w:tc>
          <w:tcPr>
            <w:gridSpan w:val="2"/>
            <w:tcBorders/>
            <w:tcW w:w="2706" w:type="dxa"/>
          </w:tcPr>
          <w:p w14:paraId="4FBCF396" w14:textId="77777777">
            <w:pPr>
              <w:pBdr/>
              <w:spacing/>
              <w:ind/>
              <w:rPr>
                <w:b/>
                <w:bCs/>
                <w:szCs w:val="24"/>
              </w:rPr>
            </w:pPr>
            <w:r>
              <w:rPr>
                <w:b/>
                <w:bCs/>
                <w:szCs w:val="24"/>
              </w:rPr>
              <w:t xml:space="preserve">8.1. Prievolių pagal Sutartį įvykdymo užtikrinimas</w:t>
            </w:r>
            <w:r>
              <w:rPr>
                <w:b/>
                <w:bCs/>
                <w:szCs w:val="24"/>
              </w:rPr>
            </w:r>
            <w:r>
              <w:rPr>
                <w:b/>
                <w:bCs/>
                <w:szCs w:val="24"/>
              </w:rPr>
            </w:r>
          </w:p>
        </w:tc>
        <w:tc>
          <w:tcPr>
            <w:gridSpan w:val="2"/>
            <w:tcBorders/>
            <w:tcW w:w="7212" w:type="dxa"/>
          </w:tcPr>
          <w:p w14:paraId="1ED9AD17" w14:textId="77777777">
            <w:pPr>
              <w:pBdr/>
              <w:spacing/>
              <w:ind/>
              <w:rPr>
                <w:szCs w:val="24"/>
                <w:highlight w:val="none"/>
              </w:rPr>
            </w:pPr>
            <w:r>
              <w:rPr>
                <w:szCs w:val="24"/>
                <w:highlight w:val="none"/>
              </w:rPr>
              <w:t xml:space="preserve">Netaikoma</w:t>
            </w:r>
            <w:r>
              <w:rPr>
                <w:szCs w:val="24"/>
                <w:highlight w:val="none"/>
              </w:rPr>
            </w:r>
            <w:r>
              <w:rPr>
                <w:szCs w:val="24"/>
                <w:highlight w:val="none"/>
              </w:rPr>
            </w:r>
          </w:p>
          <w:p w14:paraId="1FD21EE7" w14:textId="77777777">
            <w:pPr>
              <w:pBdr/>
              <w:spacing/>
              <w:ind/>
              <w:rPr>
                <w:szCs w:val="24"/>
              </w:rPr>
            </w:pPr>
            <w:r>
              <w:rPr>
                <w:szCs w:val="24"/>
              </w:rPr>
            </w:r>
            <w:r>
              <w:rPr>
                <w:szCs w:val="24"/>
              </w:rPr>
            </w:r>
            <w:r>
              <w:rPr>
                <w:szCs w:val="24"/>
              </w:rPr>
            </w:r>
          </w:p>
        </w:tc>
      </w:tr>
      <w:tr>
        <w:trPr>
          <w:trHeight w:val="300"/>
        </w:trPr>
        <w:tc>
          <w:tcPr>
            <w:gridSpan w:val="2"/>
            <w:tcBorders/>
            <w:tcW w:w="2706" w:type="dxa"/>
          </w:tcPr>
          <w:p w14:paraId="027CEC52" w14:textId="77777777">
            <w:pPr>
              <w:pBdr/>
              <w:spacing/>
              <w:ind/>
              <w:rPr>
                <w:b/>
                <w:bCs/>
                <w:szCs w:val="24"/>
              </w:rPr>
            </w:pPr>
            <w:r>
              <w:rPr>
                <w:b/>
                <w:bCs/>
                <w:szCs w:val="24"/>
              </w:rPr>
              <w:t xml:space="preserve">8.2. Sutarties įvykdymo užtikrinimo pateikimas </w:t>
            </w:r>
            <w:r>
              <w:rPr>
                <w:b/>
                <w:bCs/>
                <w:szCs w:val="24"/>
              </w:rPr>
            </w:r>
            <w:r>
              <w:rPr>
                <w:b/>
                <w:bCs/>
                <w:szCs w:val="24"/>
              </w:rPr>
            </w:r>
          </w:p>
        </w:tc>
        <w:tc>
          <w:tcPr>
            <w:gridSpan w:val="2"/>
            <w:tcBorders/>
            <w:tcW w:w="7212" w:type="dxa"/>
          </w:tcPr>
          <w:p w14:paraId="0D82B48C" w14:textId="77777777">
            <w:pPr>
              <w:pBdr/>
              <w:spacing w:before="120"/>
              <w:ind/>
              <w:rPr>
                <w:szCs w:val="24"/>
              </w:rPr>
            </w:pPr>
            <w:r>
              <w:rPr>
                <w:szCs w:val="24"/>
              </w:rPr>
              <w:t xml:space="preserve">Netaikoma</w:t>
            </w:r>
            <w:r>
              <w:rPr>
                <w:szCs w:val="24"/>
              </w:rPr>
            </w:r>
            <w:r>
              <w:rPr>
                <w:szCs w:val="24"/>
              </w:rPr>
            </w:r>
          </w:p>
        </w:tc>
      </w:tr>
      <w:tr>
        <w:trPr>
          <w:trHeight w:val="300"/>
        </w:trPr>
        <w:tc>
          <w:tcPr>
            <w:gridSpan w:val="4"/>
            <w:tcBorders/>
            <w:tcW w:w="9918" w:type="dxa"/>
          </w:tcPr>
          <w:p w14:paraId="5EA73F27" w14:textId="77777777">
            <w:pPr>
              <w:pBdr/>
              <w:spacing/>
              <w:ind w:firstLine="720"/>
              <w:jc w:val="center"/>
              <w:rPr>
                <w:b/>
                <w:bCs/>
                <w:szCs w:val="24"/>
              </w:rPr>
            </w:pPr>
            <w:r>
              <w:rPr>
                <w:b/>
                <w:bCs/>
                <w:szCs w:val="24"/>
              </w:rPr>
              <w:t xml:space="preserve">9. ŠALIŲ ATSAKOMYBĖ</w:t>
            </w:r>
            <w:r>
              <w:rPr>
                <w:b/>
                <w:bCs/>
                <w:szCs w:val="24"/>
              </w:rPr>
              <w:tab/>
            </w:r>
            <w:r>
              <w:rPr>
                <w:b/>
                <w:bCs/>
                <w:szCs w:val="24"/>
              </w:rPr>
            </w:r>
            <w:r>
              <w:rPr>
                <w:b/>
                <w:bCs/>
                <w:szCs w:val="24"/>
              </w:rPr>
            </w:r>
          </w:p>
        </w:tc>
      </w:tr>
      <w:tr>
        <w:trPr>
          <w:trHeight w:val="300"/>
        </w:trPr>
        <w:tc>
          <w:tcPr>
            <w:gridSpan w:val="2"/>
            <w:tcBorders/>
            <w:tcW w:w="2706" w:type="dxa"/>
          </w:tcPr>
          <w:p w14:paraId="07F3E767" w14:textId="77777777">
            <w:pPr>
              <w:pBdr/>
              <w:spacing/>
              <w:ind/>
              <w:rPr>
                <w:b/>
                <w:bCs/>
                <w:szCs w:val="24"/>
              </w:rPr>
            </w:pPr>
            <w:r>
              <w:rPr>
                <w:b/>
                <w:bCs/>
                <w:szCs w:val="24"/>
              </w:rPr>
              <w:t xml:space="preserve">9.1. Pirkėjui taikomos netesybos už mokėjimų pagal Sutartį vėlavimą</w:t>
            </w:r>
            <w:r>
              <w:rPr>
                <w:b/>
                <w:bCs/>
                <w:szCs w:val="24"/>
              </w:rPr>
            </w:r>
            <w:r>
              <w:rPr>
                <w:b/>
                <w:bCs/>
                <w:szCs w:val="24"/>
              </w:rPr>
            </w:r>
          </w:p>
        </w:tc>
        <w:tc>
          <w:tcPr>
            <w:gridSpan w:val="2"/>
            <w:tcBorders/>
            <w:tcW w:w="7212" w:type="dxa"/>
          </w:tcPr>
          <w:p w14:paraId="3301201A" w14:textId="77777777">
            <w:pPr>
              <w:pBdr/>
              <w:spacing/>
              <w:ind/>
              <w:rPr>
                <w:color w:val="ff0000"/>
                <w:szCs w:val="24"/>
              </w:rPr>
            </w:pPr>
            <w:r>
              <w:rPr>
                <w:color w:val="000000"/>
                <w:szCs w:val="24"/>
              </w:rPr>
              <w:t xml:space="preserve">Jei Pirkėjas, gavęs tinkamai pateiktą ir užpildytą Sąskaitą, uždelsia atsiskaityti už tinkamai Tiekėjo  perduotą kokybišką Prekę per Sutartyje nurodytą terminą, Tiekėjas nuo kitos nei nustatytas terminas dienos skaičiuoja </w:t>
            </w:r>
            <w:r>
              <w:rPr>
                <w:szCs w:val="24"/>
              </w:rPr>
              <w:t xml:space="preserve">Pirkėjui 0,02 (dvi šimtosios) procento dydžio delspinigius nuo neapmokėtos sumos be PVM už kiekvieną vėlavimo dieną.  </w:t>
            </w:r>
            <w:r>
              <w:rPr>
                <w:color w:val="ff0000"/>
                <w:szCs w:val="24"/>
              </w:rPr>
            </w:r>
            <w:r>
              <w:rPr>
                <w:color w:val="ff0000"/>
                <w:szCs w:val="24"/>
              </w:rPr>
            </w:r>
          </w:p>
        </w:tc>
      </w:tr>
      <w:tr>
        <w:trPr>
          <w:trHeight w:val="300"/>
        </w:trPr>
        <w:tc>
          <w:tcPr>
            <w:gridSpan w:val="2"/>
            <w:tcBorders/>
            <w:tcW w:w="2706" w:type="dxa"/>
          </w:tcPr>
          <w:p w14:paraId="2C9C0A1B" w14:textId="77777777">
            <w:pPr>
              <w:pBdr/>
              <w:spacing/>
              <w:ind/>
              <w:rPr>
                <w:b/>
                <w:bCs/>
                <w:szCs w:val="24"/>
              </w:rPr>
            </w:pPr>
            <w:r>
              <w:rPr>
                <w:b/>
                <w:bCs/>
                <w:szCs w:val="24"/>
              </w:rPr>
              <w:t xml:space="preserve">9.2. Tiekėjui taikomos netesybos</w:t>
            </w:r>
            <w:r>
              <w:rPr>
                <w:b/>
                <w:bCs/>
                <w:szCs w:val="24"/>
              </w:rPr>
            </w:r>
            <w:r>
              <w:rPr>
                <w:b/>
                <w:bCs/>
                <w:szCs w:val="24"/>
              </w:rPr>
            </w:r>
          </w:p>
        </w:tc>
        <w:tc>
          <w:tcPr>
            <w:gridSpan w:val="2"/>
            <w:tcBorders/>
            <w:tcW w:w="7212" w:type="dxa"/>
          </w:tcPr>
          <w:p w14:paraId="793C8A58" w14:textId="77777777">
            <w:pPr>
              <w:pBdr/>
              <w:spacing/>
              <w:ind/>
              <w:rPr>
                <w:color w:val="000000"/>
                <w:szCs w:val="24"/>
              </w:rPr>
            </w:pPr>
            <w:r>
              <w:rPr>
                <w:color w:val="000000"/>
                <w:szCs w:val="24"/>
              </w:rPr>
              <w:t xml:space="preserve">9.2.1. Jeigu Tiekėjas vėluoja patiekti Prekę ar ištaisyti jos trūkumus arba nevykdo kitų sutartinių įsipareigojimų, Pirkėjas nuo </w:t>
            </w:r>
            <w:r>
              <w:rPr>
                <w:szCs w:val="24"/>
              </w:rPr>
              <w:t xml:space="preserve">kitos nei nustatytas terminas dienos Tiekėjui skaičiuoja 0,02 (dvi šimtosios) procento dydžio delspinigius už kiekvieną uždelstą dieną / savaitę / mėnesį nuo laiku neperduotų Prekių ar Prekių, turinčių trūkumų, kainos </w:t>
            </w:r>
            <w:r>
              <w:rPr>
                <w:color w:val="000000"/>
                <w:szCs w:val="24"/>
              </w:rPr>
              <w:t xml:space="preserve">be PVM. </w:t>
            </w:r>
            <w:r>
              <w:rPr>
                <w:color w:val="000000"/>
                <w:szCs w:val="24"/>
              </w:rPr>
            </w:r>
            <w:r>
              <w:rPr>
                <w:color w:val="000000"/>
                <w:szCs w:val="24"/>
              </w:rPr>
            </w:r>
          </w:p>
          <w:p w14:paraId="22943853" w14:textId="77777777">
            <w:pPr>
              <w:pBdr/>
              <w:spacing/>
              <w:ind/>
              <w:rPr>
                <w:color w:val="000000"/>
                <w:szCs w:val="24"/>
              </w:rPr>
            </w:pPr>
            <w:r>
              <w:rPr>
                <w:color w:val="000000"/>
                <w:szCs w:val="24"/>
                <w:lang w:val="lt"/>
              </w:rPr>
              <w:t xml:space="preserve">9.2.2. Jeigu Tiekėjas vėluoja grąžinti dėl Tiekėjui mokėtinos sumos sumažinimo susidariusią per</w:t>
            </w:r>
            <w:r>
              <w:rPr>
                <w:color w:val="000000"/>
                <w:szCs w:val="24"/>
                <w:lang w:val="lt"/>
              </w:rPr>
              <w:t xml:space="preserve">moką pagal Bendrųjų sąlygų 7.4.1.2 punktą, Pirkėjas nuo kitos nei nustatytas terminas dienos Tiekėjui skaičiuoja 0,02 (dvi šimtosios) procento dydžio delspinigius už kiekvieną uždelstą dieną / savaitę / mėnesį nuo laiku negrąžintos permokos, kainos be PVM.</w:t>
            </w:r>
            <w:r>
              <w:rPr>
                <w:color w:val="000000"/>
                <w:szCs w:val="24"/>
              </w:rPr>
            </w:r>
            <w:r>
              <w:rPr>
                <w:color w:val="000000"/>
                <w:szCs w:val="24"/>
              </w:rPr>
            </w:r>
          </w:p>
          <w:p w14:paraId="2B41806D" w14:textId="13C4DF05">
            <w:pPr>
              <w:pBdr/>
              <w:spacing/>
              <w:ind/>
              <w:rPr>
                <w:color w:val="000000"/>
                <w:szCs w:val="24"/>
              </w:rPr>
            </w:pPr>
            <w:r>
              <w:rPr>
                <w:color w:val="000000"/>
                <w:szCs w:val="24"/>
              </w:rPr>
              <w:t xml:space="preserve">9.2.3. Tiekėjas privalo sumokėti Pirkėjui netesybas p</w:t>
            </w:r>
            <w:r>
              <w:rPr>
                <w:color w:val="000000"/>
                <w:szCs w:val="24"/>
                <w:highlight w:val="none"/>
              </w:rPr>
              <w:t xml:space="preserve">er </w:t>
            </w:r>
            <w:r>
              <w:rPr>
                <w:color w:val="000000"/>
                <w:szCs w:val="24"/>
                <w:highlight w:val="none"/>
              </w:rPr>
              <w:t xml:space="preserve">10</w:t>
            </w:r>
            <w:r>
              <w:rPr>
                <w:color w:val="4472c4"/>
                <w:szCs w:val="24"/>
                <w:highlight w:val="none"/>
              </w:rPr>
              <w:t xml:space="preserve"> </w:t>
            </w:r>
            <w:r>
              <w:rPr>
                <w:color w:val="000000"/>
                <w:szCs w:val="24"/>
                <w:highlight w:val="none"/>
              </w:rPr>
              <w:t xml:space="preserve">d</w:t>
            </w:r>
            <w:r>
              <w:rPr>
                <w:color w:val="000000"/>
                <w:szCs w:val="24"/>
                <w:highlight w:val="none"/>
              </w:rPr>
              <w:t xml:space="preserve">ie</w:t>
            </w:r>
            <w:r>
              <w:rPr>
                <w:color w:val="000000"/>
                <w:szCs w:val="24"/>
              </w:rPr>
              <w:t xml:space="preserve">nų nuo Pirkėjo pareikalavimo, jeigu netesybų suma nėra išskaitoma iš Tiekėjui mokėtinos sumos.</w:t>
            </w:r>
            <w:r>
              <w:rPr>
                <w:color w:val="000000"/>
                <w:szCs w:val="24"/>
              </w:rPr>
            </w:r>
            <w:r>
              <w:rPr>
                <w:color w:val="000000"/>
                <w:szCs w:val="24"/>
              </w:rPr>
            </w:r>
          </w:p>
        </w:tc>
      </w:tr>
      <w:tr>
        <w:trPr>
          <w:trHeight w:val="300"/>
        </w:trPr>
        <w:tc>
          <w:tcPr>
            <w:gridSpan w:val="2"/>
            <w:tcBorders/>
            <w:tcW w:w="2706" w:type="dxa"/>
          </w:tcPr>
          <w:p w14:paraId="183DF44A" w14:textId="77777777">
            <w:pPr>
              <w:pBdr/>
              <w:spacing/>
              <w:ind/>
              <w:rPr>
                <w:b/>
                <w:bCs/>
                <w:szCs w:val="24"/>
              </w:rPr>
            </w:pPr>
            <w:r>
              <w:rPr>
                <w:b/>
                <w:bCs/>
                <w:szCs w:val="24"/>
              </w:rPr>
              <w:t xml:space="preserve">9.3. Tiekėjui / Pirkėjui taikoma bauda nutraukus Sutartį dėl esminio Sutarties pažeidimo</w:t>
            </w:r>
            <w:r>
              <w:rPr>
                <w:b/>
                <w:bCs/>
                <w:szCs w:val="24"/>
              </w:rPr>
            </w:r>
            <w:r>
              <w:rPr>
                <w:b/>
                <w:bCs/>
                <w:szCs w:val="24"/>
              </w:rPr>
            </w:r>
          </w:p>
        </w:tc>
        <w:tc>
          <w:tcPr>
            <w:gridSpan w:val="2"/>
            <w:tcBorders/>
            <w:tcW w:w="7212" w:type="dxa"/>
          </w:tcPr>
          <w:p w14:paraId="1BD17AB9" w14:textId="77777777">
            <w:pPr>
              <w:pBdr/>
              <w:spacing/>
              <w:ind/>
              <w:rPr>
                <w:szCs w:val="24"/>
              </w:rPr>
            </w:pPr>
            <w:r>
              <w:rPr>
                <w:szCs w:val="24"/>
              </w:rPr>
              <w:t xml:space="preserve">Nutraukus Sutartį dėl esminio Sutarties pažeidimo, nustatyto Sutarties Specialiosiose sąlygose, mokama 10 proc. dydžio bauda nuo Pradinės Sutarties vertės be PVM, nurodytos Specialiųjų sąlygų 5.2 punkte. </w:t>
            </w:r>
            <w:r>
              <w:rPr>
                <w:szCs w:val="24"/>
              </w:rPr>
            </w:r>
            <w:r>
              <w:rPr>
                <w:szCs w:val="24"/>
              </w:rPr>
            </w:r>
          </w:p>
          <w:p w14:paraId="4E5DDBC1" w14:textId="77777777">
            <w:pPr>
              <w:pBdr/>
              <w:spacing/>
              <w:ind/>
              <w:rPr>
                <w:szCs w:val="24"/>
              </w:rPr>
            </w:pPr>
            <w:r>
              <w:rPr>
                <w:szCs w:val="24"/>
              </w:rPr>
            </w:r>
            <w:r>
              <w:rPr>
                <w:szCs w:val="24"/>
              </w:rPr>
            </w:r>
            <w:r>
              <w:rPr>
                <w:szCs w:val="24"/>
              </w:rPr>
            </w:r>
          </w:p>
        </w:tc>
      </w:tr>
      <w:tr>
        <w:trPr>
          <w:trHeight w:val="300"/>
        </w:trPr>
        <w:tc>
          <w:tcPr>
            <w:gridSpan w:val="2"/>
            <w:tcBorders/>
            <w:tcW w:w="2706" w:type="dxa"/>
          </w:tcPr>
          <w:p w14:paraId="657FF4DA" w14:textId="77777777">
            <w:pPr>
              <w:pBdr/>
              <w:spacing/>
              <w:ind/>
              <w:rPr>
                <w:b/>
                <w:bCs/>
                <w:szCs w:val="24"/>
              </w:rPr>
            </w:pPr>
            <w:r>
              <w:rPr>
                <w:b/>
                <w:bCs/>
              </w:rPr>
              <w:t xml:space="preserve">9.4. Tiekėjui taikoma bauda dėl esamų subtiekėjų ar specialistų pakeitimo / naujų subtiekėjų pasitelkimo nesilaikant Bendrosiose sąlygose nurodytos subtiekėjų ir (ar) specialistų keitimo tvarkos </w:t>
            </w:r>
            <w:r>
              <w:rPr>
                <w:b/>
                <w:bCs/>
                <w:szCs w:val="24"/>
              </w:rPr>
            </w:r>
            <w:r>
              <w:rPr>
                <w:b/>
                <w:bCs/>
                <w:szCs w:val="24"/>
              </w:rPr>
            </w:r>
          </w:p>
        </w:tc>
        <w:tc>
          <w:tcPr>
            <w:gridSpan w:val="2"/>
            <w:tcBorders/>
            <w:tcW w:w="7212" w:type="dxa"/>
          </w:tcPr>
          <w:p w14:paraId="78E13BB1" w14:textId="77777777">
            <w:pPr>
              <w:pBdr/>
              <w:spacing/>
              <w:ind/>
              <w:rPr>
                <w:szCs w:val="24"/>
              </w:rPr>
            </w:pPr>
            <w:r>
              <w:t xml:space="preserve">Netaikoma</w:t>
            </w:r>
            <w:r>
              <w:rPr>
                <w:szCs w:val="24"/>
              </w:rPr>
            </w:r>
            <w:r>
              <w:rPr>
                <w:szCs w:val="24"/>
              </w:rPr>
            </w:r>
          </w:p>
        </w:tc>
      </w:tr>
      <w:tr>
        <w:trPr>
          <w:trHeight w:val="300"/>
        </w:trPr>
        <w:tc>
          <w:tcPr>
            <w:gridSpan w:val="2"/>
            <w:tcBorders/>
            <w:tcW w:w="2706" w:type="dxa"/>
          </w:tcPr>
          <w:p w14:paraId="0A8FE12A" w14:textId="77777777">
            <w:pPr>
              <w:pBdr/>
              <w:spacing/>
              <w:ind/>
              <w:rPr>
                <w:b/>
                <w:bCs/>
              </w:rPr>
            </w:pPr>
            <w:r>
              <w:rPr>
                <w:b/>
                <w:bCs/>
              </w:rPr>
              <w:t xml:space="preserve">9.5. Tiekėjui taikomos baudos dėl aplinkosauginių ir (arba) socialinių kriterijų nesilaikymo</w:t>
            </w:r>
            <w:r>
              <w:rPr>
                <w:b/>
                <w:bCs/>
              </w:rPr>
            </w:r>
            <w:r>
              <w:rPr>
                <w:b/>
                <w:bCs/>
              </w:rPr>
            </w:r>
          </w:p>
        </w:tc>
        <w:tc>
          <w:tcPr>
            <w:gridSpan w:val="2"/>
            <w:tcBorders/>
            <w:tcW w:w="7212" w:type="dxa"/>
          </w:tcPr>
          <w:p w14:paraId="4CBDCF84" w14:textId="77777777">
            <w:pPr>
              <w:pBdr/>
              <w:spacing/>
              <w:ind/>
              <w:rPr/>
            </w:pPr>
            <w:r>
              <w:t xml:space="preserve">Netaikoma</w:t>
            </w:r>
            <w:r/>
          </w:p>
        </w:tc>
      </w:tr>
      <w:tr>
        <w:trPr>
          <w:trHeight w:val="300"/>
        </w:trPr>
        <w:tc>
          <w:tcPr>
            <w:gridSpan w:val="2"/>
            <w:tcBorders/>
            <w:tcW w:w="2706" w:type="dxa"/>
          </w:tcPr>
          <w:p w14:paraId="2047F29F" w14:textId="77777777">
            <w:pPr>
              <w:pBdr/>
              <w:spacing/>
              <w:ind/>
              <w:rPr>
                <w:b/>
                <w:bCs/>
              </w:rPr>
            </w:pPr>
            <w:r>
              <w:rPr>
                <w:b/>
                <w:bCs/>
              </w:rPr>
              <w:t xml:space="preserve">9.6. Tiekėjui / Pirkėjui taikoma bauda dėl konfidencialumo reikalavimų nesilaikymo</w:t>
            </w:r>
            <w:r>
              <w:rPr>
                <w:b/>
                <w:bCs/>
              </w:rPr>
            </w:r>
            <w:r>
              <w:rPr>
                <w:b/>
                <w:bCs/>
              </w:rPr>
            </w:r>
          </w:p>
        </w:tc>
        <w:tc>
          <w:tcPr>
            <w:gridSpan w:val="2"/>
            <w:tcBorders/>
            <w:tcW w:w="7212" w:type="dxa"/>
          </w:tcPr>
          <w:p w14:paraId="03337BCE" w14:textId="77777777">
            <w:pPr>
              <w:pBdr/>
              <w:spacing/>
              <w:ind/>
              <w:rPr/>
            </w:pPr>
            <w:r>
              <w:t xml:space="preserve">Netaikoma</w:t>
            </w:r>
            <w:r/>
          </w:p>
        </w:tc>
      </w:tr>
      <w:tr>
        <w:trPr>
          <w:trHeight w:val="300"/>
        </w:trPr>
        <w:tc>
          <w:tcPr>
            <w:gridSpan w:val="2"/>
            <w:tcBorders/>
            <w:tcW w:w="2706" w:type="dxa"/>
          </w:tcPr>
          <w:p w14:paraId="3E1DD15B" w14:textId="77777777">
            <w:pPr>
              <w:pBdr/>
              <w:spacing/>
              <w:ind/>
              <w:rPr>
                <w:b/>
                <w:bCs/>
              </w:rPr>
            </w:pPr>
            <w:r>
              <w:rPr>
                <w:b/>
                <w:bCs/>
              </w:rPr>
              <w:t xml:space="preserve">9.7. Tiekėjui taikomos netesybos dėl pirkimo dokumentuose nustatytų Kokybinių kriterijų </w:t>
            </w:r>
            <w:r>
              <w:rPr>
                <w:b/>
                <w:bCs/>
              </w:rPr>
              <w:t xml:space="preserve">nepasiekimo</w:t>
            </w:r>
            <w:r>
              <w:rPr>
                <w:b/>
                <w:bCs/>
              </w:rPr>
              <w:t xml:space="preserve"> Sutarties vykdymo metu</w:t>
            </w:r>
            <w:r>
              <w:rPr>
                <w:b/>
                <w:bCs/>
              </w:rPr>
            </w:r>
            <w:r>
              <w:rPr>
                <w:b/>
                <w:bCs/>
              </w:rPr>
            </w:r>
          </w:p>
        </w:tc>
        <w:tc>
          <w:tcPr>
            <w:gridSpan w:val="2"/>
            <w:tcBorders/>
            <w:tcW w:w="7212" w:type="dxa"/>
          </w:tcPr>
          <w:p w14:paraId="18F55D63" w14:textId="77777777">
            <w:pPr>
              <w:pBdr/>
              <w:spacing/>
              <w:ind/>
              <w:rPr/>
            </w:pPr>
            <w:r>
              <w:t xml:space="preserve">Netaikoma</w:t>
            </w:r>
            <w:r/>
          </w:p>
        </w:tc>
      </w:tr>
      <w:tr>
        <w:trPr>
          <w:trHeight w:val="300"/>
        </w:trPr>
        <w:tc>
          <w:tcPr>
            <w:gridSpan w:val="2"/>
            <w:tcBorders/>
            <w:tcW w:w="2706" w:type="dxa"/>
          </w:tcPr>
          <w:p w14:paraId="2E5E6CB8" w14:textId="77777777">
            <w:pPr>
              <w:pBdr/>
              <w:spacing/>
              <w:ind/>
              <w:rPr>
                <w:b/>
                <w:bCs/>
              </w:rPr>
            </w:pPr>
            <w:r>
              <w:rPr>
                <w:b/>
                <w:bCs/>
              </w:rPr>
              <w:t xml:space="preserve">9.8. Tiekėjui taikomos netesybos dėl Sutarties įvykdymo užtikrinimo nepratęsimo</w:t>
            </w:r>
            <w:r>
              <w:rPr>
                <w:b/>
                <w:bCs/>
              </w:rPr>
            </w:r>
            <w:r>
              <w:rPr>
                <w:b/>
                <w:bCs/>
              </w:rPr>
            </w:r>
          </w:p>
        </w:tc>
        <w:tc>
          <w:tcPr>
            <w:gridSpan w:val="2"/>
            <w:tcBorders/>
            <w:tcW w:w="7212" w:type="dxa"/>
          </w:tcPr>
          <w:p w14:paraId="777DAB3A" w14:textId="77777777">
            <w:pPr>
              <w:pBdr/>
              <w:spacing/>
              <w:ind/>
              <w:rPr/>
            </w:pPr>
            <w:r>
              <w:t xml:space="preserve">Netaikoma</w:t>
            </w:r>
            <w:r/>
          </w:p>
        </w:tc>
      </w:tr>
      <w:tr>
        <w:trPr>
          <w:trHeight w:val="300"/>
        </w:trPr>
        <w:tc>
          <w:tcPr>
            <w:gridSpan w:val="2"/>
            <w:tcBorders/>
            <w:tcW w:w="2706" w:type="dxa"/>
          </w:tcPr>
          <w:p w14:paraId="57F2418F" w14:textId="77777777">
            <w:pPr>
              <w:pBdr/>
              <w:spacing/>
              <w:ind/>
              <w:rPr>
                <w:b/>
                <w:bCs/>
              </w:rPr>
            </w:pPr>
            <w:r>
              <w:rPr>
                <w:b/>
                <w:bCs/>
              </w:rPr>
              <w:t xml:space="preserve">9.9. Tiekėjui taikoma bauda dėl Pirkėjo simbolių, pavadinimo ir ženklo reklamoje ar rinkodaroje naudojimo reikalavimų nesilaikymo bei draudimo naudotis Pirkėjo sukurtais intelektiniais veiklos rezultatais nesilaikymo</w:t>
            </w:r>
            <w:r>
              <w:rPr>
                <w:b/>
                <w:bCs/>
              </w:rPr>
            </w:r>
            <w:r>
              <w:rPr>
                <w:b/>
                <w:bCs/>
              </w:rPr>
            </w:r>
          </w:p>
        </w:tc>
        <w:tc>
          <w:tcPr>
            <w:gridSpan w:val="2"/>
            <w:tcBorders/>
            <w:tcW w:w="7212" w:type="dxa"/>
          </w:tcPr>
          <w:p w14:paraId="03C9E5EB" w14:textId="77777777">
            <w:pPr>
              <w:pBdr/>
              <w:spacing/>
              <w:ind/>
              <w:rPr/>
            </w:pPr>
            <w:r>
              <w:t xml:space="preserve">Netaikoma</w:t>
            </w:r>
            <w:r/>
          </w:p>
        </w:tc>
      </w:tr>
      <w:tr>
        <w:trPr>
          <w:trHeight w:val="300"/>
        </w:trPr>
        <w:tc>
          <w:tcPr>
            <w:gridSpan w:val="4"/>
            <w:tcBorders/>
            <w:tcW w:w="9918" w:type="dxa"/>
          </w:tcPr>
          <w:p w14:paraId="781885D5" w14:textId="77777777">
            <w:pPr>
              <w:pBdr/>
              <w:spacing/>
              <w:ind/>
              <w:jc w:val="center"/>
              <w:rPr>
                <w:b/>
                <w:bCs/>
                <w:szCs w:val="24"/>
              </w:rPr>
            </w:pPr>
            <w:r>
              <w:rPr>
                <w:b/>
                <w:szCs w:val="24"/>
              </w:rPr>
              <w:t xml:space="preserve">10. ESMINĖS SUTARTIES SĄLYGOS</w:t>
            </w:r>
            <w:r>
              <w:rPr>
                <w:b/>
                <w:bCs/>
                <w:szCs w:val="24"/>
              </w:rPr>
            </w:r>
            <w:r>
              <w:rPr>
                <w:b/>
                <w:bCs/>
                <w:szCs w:val="24"/>
              </w:rPr>
            </w:r>
          </w:p>
        </w:tc>
      </w:tr>
      <w:tr>
        <w:trPr>
          <w:trHeight w:val="300"/>
        </w:trPr>
        <w:tc>
          <w:tcPr>
            <w:gridSpan w:val="2"/>
            <w:tcBorders/>
            <w:tcW w:w="2706" w:type="dxa"/>
          </w:tcPr>
          <w:p w14:paraId="44E1FC39" w14:textId="77777777">
            <w:pPr>
              <w:pBdr/>
              <w:spacing/>
              <w:ind/>
              <w:rPr>
                <w:b/>
                <w:bCs/>
                <w:highlight w:val="none"/>
              </w:rPr>
            </w:pPr>
            <w:r>
              <w:rPr>
                <w:b/>
                <w:bCs/>
                <w:highlight w:val="none"/>
              </w:rPr>
              <w:t xml:space="preserve">10.1. Esminės Sutarties sąlygos</w:t>
            </w:r>
            <w:r>
              <w:rPr>
                <w:b/>
                <w:bCs/>
                <w:highlight w:val="none"/>
              </w:rPr>
            </w:r>
            <w:r>
              <w:rPr>
                <w:b/>
                <w:bCs/>
                <w:highlight w:val="none"/>
              </w:rPr>
            </w:r>
          </w:p>
        </w:tc>
        <w:tc>
          <w:tcPr>
            <w:gridSpan w:val="2"/>
            <w:tcBorders/>
            <w:tcW w:w="7212" w:type="dxa"/>
          </w:tcPr>
          <w:p w14:paraId="2C95E77B"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10.1.1. Prekių pristatymo ir sumontavimo terminas;</w:t>
            </w:r>
            <w:r>
              <w:rPr>
                <w:highlight w:val="none"/>
              </w:rPr>
            </w:r>
            <w:r>
              <w:rPr>
                <w:highlight w:val="none"/>
              </w:rPr>
            </w:r>
          </w:p>
          <w:p w14:paraId="0DDE2C2F"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10.1.2. Pristatytų prekių atitikimas pagal techninę specifikaciją ir </w:t>
            </w:r>
            <w:r>
              <w:rPr>
                <w:highlight w:val="none"/>
              </w:rPr>
            </w:r>
            <w:r>
              <w:rPr>
                <w:highlight w:val="none"/>
              </w:rPr>
            </w:r>
          </w:p>
          <w:p w14:paraId="1F51BA07"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kokybė.</w:t>
            </w:r>
            <w:r>
              <w:rPr>
                <w:highlight w:val="none"/>
              </w:rPr>
            </w:r>
            <w:r>
              <w:rPr>
                <w:highlight w:val="none"/>
              </w:rPr>
            </w:r>
          </w:p>
        </w:tc>
      </w:tr>
      <w:tr>
        <w:trPr>
          <w:trHeight w:val="300"/>
        </w:trPr>
        <w:tc>
          <w:tcPr>
            <w:gridSpan w:val="2"/>
            <w:tcBorders/>
            <w:tcW w:w="2706" w:type="dxa"/>
          </w:tcPr>
          <w:p w14:paraId="30003959" w14:textId="77777777">
            <w:pPr>
              <w:pBdr/>
              <w:spacing/>
              <w:ind/>
              <w:rPr>
                <w:b/>
                <w:bCs/>
                <w:szCs w:val="24"/>
              </w:rPr>
            </w:pPr>
            <w:r>
              <w:rPr>
                <w:b/>
                <w:bCs/>
                <w:szCs w:val="24"/>
              </w:rPr>
              <w:t xml:space="preserve">10.2. Dideli arba nuolatiniai esminės Sutarties sąlygos vykdymo trūkumai</w:t>
            </w:r>
            <w:r>
              <w:rPr>
                <w:b/>
                <w:bCs/>
                <w:szCs w:val="24"/>
              </w:rPr>
            </w:r>
            <w:r>
              <w:rPr>
                <w:b/>
                <w:bCs/>
                <w:szCs w:val="24"/>
              </w:rPr>
            </w:r>
          </w:p>
        </w:tc>
        <w:tc>
          <w:tcPr>
            <w:gridSpan w:val="2"/>
            <w:tcBorders/>
            <w:tcW w:w="7212" w:type="dxa"/>
          </w:tcPr>
          <w:p w14:paraId="13A4D6F0" w14:textId="77777777">
            <w:pPr>
              <w:pBdr/>
              <w:spacing/>
              <w:ind/>
              <w:rPr>
                <w:szCs w:val="24"/>
              </w:rPr>
            </w:pPr>
            <w:r>
              <w:rPr>
                <w:szCs w:val="24"/>
              </w:rPr>
              <w:t xml:space="preserve">Netaikoma </w:t>
            </w:r>
            <w:r>
              <w:rPr>
                <w:szCs w:val="24"/>
              </w:rPr>
            </w:r>
            <w:r>
              <w:rPr>
                <w:szCs w:val="24"/>
              </w:rPr>
            </w:r>
          </w:p>
          <w:p w14:paraId="35D6733B" w14:textId="77777777">
            <w:pPr>
              <w:pBdr/>
              <w:spacing/>
              <w:ind/>
              <w:rPr>
                <w:szCs w:val="24"/>
              </w:rPr>
            </w:pPr>
            <w:r>
              <w:rPr>
                <w:szCs w:val="24"/>
              </w:rPr>
            </w:r>
            <w:r>
              <w:rPr>
                <w:szCs w:val="24"/>
              </w:rPr>
            </w:r>
            <w:r>
              <w:rPr>
                <w:szCs w:val="24"/>
              </w:rPr>
            </w:r>
          </w:p>
        </w:tc>
      </w:tr>
      <w:tr>
        <w:trPr>
          <w:trHeight w:val="300"/>
        </w:trPr>
        <w:tc>
          <w:tcPr>
            <w:gridSpan w:val="4"/>
            <w:tcBorders/>
            <w:tcW w:w="9918" w:type="dxa"/>
          </w:tcPr>
          <w:p w14:paraId="0C108EF0" w14:textId="77777777">
            <w:pPr>
              <w:pBdr/>
              <w:spacing/>
              <w:ind/>
              <w:jc w:val="center"/>
              <w:rPr>
                <w:b/>
                <w:bCs/>
                <w:szCs w:val="24"/>
              </w:rPr>
            </w:pPr>
            <w:r>
              <w:rPr>
                <w:b/>
                <w:bCs/>
                <w:szCs w:val="24"/>
              </w:rPr>
              <w:t xml:space="preserve">11. SUTARTIES GALIOJIMAS IR KEITIMAS</w:t>
            </w:r>
            <w:r>
              <w:rPr>
                <w:b/>
                <w:bCs/>
                <w:szCs w:val="24"/>
              </w:rPr>
            </w:r>
            <w:r>
              <w:rPr>
                <w:b/>
                <w:bCs/>
                <w:szCs w:val="24"/>
              </w:rPr>
            </w:r>
          </w:p>
        </w:tc>
      </w:tr>
      <w:tr>
        <w:trPr>
          <w:trHeight w:val="300"/>
        </w:trPr>
        <w:tc>
          <w:tcPr>
            <w:gridSpan w:val="2"/>
            <w:tcBorders/>
            <w:tcW w:w="2706" w:type="dxa"/>
          </w:tcPr>
          <w:p w14:paraId="59588641" w14:textId="77777777">
            <w:pPr>
              <w:pBdr/>
              <w:spacing/>
              <w:ind/>
              <w:rPr>
                <w:b/>
                <w:bCs/>
                <w:szCs w:val="24"/>
              </w:rPr>
            </w:pPr>
            <w:r>
              <w:rPr>
                <w:b/>
                <w:bCs/>
                <w:szCs w:val="24"/>
              </w:rPr>
              <w:t xml:space="preserve">11.1. Sutarties sudarymas ir įsigaliojimas</w:t>
            </w:r>
            <w:r>
              <w:rPr>
                <w:b/>
                <w:bCs/>
                <w:szCs w:val="24"/>
              </w:rPr>
            </w:r>
            <w:r>
              <w:rPr>
                <w:b/>
                <w:bCs/>
                <w:szCs w:val="24"/>
              </w:rPr>
            </w:r>
          </w:p>
        </w:tc>
        <w:tc>
          <w:tcPr>
            <w:gridSpan w:val="2"/>
            <w:tcBorders/>
            <w:tcW w:w="7212" w:type="dxa"/>
          </w:tcPr>
          <w:p w14:paraId="34236021" w14:textId="77777777">
            <w:pPr>
              <w:pBdr/>
              <w:spacing/>
              <w:ind/>
              <w:rPr>
                <w:szCs w:val="24"/>
              </w:rPr>
            </w:pPr>
            <w:r>
              <w:rPr>
                <w:szCs w:val="24"/>
              </w:rPr>
              <w:t xml:space="preserve">Ši Sutartis laikoma sudaryta, kai (pirma) ją pasirašo abi Šalys, ir (antra) pateikiamas sutarties įvykdymo užtikrinimas.</w:t>
            </w:r>
            <w:r>
              <w:rPr>
                <w:szCs w:val="24"/>
              </w:rPr>
            </w:r>
            <w:r>
              <w:rPr>
                <w:szCs w:val="24"/>
              </w:rPr>
            </w:r>
          </w:p>
          <w:p w14:paraId="4C2B96C6" w14:textId="77777777">
            <w:pPr>
              <w:pBdr/>
              <w:spacing/>
              <w:ind/>
              <w:rPr>
                <w:szCs w:val="24"/>
              </w:rPr>
            </w:pPr>
            <w:r>
              <w:rPr>
                <w:szCs w:val="24"/>
              </w:rPr>
              <w:t xml:space="preserve">Sutartis galioja iki visiško prievolių įvykdymo.</w:t>
            </w:r>
            <w:r>
              <w:rPr>
                <w:szCs w:val="24"/>
              </w:rPr>
            </w:r>
            <w:r>
              <w:rPr>
                <w:szCs w:val="24"/>
              </w:rPr>
            </w:r>
          </w:p>
          <w:p w14:paraId="3F43FA07" w14:textId="77777777">
            <w:pPr>
              <w:pBdr/>
              <w:spacing/>
              <w:ind/>
              <w:rPr>
                <w:color w:val="4472c4"/>
                <w:szCs w:val="24"/>
              </w:rPr>
            </w:pPr>
            <w:r>
              <w:rPr>
                <w:color w:val="4472c4"/>
                <w:szCs w:val="24"/>
              </w:rPr>
            </w:r>
            <w:r>
              <w:rPr>
                <w:color w:val="4472c4"/>
                <w:szCs w:val="24"/>
              </w:rPr>
            </w:r>
            <w:r>
              <w:rPr>
                <w:color w:val="4472c4"/>
                <w:szCs w:val="24"/>
              </w:rPr>
            </w:r>
          </w:p>
        </w:tc>
      </w:tr>
      <w:tr>
        <w:trPr>
          <w:trHeight w:val="300"/>
        </w:trPr>
        <w:tc>
          <w:tcPr>
            <w:gridSpan w:val="2"/>
            <w:tcBorders/>
            <w:tcW w:w="2706" w:type="dxa"/>
          </w:tcPr>
          <w:p w14:paraId="623D2DC3" w14:textId="77777777">
            <w:pPr>
              <w:pBdr/>
              <w:spacing/>
              <w:ind/>
              <w:rPr>
                <w:b/>
                <w:bCs/>
                <w:szCs w:val="24"/>
              </w:rPr>
            </w:pPr>
            <w:r>
              <w:rPr>
                <w:b/>
                <w:bCs/>
                <w:szCs w:val="24"/>
              </w:rPr>
              <w:t xml:space="preserve">11.2. Sutarties galiojimo termino pratęsimas</w:t>
            </w:r>
            <w:r>
              <w:rPr>
                <w:b/>
                <w:bCs/>
                <w:szCs w:val="24"/>
              </w:rPr>
            </w:r>
            <w:r>
              <w:rPr>
                <w:b/>
                <w:bCs/>
                <w:szCs w:val="24"/>
              </w:rPr>
            </w:r>
          </w:p>
        </w:tc>
        <w:tc>
          <w:tcPr>
            <w:gridSpan w:val="2"/>
            <w:tcBorders/>
            <w:tcW w:w="7212" w:type="dxa"/>
          </w:tcPr>
          <w:p w14:paraId="60117C16" w14:textId="77777777">
            <w:pPr>
              <w:pBdr/>
              <w:spacing/>
              <w:ind/>
              <w:rPr>
                <w:szCs w:val="24"/>
              </w:rPr>
            </w:pPr>
            <w:r>
              <w:rPr>
                <w:szCs w:val="24"/>
              </w:rPr>
              <w:t xml:space="preserve">Šalių abipusiu rašytiniu Susitarimu Sutartis tomis pačiomis sąlygomis nedidinant Sutarties kainos, gali būti pratęsta 1 (vieną) kartą 1 (vienam) mėnesiui.</w:t>
            </w:r>
            <w:r>
              <w:rPr>
                <w:szCs w:val="24"/>
              </w:rPr>
            </w:r>
            <w:r>
              <w:rPr>
                <w:szCs w:val="24"/>
              </w:rPr>
            </w:r>
          </w:p>
        </w:tc>
      </w:tr>
      <w:tr>
        <w:trPr>
          <w:trHeight w:val="300"/>
        </w:trPr>
        <w:tc>
          <w:tcPr>
            <w:gridSpan w:val="4"/>
            <w:tcBorders/>
            <w:tcW w:w="9918" w:type="dxa"/>
          </w:tcPr>
          <w:p w14:paraId="3310248C" w14:textId="77777777">
            <w:pPr>
              <w:pBdr/>
              <w:spacing/>
              <w:ind/>
              <w:jc w:val="center"/>
              <w:rPr>
                <w:b/>
                <w:bCs/>
                <w:szCs w:val="24"/>
              </w:rPr>
            </w:pPr>
            <w:r>
              <w:rPr>
                <w:b/>
                <w:bCs/>
                <w:szCs w:val="24"/>
              </w:rPr>
              <w:t xml:space="preserve">12. SUTARTIES NUTRAUKIMAS</w:t>
            </w:r>
            <w:r>
              <w:rPr>
                <w:b/>
                <w:bCs/>
                <w:szCs w:val="24"/>
              </w:rPr>
            </w:r>
            <w:r>
              <w:rPr>
                <w:b/>
                <w:bCs/>
                <w:szCs w:val="24"/>
              </w:rPr>
            </w:r>
          </w:p>
        </w:tc>
      </w:tr>
      <w:tr>
        <w:trPr>
          <w:trHeight w:val="300"/>
        </w:trPr>
        <w:tc>
          <w:tcPr>
            <w:tcBorders/>
            <w:tcW w:w="2689" w:type="dxa"/>
          </w:tcPr>
          <w:p w14:paraId="59387790" w14:textId="77777777">
            <w:pPr>
              <w:pBdr/>
              <w:spacing/>
              <w:ind/>
              <w:rPr>
                <w:b/>
                <w:bCs/>
                <w:szCs w:val="24"/>
              </w:rPr>
            </w:pPr>
            <w:r>
              <w:rPr>
                <w:b/>
                <w:bCs/>
                <w:szCs w:val="24"/>
              </w:rPr>
              <w:t xml:space="preserve">12.1. Sutarties nutraukimo pagrindai</w:t>
            </w:r>
            <w:r>
              <w:rPr>
                <w:b/>
                <w:bCs/>
                <w:szCs w:val="24"/>
              </w:rPr>
            </w:r>
            <w:r>
              <w:rPr>
                <w:b/>
                <w:bCs/>
                <w:szCs w:val="24"/>
              </w:rPr>
            </w:r>
          </w:p>
        </w:tc>
        <w:tc>
          <w:tcPr>
            <w:gridSpan w:val="3"/>
            <w:tcBorders/>
            <w:tcW w:w="7229" w:type="dxa"/>
          </w:tcPr>
          <w:p w14:paraId="664FA999" w14:textId="77777777">
            <w:pPr>
              <w:pBdr/>
              <w:spacing/>
              <w:ind/>
              <w:rPr>
                <w:szCs w:val="24"/>
              </w:rPr>
            </w:pPr>
            <w:r>
              <w:rPr>
                <w:szCs w:val="24"/>
              </w:rPr>
              <w:t xml:space="preserve">Sutartis gali būti nutraukiama rašytiniu Šalių susitarimu arba vienašališkai, Bendrosiose sąlygose nustatyta tvarka.</w:t>
            </w:r>
            <w:r>
              <w:rPr>
                <w:szCs w:val="24"/>
              </w:rPr>
            </w:r>
            <w:r>
              <w:rPr>
                <w:szCs w:val="24"/>
              </w:rPr>
            </w:r>
          </w:p>
          <w:p w14:paraId="192A4E11" w14:textId="77777777">
            <w:pPr>
              <w:pBdr/>
              <w:spacing/>
              <w:ind/>
              <w:rPr>
                <w:color w:val="4472c4"/>
                <w:szCs w:val="24"/>
              </w:rPr>
            </w:pPr>
            <w:r>
              <w:rPr>
                <w:color w:val="4472c4"/>
                <w:szCs w:val="24"/>
              </w:rPr>
            </w:r>
            <w:r>
              <w:rPr>
                <w:color w:val="4472c4"/>
                <w:szCs w:val="24"/>
              </w:rPr>
            </w:r>
            <w:r>
              <w:rPr>
                <w:color w:val="4472c4"/>
                <w:szCs w:val="24"/>
              </w:rPr>
            </w:r>
          </w:p>
        </w:tc>
      </w:tr>
      <w:tr>
        <w:trPr>
          <w:trHeight w:val="300"/>
        </w:trPr>
        <w:tc>
          <w:tcPr>
            <w:tcBorders/>
            <w:tcW w:w="2689" w:type="dxa"/>
          </w:tcPr>
          <w:p w14:paraId="64D0E294" w14:textId="77777777">
            <w:pPr>
              <w:pBdr/>
              <w:spacing/>
              <w:ind/>
              <w:rPr>
                <w:b/>
                <w:bCs/>
                <w:szCs w:val="24"/>
              </w:rPr>
            </w:pPr>
            <w:r>
              <w:rPr>
                <w:b/>
                <w:bCs/>
                <w:szCs w:val="24"/>
              </w:rPr>
              <w:t xml:space="preserve">12.2. Esminiai Sutarties pažeidimai</w:t>
            </w:r>
            <w:r>
              <w:rPr>
                <w:b/>
                <w:bCs/>
                <w:szCs w:val="24"/>
              </w:rPr>
            </w:r>
            <w:r>
              <w:rPr>
                <w:b/>
                <w:bCs/>
                <w:szCs w:val="24"/>
              </w:rPr>
            </w:r>
          </w:p>
          <w:p w14:paraId="3C9124C1" w14:textId="77777777">
            <w:pPr>
              <w:pBdr/>
              <w:spacing/>
              <w:ind/>
              <w:rPr>
                <w:b/>
                <w:bCs/>
                <w:szCs w:val="24"/>
              </w:rPr>
            </w:pPr>
            <w:r>
              <w:rPr>
                <w:b/>
                <w:bCs/>
                <w:szCs w:val="24"/>
              </w:rPr>
            </w:r>
            <w:r>
              <w:rPr>
                <w:b/>
                <w:bCs/>
                <w:szCs w:val="24"/>
              </w:rPr>
            </w:r>
            <w:r>
              <w:rPr>
                <w:b/>
                <w:bCs/>
                <w:szCs w:val="24"/>
              </w:rPr>
            </w:r>
          </w:p>
        </w:tc>
        <w:tc>
          <w:tcPr>
            <w:gridSpan w:val="3"/>
            <w:tcBorders/>
            <w:tcW w:w="7229" w:type="dxa"/>
          </w:tcPr>
          <w:p w14:paraId="273BC38D" w14:textId="77777777">
            <w:pPr>
              <w:pBdr/>
              <w:spacing/>
              <w:ind/>
              <w:rPr>
                <w:szCs w:val="24"/>
              </w:rPr>
            </w:pPr>
            <w:r>
              <w:rPr>
                <w:szCs w:val="24"/>
              </w:rPr>
              <w:t xml:space="preserve">11.2.1. jeigu Tiekėjas nevykdo prisiimtų įsipareigojimų už Sutartyje nustatytą Sutarties kainą;</w:t>
            </w:r>
            <w:r>
              <w:rPr>
                <w:szCs w:val="24"/>
              </w:rPr>
            </w:r>
            <w:r>
              <w:rPr>
                <w:szCs w:val="24"/>
              </w:rPr>
            </w:r>
          </w:p>
          <w:p w14:paraId="3AC9BDFB" w14:textId="77777777">
            <w:pPr>
              <w:pBdr/>
              <w:spacing w:line="257" w:lineRule="auto"/>
              <w:ind/>
              <w:jc w:val="both"/>
              <w:rPr>
                <w:rFonts w:eastAsia="Arial"/>
                <w:szCs w:val="24"/>
                <w:lang w:val="lt"/>
              </w:rPr>
            </w:pPr>
            <w:r>
              <w:rPr>
                <w:rFonts w:eastAsia="Arial"/>
                <w:szCs w:val="24"/>
                <w:lang w:val="lt"/>
              </w:rPr>
              <w:t xml:space="preserve">11.2.2. jeigu Tiekėjas vėluoja pristatyti Prekę daugiau nei 30 kalendorinių dienų nuo Sutartyje nustatyto Prekės pristatymo termino;</w:t>
            </w:r>
            <w:r>
              <w:rPr>
                <w:rFonts w:eastAsia="Arial"/>
                <w:szCs w:val="24"/>
                <w:lang w:val="lt"/>
              </w:rPr>
            </w:r>
            <w:r>
              <w:rPr>
                <w:rFonts w:eastAsia="Arial"/>
                <w:szCs w:val="24"/>
                <w:lang w:val="lt"/>
              </w:rPr>
            </w:r>
          </w:p>
          <w:p w14:paraId="688A2424" w14:textId="77777777">
            <w:pPr>
              <w:pBdr/>
              <w:tabs>
                <w:tab w:val="left" w:leader="none" w:pos="567"/>
                <w:tab w:val="left" w:leader="none" w:pos="851"/>
                <w:tab w:val="left" w:leader="none" w:pos="992"/>
                <w:tab w:val="left" w:leader="none" w:pos="1134"/>
              </w:tabs>
              <w:spacing w:line="257" w:lineRule="auto"/>
              <w:ind/>
              <w:jc w:val="both"/>
              <w:rPr>
                <w:rFonts w:eastAsia="Arial"/>
                <w:szCs w:val="24"/>
                <w:lang w:val="lt"/>
              </w:rPr>
            </w:pPr>
            <w:r>
              <w:rPr>
                <w:rFonts w:eastAsia="Arial"/>
                <w:szCs w:val="24"/>
                <w:lang w:val="lt"/>
              </w:rPr>
              <w:t xml:space="preserve">11.2.3. Tiekėjas pristato Prekę, kuri neatitinka Sutartyje nustatytų reikalavimų Prekei; </w:t>
            </w:r>
            <w:r>
              <w:rPr>
                <w:rFonts w:eastAsia="Arial"/>
                <w:szCs w:val="24"/>
                <w:lang w:val="lt"/>
              </w:rPr>
            </w:r>
            <w:r>
              <w:rPr>
                <w:rFonts w:eastAsia="Arial"/>
                <w:szCs w:val="24"/>
                <w:lang w:val="lt"/>
              </w:rPr>
            </w:r>
          </w:p>
          <w:p w14:paraId="169970BE" w14:textId="77777777">
            <w:pPr>
              <w:pBdr/>
              <w:tabs>
                <w:tab w:val="left" w:leader="none" w:pos="567"/>
                <w:tab w:val="left" w:leader="none" w:pos="851"/>
                <w:tab w:val="left" w:leader="none" w:pos="992"/>
                <w:tab w:val="left" w:leader="none" w:pos="1134"/>
              </w:tabs>
              <w:spacing w:line="257" w:lineRule="auto"/>
              <w:ind/>
              <w:jc w:val="both"/>
              <w:rPr>
                <w:rFonts w:eastAsia="Arial"/>
                <w:szCs w:val="24"/>
                <w:lang w:val="lt"/>
              </w:rPr>
            </w:pPr>
            <w:r>
              <w:rPr>
                <w:rFonts w:eastAsia="Arial"/>
                <w:szCs w:val="24"/>
                <w:lang w:val="lt"/>
              </w:rPr>
              <w:t xml:space="preserve">11.2.4. Tiekėjas pažeidžia Bendrųjų sąlygų nuostatas dėl Sutarties vykdymui pasitelkiamų naujų subtiekėjų ar dėl esamų subtiekėjų keitimo.</w:t>
            </w:r>
            <w:r>
              <w:rPr>
                <w:rFonts w:eastAsia="Arial"/>
                <w:szCs w:val="24"/>
                <w:lang w:val="lt"/>
              </w:rPr>
            </w:r>
            <w:r>
              <w:rPr>
                <w:rFonts w:eastAsia="Arial"/>
                <w:szCs w:val="24"/>
                <w:lang w:val="lt"/>
              </w:rPr>
            </w:r>
          </w:p>
        </w:tc>
      </w:tr>
      <w:tr>
        <w:trPr>
          <w:trHeight w:val="300"/>
        </w:trPr>
        <w:tc>
          <w:tcPr>
            <w:gridSpan w:val="4"/>
            <w:tcBorders/>
            <w:tcW w:w="9918" w:type="dxa"/>
          </w:tcPr>
          <w:p w14:paraId="2C3BC6DF" w14:textId="77777777">
            <w:pPr>
              <w:pBdr/>
              <w:spacing/>
              <w:ind/>
              <w:jc w:val="center"/>
              <w:rPr>
                <w:szCs w:val="24"/>
              </w:rPr>
            </w:pPr>
            <w:r>
              <w:rPr>
                <w:b/>
                <w:bCs/>
                <w:szCs w:val="24"/>
              </w:rPr>
              <w:t xml:space="preserve">13. APLINKOSAUGINIAI IR SOCIALINIAI KRITERIJAI</w:t>
            </w:r>
            <w:r>
              <w:rPr>
                <w:szCs w:val="24"/>
              </w:rPr>
              <w:t xml:space="preserve">)</w:t>
            </w:r>
            <w:r>
              <w:rPr>
                <w:szCs w:val="24"/>
              </w:rPr>
            </w:r>
            <w:r>
              <w:rPr>
                <w:szCs w:val="24"/>
              </w:rPr>
            </w:r>
          </w:p>
        </w:tc>
      </w:tr>
      <w:tr>
        <w:trPr>
          <w:trHeight w:val="300"/>
        </w:trPr>
        <w:tc>
          <w:tcPr>
            <w:tcBorders/>
            <w:tcW w:w="2689" w:type="dxa"/>
          </w:tcPr>
          <w:p w14:paraId="6CCC6269" w14:textId="77777777">
            <w:pPr>
              <w:pBdr/>
              <w:spacing/>
              <w:ind/>
              <w:rPr>
                <w:b/>
                <w:bCs/>
                <w:szCs w:val="24"/>
              </w:rPr>
            </w:pPr>
            <w:r>
              <w:rPr>
                <w:b/>
                <w:bCs/>
                <w:szCs w:val="24"/>
              </w:rPr>
              <w:t xml:space="preserve">13.1. Aplinkosauginių kriterijų nustatymo teisinis pagrindas</w:t>
            </w:r>
            <w:r>
              <w:rPr>
                <w:b/>
                <w:bCs/>
                <w:szCs w:val="24"/>
              </w:rPr>
            </w:r>
            <w:r>
              <w:rPr>
                <w:b/>
                <w:bCs/>
                <w:szCs w:val="24"/>
              </w:rPr>
            </w:r>
          </w:p>
        </w:tc>
        <w:tc>
          <w:tcPr>
            <w:gridSpan w:val="3"/>
            <w:tcBorders/>
            <w:tcW w:w="7229" w:type="dxa"/>
          </w:tcPr>
          <w:p w14:paraId="77E85153" w14:textId="77777777">
            <w:pPr>
              <w:pBdr/>
              <w:spacing/>
              <w:ind/>
              <w:rPr>
                <w:color w:val="000000"/>
                <w:szCs w:val="24"/>
              </w:rPr>
            </w:pPr>
            <w:r>
              <w:rPr>
                <w:color w:val="000000"/>
                <w:szCs w:val="24"/>
                <w:shd w:val="clear" w:color="auto" w:fill="ffffff"/>
              </w:rPr>
              <w:t xml:space="preserve">Aplinkosauginiai kriterijai Prekėms nustatomi vadovaujantis </w:t>
            </w:r>
            <w:r>
              <w:rPr>
                <w:color w:val="000000"/>
                <w:szCs w:val="24"/>
              </w:rPr>
              <w:t xml:space="preserve">Aplinkos apsaugos kriterijų taikymo, vykdant žaliuosius pirkimus, tvarkos aprašo, patvirtinto Lietuvos Respublikos aplinkos ministro 2011 m. birželio 28 d. įsakymu Nr. D1-508</w:t>
            </w:r>
            <w:r>
              <w:rPr>
                <w:color w:val="000000"/>
                <w:szCs w:val="24"/>
                <w:shd w:val="clear" w:color="auto" w:fill="ffffff"/>
              </w:rPr>
              <w:t xml:space="preserve"> „Dėl Aplinkos apsaugos kriterijų taikymo, vykdant žaliuosius pirkimus, tvarkos aprašo patvirtinimo“ (toliau – Tvarkos aprašas) 4.1. papunkčiu.</w:t>
            </w:r>
            <w:r>
              <w:rPr>
                <w:color w:val="000000"/>
                <w:szCs w:val="24"/>
              </w:rPr>
              <w:t xml:space="preserve"> </w:t>
            </w:r>
            <w:r>
              <w:rPr>
                <w:color w:val="000000"/>
                <w:szCs w:val="24"/>
              </w:rPr>
            </w:r>
            <w:r>
              <w:rPr>
                <w:color w:val="000000"/>
                <w:szCs w:val="24"/>
              </w:rPr>
            </w:r>
          </w:p>
          <w:p w14:paraId="2684CEAC" w14:textId="77777777">
            <w:pPr>
              <w:pBdr/>
              <w:spacing/>
              <w:ind/>
              <w:rPr>
                <w:color w:val="000000"/>
                <w:szCs w:val="24"/>
              </w:rPr>
            </w:pPr>
            <w:r>
              <w:rPr>
                <w:color w:val="000000"/>
                <w:szCs w:val="24"/>
              </w:rPr>
            </w:r>
            <w:r>
              <w:rPr>
                <w:color w:val="000000"/>
                <w:szCs w:val="24"/>
              </w:rPr>
            </w:r>
            <w:r>
              <w:rPr>
                <w:color w:val="000000"/>
                <w:szCs w:val="24"/>
              </w:rPr>
            </w:r>
          </w:p>
          <w:p w14:paraId="4FF95727" w14:textId="77777777">
            <w:pPr>
              <w:pBdr/>
              <w:spacing/>
              <w:ind/>
              <w:rPr>
                <w:color w:val="000000"/>
                <w:szCs w:val="24"/>
                <w:shd w:val="clear" w:color="auto" w:fill="ffffff"/>
              </w:rPr>
            </w:pPr>
            <w:r>
              <w:rPr>
                <w:color w:val="000000"/>
                <w:szCs w:val="24"/>
                <w:shd w:val="clear" w:color="auto" w:fill="ffffff"/>
              </w:rPr>
              <w:t xml:space="preserve">Nustačius, kad Tiekėjas šiame papunktyje nustatyto kriterijaus (-jų) nesilaiko, Tiekėjui taikoma Specialiųjų sąlygų 9.5 punkte nurodyto dydžio bauda.</w:t>
            </w:r>
            <w:r>
              <w:rPr>
                <w:color w:val="000000"/>
                <w:szCs w:val="24"/>
                <w:shd w:val="clear" w:color="auto" w:fill="ffffff"/>
              </w:rPr>
            </w:r>
            <w:r>
              <w:rPr>
                <w:color w:val="000000"/>
                <w:szCs w:val="24"/>
                <w:shd w:val="clear" w:color="auto" w:fill="ffffff"/>
              </w:rPr>
            </w:r>
          </w:p>
          <w:p w14:paraId="2B9155A0" w14:textId="77777777">
            <w:pPr>
              <w:pBdr/>
              <w:spacing/>
              <w:ind/>
              <w:rPr>
                <w:b/>
                <w:bCs/>
                <w:szCs w:val="24"/>
              </w:rPr>
            </w:pPr>
            <w:r>
              <w:rPr>
                <w:b/>
                <w:bCs/>
                <w:szCs w:val="24"/>
              </w:rPr>
            </w:r>
            <w:r>
              <w:rPr>
                <w:b/>
                <w:bCs/>
                <w:szCs w:val="24"/>
              </w:rPr>
            </w:r>
            <w:r>
              <w:rPr>
                <w:b/>
                <w:bCs/>
                <w:szCs w:val="24"/>
              </w:rPr>
            </w:r>
          </w:p>
        </w:tc>
      </w:tr>
      <w:tr>
        <w:trPr>
          <w:trHeight w:val="300"/>
        </w:trPr>
        <w:tc>
          <w:tcPr>
            <w:tcBorders/>
            <w:tcW w:w="2689" w:type="dxa"/>
          </w:tcPr>
          <w:p w14:paraId="58E40EDF" w14:textId="77777777">
            <w:pPr>
              <w:pBdr/>
              <w:spacing/>
              <w:ind/>
              <w:rPr>
                <w:b/>
                <w:bCs/>
                <w:szCs w:val="24"/>
              </w:rPr>
            </w:pPr>
            <w:r>
              <w:rPr>
                <w:b/>
                <w:bCs/>
                <w:szCs w:val="24"/>
              </w:rPr>
              <w:t xml:space="preserve">13.2.  Su perkamomis Prekėmis susiję socialiniai kriterijai</w:t>
            </w:r>
            <w:r>
              <w:rPr>
                <w:b/>
                <w:bCs/>
                <w:szCs w:val="24"/>
              </w:rPr>
            </w:r>
            <w:r>
              <w:rPr>
                <w:b/>
                <w:bCs/>
                <w:szCs w:val="24"/>
              </w:rPr>
            </w:r>
          </w:p>
        </w:tc>
        <w:tc>
          <w:tcPr>
            <w:gridSpan w:val="3"/>
            <w:tcBorders/>
            <w:tcW w:w="7229" w:type="dxa"/>
          </w:tcPr>
          <w:p w14:paraId="401B53F5" w14:textId="77777777">
            <w:pPr>
              <w:pBdr/>
              <w:spacing/>
              <w:ind/>
              <w:rPr>
                <w:color w:val="000000"/>
                <w:szCs w:val="24"/>
                <w:shd w:val="clear" w:color="auto" w:fill="ffffff"/>
              </w:rPr>
            </w:pPr>
            <w:r>
              <w:rPr>
                <w:color w:val="000000"/>
                <w:szCs w:val="24"/>
                <w:shd w:val="clear" w:color="auto" w:fill="ffffff"/>
              </w:rPr>
              <w:t xml:space="preserve">Netaikoma.</w:t>
            </w:r>
            <w:r>
              <w:rPr>
                <w:color w:val="000000"/>
                <w:szCs w:val="24"/>
                <w:shd w:val="clear" w:color="auto" w:fill="ffffff"/>
              </w:rPr>
            </w:r>
            <w:r>
              <w:rPr>
                <w:color w:val="000000"/>
                <w:szCs w:val="24"/>
                <w:shd w:val="clear" w:color="auto" w:fill="ffffff"/>
              </w:rPr>
            </w:r>
          </w:p>
        </w:tc>
      </w:tr>
      <w:tr>
        <w:trPr>
          <w:trHeight w:val="300"/>
        </w:trPr>
        <w:tc>
          <w:tcPr>
            <w:gridSpan w:val="4"/>
            <w:tcBorders/>
            <w:tcW w:w="9918" w:type="dxa"/>
          </w:tcPr>
          <w:p w14:paraId="4871924F" w14:textId="77777777">
            <w:pPr>
              <w:pBdr/>
              <w:spacing/>
              <w:ind/>
              <w:jc w:val="center"/>
              <w:rPr>
                <w:b/>
                <w:bCs/>
                <w:szCs w:val="24"/>
              </w:rPr>
            </w:pPr>
            <w:r>
              <w:rPr>
                <w:b/>
                <w:bCs/>
                <w:szCs w:val="24"/>
              </w:rPr>
            </w:r>
            <w:r>
              <w:rPr>
                <w:b/>
                <w:bCs/>
                <w:szCs w:val="24"/>
              </w:rPr>
            </w:r>
            <w:r>
              <w:rPr>
                <w:b/>
                <w:bCs/>
                <w:szCs w:val="24"/>
              </w:rPr>
            </w:r>
          </w:p>
        </w:tc>
      </w:tr>
      <w:tr>
        <w:trPr>
          <w:trHeight w:val="300"/>
        </w:trPr>
        <w:tc>
          <w:tcPr>
            <w:gridSpan w:val="4"/>
            <w:tcBorders/>
            <w:tcW w:w="9918" w:type="dxa"/>
          </w:tcPr>
          <w:p w14:paraId="474B797E" w14:textId="77777777">
            <w:pPr>
              <w:pBdr/>
              <w:spacing/>
              <w:ind/>
              <w:jc w:val="center"/>
              <w:rPr>
                <w:b/>
                <w:bCs/>
                <w:szCs w:val="24"/>
              </w:rPr>
            </w:pPr>
            <w:r>
              <w:rPr>
                <w:b/>
                <w:bCs/>
                <w:szCs w:val="24"/>
              </w:rPr>
              <w:t xml:space="preserve">14. BENDRŲJŲ SĄLYGŲ PAKEITIMAI IR PAPILDYMAI </w:t>
            </w:r>
            <w:r>
              <w:rPr>
                <w:b/>
                <w:bCs/>
                <w:szCs w:val="24"/>
              </w:rPr>
            </w:r>
            <w:r>
              <w:rPr>
                <w:b/>
                <w:bCs/>
                <w:szCs w:val="24"/>
              </w:rPr>
            </w:r>
          </w:p>
        </w:tc>
      </w:tr>
      <w:tr>
        <w:trPr>
          <w:trHeight w:val="300"/>
        </w:trPr>
        <w:tc>
          <w:tcPr>
            <w:tcBorders/>
            <w:tcW w:w="2689" w:type="dxa"/>
          </w:tcPr>
          <w:p w14:paraId="23D3966B" w14:textId="77777777">
            <w:pPr>
              <w:pBdr/>
              <w:spacing/>
              <w:ind/>
              <w:rPr>
                <w:b/>
                <w:bCs/>
                <w:szCs w:val="24"/>
              </w:rPr>
            </w:pPr>
            <w:r>
              <w:rPr>
                <w:b/>
                <w:bCs/>
                <w:szCs w:val="24"/>
              </w:rPr>
              <w:t xml:space="preserve">14.1. </w:t>
            </w:r>
            <w:r>
              <w:rPr>
                <w:b/>
                <w:bCs/>
                <w:szCs w:val="24"/>
              </w:rPr>
            </w:r>
            <w:r>
              <w:rPr>
                <w:b/>
                <w:bCs/>
                <w:szCs w:val="24"/>
              </w:rPr>
            </w:r>
          </w:p>
        </w:tc>
        <w:tc>
          <w:tcPr>
            <w:gridSpan w:val="3"/>
            <w:tcBorders/>
            <w:tcW w:w="7229" w:type="dxa"/>
          </w:tcPr>
          <w:p w14:paraId="073E48BD" w14:textId="77777777">
            <w:pPr>
              <w:pBdr/>
              <w:spacing/>
              <w:ind/>
              <w:rPr>
                <w:szCs w:val="24"/>
              </w:rPr>
            </w:pPr>
            <w:r>
              <w:rPr>
                <w:szCs w:val="24"/>
              </w:rPr>
              <w:t xml:space="preserve">Šalys susitaria pakeisti Sutarties Bendrųjų sąlygų 25.2 punktą ir išdėstyti jį nauja redakcija: </w:t>
            </w:r>
            <w:r>
              <w:rPr>
                <w:szCs w:val="24"/>
              </w:rPr>
            </w:r>
            <w:r>
              <w:rPr>
                <w:szCs w:val="24"/>
              </w:rPr>
            </w:r>
          </w:p>
          <w:p w14:paraId="7B79212C" w14:textId="77777777">
            <w:pPr>
              <w:pBdr/>
              <w:spacing/>
              <w:ind/>
              <w:rPr>
                <w:szCs w:val="24"/>
              </w:rPr>
            </w:pPr>
            <w:r>
              <w:rPr>
                <w:szCs w:val="24"/>
              </w:rPr>
              <w:t xml:space="preserve">„25.2. </w:t>
            </w:r>
            <w:r>
              <w:rPr>
                <w:rFonts w:eastAsia="Cambria"/>
                <w:szCs w:val="24"/>
              </w:rPr>
              <w:t xml:space="preserve">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 xml:space="preserve">Lietuvos Respublikos įstatymuose nustatyta tvarka pagal Pirkėjo buveinės vietą“.</w:t>
            </w:r>
            <w:r>
              <w:rPr>
                <w:szCs w:val="24"/>
              </w:rPr>
            </w:r>
            <w:r>
              <w:rPr>
                <w:szCs w:val="24"/>
              </w:rPr>
            </w:r>
          </w:p>
        </w:tc>
      </w:tr>
      <w:tr>
        <w:trPr>
          <w:trHeight w:val="300"/>
        </w:trPr>
        <w:tc>
          <w:tcPr>
            <w:tcBorders/>
            <w:tcW w:w="2689" w:type="dxa"/>
          </w:tcPr>
          <w:p w14:paraId="54910E58" w14:textId="77777777">
            <w:pPr>
              <w:pBdr/>
              <w:spacing/>
              <w:ind/>
              <w:rPr>
                <w:b/>
                <w:bCs/>
                <w:szCs w:val="24"/>
              </w:rPr>
            </w:pPr>
            <w:r>
              <w:rPr>
                <w:b/>
                <w:bCs/>
                <w:szCs w:val="24"/>
              </w:rPr>
              <w:t xml:space="preserve">14.2.</w:t>
            </w:r>
            <w:r>
              <w:rPr>
                <w:b/>
                <w:bCs/>
                <w:szCs w:val="24"/>
              </w:rPr>
            </w:r>
            <w:r>
              <w:rPr>
                <w:b/>
                <w:bCs/>
                <w:szCs w:val="24"/>
              </w:rPr>
            </w:r>
          </w:p>
        </w:tc>
        <w:tc>
          <w:tcPr>
            <w:gridSpan w:val="3"/>
            <w:tcBorders/>
            <w:tcW w:w="7229" w:type="dxa"/>
          </w:tcPr>
          <w:p w14:paraId="5BE02726" w14:textId="77777777">
            <w:pPr>
              <w:pBdr/>
              <w:spacing/>
              <w:ind/>
              <w:rPr>
                <w:szCs w:val="24"/>
              </w:rPr>
            </w:pPr>
            <w:r>
              <w:rPr>
                <w:szCs w:val="24"/>
              </w:rPr>
              <w:t xml:space="preserve">Šalys susitaria papildyti Sutarties Bendrąsias sąlygas nauju 26 skyriumi „Sutarties dokumentų pasirašymas“ ir 26.1 punktu:</w:t>
            </w:r>
            <w:r>
              <w:rPr>
                <w:szCs w:val="24"/>
              </w:rPr>
            </w:r>
            <w:r>
              <w:rPr>
                <w:szCs w:val="24"/>
              </w:rPr>
            </w:r>
          </w:p>
          <w:p w14:paraId="414ACD33" w14:textId="77777777">
            <w:pPr>
              <w:pBdr/>
              <w:spacing/>
              <w:ind/>
              <w:rPr>
                <w:szCs w:val="24"/>
              </w:rPr>
            </w:pPr>
            <w:r>
              <w:rPr>
                <w:szCs w:val="24"/>
              </w:rPr>
              <w:t xml:space="preserve">„26.1. Šią Sutartį ir papildomus susitarimus prie Sutarties (jeigu jų bus) Šalių atstovai pasirašo kvalifikuotais elektroniniais parašais“.</w:t>
            </w:r>
            <w:r>
              <w:rPr>
                <w:szCs w:val="24"/>
              </w:rPr>
            </w:r>
            <w:r>
              <w:rPr>
                <w:szCs w:val="24"/>
              </w:rPr>
            </w:r>
          </w:p>
        </w:tc>
      </w:tr>
      <w:tr>
        <w:trPr>
          <w:trHeight w:val="300"/>
        </w:trPr>
        <w:tc>
          <w:tcPr>
            <w:gridSpan w:val="4"/>
            <w:tcBorders/>
            <w:tcW w:w="9918" w:type="dxa"/>
          </w:tcPr>
          <w:p w14:paraId="693B4683" w14:textId="77777777">
            <w:pPr>
              <w:pBdr/>
              <w:spacing/>
              <w:ind/>
              <w:jc w:val="center"/>
              <w:rPr>
                <w:b/>
                <w:bCs/>
                <w:szCs w:val="24"/>
              </w:rPr>
            </w:pPr>
            <w:r>
              <w:rPr>
                <w:b/>
                <w:bCs/>
                <w:szCs w:val="24"/>
              </w:rPr>
              <w:t xml:space="preserve">15. SUTARTIES PRIEDAI</w:t>
            </w:r>
            <w:r>
              <w:rPr>
                <w:b/>
                <w:bCs/>
                <w:szCs w:val="24"/>
              </w:rPr>
            </w:r>
            <w:r>
              <w:rPr>
                <w:b/>
                <w:bCs/>
                <w:szCs w:val="24"/>
              </w:rPr>
            </w:r>
          </w:p>
        </w:tc>
      </w:tr>
      <w:tr>
        <w:trPr>
          <w:trHeight w:val="300"/>
        </w:trPr>
        <w:tc>
          <w:tcPr>
            <w:tcBorders/>
            <w:tcW w:w="2689" w:type="dxa"/>
          </w:tcPr>
          <w:p w14:paraId="6812C836" w14:textId="77777777">
            <w:pPr>
              <w:pBdr/>
              <w:spacing/>
              <w:ind/>
              <w:jc w:val="center"/>
              <w:rPr>
                <w:b/>
                <w:bCs/>
                <w:szCs w:val="24"/>
              </w:rPr>
            </w:pPr>
            <w:r>
              <w:rPr>
                <w:b/>
                <w:bCs/>
                <w:szCs w:val="24"/>
              </w:rPr>
              <w:t xml:space="preserve">15.1. Priedas Nr. 1</w:t>
            </w:r>
            <w:r>
              <w:rPr>
                <w:b/>
                <w:bCs/>
                <w:szCs w:val="24"/>
              </w:rPr>
            </w:r>
            <w:r>
              <w:rPr>
                <w:b/>
                <w:bCs/>
                <w:szCs w:val="24"/>
              </w:rPr>
            </w:r>
          </w:p>
        </w:tc>
        <w:tc>
          <w:tcPr>
            <w:gridSpan w:val="3"/>
            <w:tcBorders/>
            <w:tcW w:w="7229" w:type="dxa"/>
          </w:tcPr>
          <w:p w14:paraId="3397B661" w14:textId="77777777">
            <w:pPr>
              <w:pBdr/>
              <w:spacing/>
              <w:ind/>
              <w:rPr>
                <w:b/>
                <w:bCs/>
                <w:szCs w:val="24"/>
              </w:rPr>
            </w:pPr>
            <w:r>
              <w:rPr>
                <w:b/>
                <w:bCs/>
                <w:szCs w:val="24"/>
              </w:rPr>
              <w:t xml:space="preserve">Techninė specifikacija</w:t>
            </w:r>
            <w:r>
              <w:rPr>
                <w:b/>
                <w:bCs/>
                <w:szCs w:val="24"/>
              </w:rPr>
            </w:r>
            <w:r>
              <w:rPr>
                <w:b/>
                <w:bCs/>
                <w:szCs w:val="24"/>
              </w:rPr>
            </w:r>
          </w:p>
        </w:tc>
      </w:tr>
      <w:tr>
        <w:trPr>
          <w:trHeight w:val="300"/>
        </w:trPr>
        <w:tc>
          <w:tcPr>
            <w:tcBorders/>
            <w:tcW w:w="2689" w:type="dxa"/>
          </w:tcPr>
          <w:p w14:paraId="519E1488" w14:textId="77777777">
            <w:pPr>
              <w:pBdr/>
              <w:spacing/>
              <w:ind/>
              <w:jc w:val="center"/>
              <w:rPr>
                <w:b/>
                <w:bCs/>
                <w:i/>
                <w:iCs/>
                <w:szCs w:val="24"/>
              </w:rPr>
            </w:pPr>
            <w:r>
              <w:rPr>
                <w:b/>
                <w:bCs/>
                <w:i/>
                <w:iCs/>
                <w:szCs w:val="24"/>
              </w:rPr>
              <w:t xml:space="preserve">15.2. Priedas Nr. 2</w:t>
            </w:r>
            <w:r>
              <w:rPr>
                <w:b/>
                <w:bCs/>
                <w:i/>
                <w:iCs/>
                <w:szCs w:val="24"/>
              </w:rPr>
            </w:r>
            <w:r>
              <w:rPr>
                <w:b/>
                <w:bCs/>
                <w:i/>
                <w:iCs/>
                <w:szCs w:val="24"/>
              </w:rPr>
            </w:r>
          </w:p>
        </w:tc>
        <w:tc>
          <w:tcPr>
            <w:gridSpan w:val="3"/>
            <w:tcBorders/>
            <w:tcW w:w="7229" w:type="dxa"/>
          </w:tcPr>
          <w:p w14:paraId="38869127" w14:textId="77777777">
            <w:pPr>
              <w:pBdr/>
              <w:spacing/>
              <w:ind/>
              <w:rPr>
                <w:i/>
                <w:iCs/>
                <w:szCs w:val="24"/>
              </w:rPr>
            </w:pPr>
            <w:r>
              <w:rPr>
                <w:i/>
                <w:iCs/>
                <w:szCs w:val="24"/>
              </w:rPr>
              <w:t xml:space="preserve">Sutarties vykdymui pasitelkiami subtiekėjai [jeigu jų yra]</w:t>
            </w:r>
            <w:r>
              <w:rPr>
                <w:i/>
                <w:iCs/>
                <w:szCs w:val="24"/>
              </w:rPr>
            </w:r>
            <w:r>
              <w:rPr>
                <w:i/>
                <w:iCs/>
                <w:szCs w:val="24"/>
              </w:rPr>
            </w:r>
          </w:p>
        </w:tc>
      </w:tr>
      <w:tr>
        <w:trPr/>
        <w:tc>
          <w:tcPr>
            <w:gridSpan w:val="4"/>
            <w:tcBorders/>
            <w:tcW w:w="9918" w:type="dxa"/>
          </w:tcPr>
          <w:p w14:paraId="221DD436" w14:textId="77777777">
            <w:pPr>
              <w:pBdr/>
              <w:spacing/>
              <w:ind/>
              <w:jc w:val="center"/>
              <w:rPr>
                <w:b/>
                <w:bCs/>
                <w:szCs w:val="24"/>
              </w:rPr>
            </w:pPr>
            <w:r>
              <w:rPr>
                <w:b/>
                <w:bCs/>
                <w:szCs w:val="24"/>
              </w:rPr>
              <w:t xml:space="preserve">16. ŠALIŲ ATSTOVŲ PARAŠAI</w:t>
            </w:r>
            <w:r>
              <w:rPr>
                <w:b/>
                <w:bCs/>
                <w:szCs w:val="24"/>
              </w:rPr>
            </w:r>
            <w:r>
              <w:rPr>
                <w:b/>
                <w:bCs/>
                <w:szCs w:val="24"/>
              </w:rPr>
            </w:r>
          </w:p>
        </w:tc>
      </w:tr>
      <w:tr>
        <w:trPr/>
        <w:tc>
          <w:tcPr>
            <w:gridSpan w:val="4"/>
            <w:tcBorders/>
            <w:tcW w:w="9918" w:type="dxa"/>
          </w:tcPr>
          <w:p w14:paraId="02DD9B53" w14:textId="77777777">
            <w:pPr>
              <w:pBdr/>
              <w:spacing/>
              <w:ind/>
              <w:rPr>
                <w:b/>
                <w:bCs/>
                <w:szCs w:val="24"/>
              </w:rPr>
            </w:pPr>
            <w:r>
              <w:rPr>
                <w:szCs w:val="24"/>
              </w:rPr>
              <w:t xml:space="preserve">Šalių atstovai pasirašo kvalifikuotais elektroniniais parašais</w:t>
            </w:r>
            <w:r>
              <w:rPr>
                <w:b/>
                <w:bCs/>
                <w:szCs w:val="24"/>
              </w:rPr>
            </w:r>
            <w:r>
              <w:rPr>
                <w:b/>
                <w:bCs/>
                <w:szCs w:val="24"/>
              </w:rPr>
            </w:r>
          </w:p>
        </w:tc>
      </w:tr>
      <w:tr>
        <w:trPr/>
        <w:tc>
          <w:tcPr>
            <w:gridSpan w:val="3"/>
            <w:tcBorders/>
            <w:tcW w:w="4786" w:type="dxa"/>
          </w:tcPr>
          <w:p w14:paraId="3078CA0F" w14:textId="77777777">
            <w:pPr>
              <w:pBdr/>
              <w:spacing/>
              <w:ind/>
              <w:rPr>
                <w:b/>
                <w:bCs/>
                <w:szCs w:val="24"/>
              </w:rPr>
            </w:pPr>
            <w:r>
              <w:rPr>
                <w:b/>
                <w:bCs/>
                <w:szCs w:val="24"/>
              </w:rPr>
              <w:t xml:space="preserve">PIRKĖJAS</w:t>
            </w:r>
            <w:r>
              <w:rPr>
                <w:b/>
                <w:bCs/>
                <w:szCs w:val="24"/>
              </w:rPr>
            </w:r>
            <w:r>
              <w:rPr>
                <w:b/>
                <w:bCs/>
                <w:szCs w:val="24"/>
              </w:rPr>
            </w:r>
          </w:p>
        </w:tc>
        <w:tc>
          <w:tcPr>
            <w:tcBorders/>
            <w:tcW w:w="5132" w:type="dxa"/>
          </w:tcPr>
          <w:p w14:paraId="24EC69F9" w14:textId="77777777">
            <w:pPr>
              <w:pBdr/>
              <w:spacing/>
              <w:ind/>
              <w:rPr>
                <w:b/>
                <w:bCs/>
                <w:szCs w:val="24"/>
              </w:rPr>
            </w:pPr>
            <w:r>
              <w:rPr>
                <w:b/>
                <w:bCs/>
                <w:szCs w:val="24"/>
              </w:rPr>
              <w:t xml:space="preserve">TIEKĖJAS</w:t>
            </w:r>
            <w:r>
              <w:rPr>
                <w:b/>
                <w:bCs/>
                <w:szCs w:val="24"/>
              </w:rPr>
            </w:r>
            <w:r>
              <w:rPr>
                <w:b/>
                <w:bCs/>
                <w:szCs w:val="24"/>
              </w:rPr>
            </w:r>
          </w:p>
        </w:tc>
      </w:tr>
      <w:tr>
        <w:trPr/>
        <w:tc>
          <w:tcPr>
            <w:gridSpan w:val="3"/>
            <w:tcBorders/>
            <w:tcW w:w="4786" w:type="dxa"/>
          </w:tcPr>
          <w:p w14:paraId="496AFDFB" w14:textId="77777777">
            <w:pPr>
              <w:pBdr/>
              <w:spacing/>
              <w:ind/>
              <w:rPr>
                <w:highlight w:val="none"/>
              </w:rPr>
            </w:pPr>
            <w:r>
              <w:rPr>
                <w:b/>
                <w:bCs/>
                <w:szCs w:val="24"/>
                <w:highlight w:val="none"/>
              </w:rPr>
              <w:t xml:space="preserve">VšĮ Šiaulių rajono savivaldybės</w:t>
            </w:r>
            <w:r>
              <w:rPr>
                <w:highlight w:val="none"/>
              </w:rPr>
            </w:r>
            <w:r>
              <w:rPr>
                <w:highlight w:val="none"/>
              </w:rPr>
            </w:r>
          </w:p>
          <w:p w14:paraId="289E586B" w14:textId="77777777">
            <w:pPr>
              <w:pBdr/>
              <w:spacing/>
              <w:ind/>
              <w:rPr>
                <w:b/>
                <w:bCs/>
                <w:szCs w:val="24"/>
                <w:highlight w:val="none"/>
              </w:rPr>
            </w:pPr>
            <w:r>
              <w:rPr>
                <w:b/>
                <w:bCs/>
                <w:szCs w:val="24"/>
                <w:highlight w:val="none"/>
              </w:rPr>
              <w:t xml:space="preserve">sveikatos centras</w:t>
            </w:r>
            <w:r>
              <w:rPr>
                <w:b/>
                <w:bCs/>
                <w:szCs w:val="24"/>
                <w:highlight w:val="none"/>
              </w:rPr>
            </w:r>
            <w:r>
              <w:rPr>
                <w:b/>
                <w:bCs/>
                <w:szCs w:val="24"/>
                <w:highlight w:val="none"/>
              </w:rPr>
            </w:r>
          </w:p>
          <w:p w14:paraId="5DB2D4F0" w14:textId="77777777">
            <w:pPr>
              <w:pBdr/>
              <w:spacing/>
              <w:ind/>
              <w:rPr>
                <w:b/>
                <w:bCs/>
                <w:szCs w:val="24"/>
                <w:highlight w:val="none"/>
              </w:rPr>
            </w:pPr>
            <w:r>
              <w:rPr>
                <w:b/>
                <w:bCs/>
                <w:szCs w:val="24"/>
                <w:highlight w:val="none"/>
              </w:rPr>
            </w:r>
            <w:r>
              <w:rPr>
                <w:b/>
                <w:bCs/>
                <w:szCs w:val="24"/>
                <w:highlight w:val="none"/>
              </w:rPr>
            </w:r>
            <w:r>
              <w:rPr>
                <w:b/>
                <w:bCs/>
                <w:szCs w:val="24"/>
                <w:highlight w:val="none"/>
              </w:rPr>
            </w:r>
          </w:p>
          <w:p w14:paraId="309FF3C0" w14:textId="77777777">
            <w:pPr>
              <w:pBdr/>
              <w:spacing/>
              <w:ind/>
              <w:rPr>
                <w:b/>
                <w:bCs/>
                <w:szCs w:val="24"/>
                <w:highlight w:val="none"/>
              </w:rPr>
            </w:pPr>
            <w:r>
              <w:rPr>
                <w:b/>
                <w:bCs/>
                <w:szCs w:val="24"/>
                <w:highlight w:val="none"/>
              </w:rPr>
              <w:t xml:space="preserve">Direktorė Zita Jablonskienė</w:t>
            </w:r>
            <w:r>
              <w:rPr>
                <w:b/>
                <w:bCs/>
                <w:szCs w:val="24"/>
                <w:highlight w:val="none"/>
              </w:rPr>
            </w:r>
            <w:r>
              <w:rPr>
                <w:b/>
                <w:bCs/>
                <w:szCs w:val="24"/>
                <w:highlight w:val="none"/>
              </w:rPr>
            </w:r>
          </w:p>
        </w:tc>
        <w:tc>
          <w:tcPr>
            <w:tcBorders/>
            <w:tcW w:w="5132" w:type="dxa"/>
          </w:tcPr>
          <w:p w14:paraId="0356CA32" w14:textId="77777777">
            <w:pPr>
              <w:pBdr/>
              <w:spacing/>
              <w:ind/>
              <w:rPr>
                <w:color w:val="4472c4"/>
                <w:szCs w:val="24"/>
              </w:rPr>
            </w:pPr>
            <w:r>
              <w:rPr>
                <w:color w:val="4472c4"/>
                <w:szCs w:val="24"/>
              </w:rPr>
              <w:t xml:space="preserve">(pavadinimas)</w:t>
            </w:r>
            <w:r>
              <w:rPr>
                <w:color w:val="4472c4"/>
                <w:szCs w:val="24"/>
              </w:rPr>
            </w:r>
            <w:r>
              <w:rPr>
                <w:color w:val="4472c4"/>
                <w:szCs w:val="24"/>
              </w:rPr>
            </w:r>
          </w:p>
          <w:p w14:paraId="3397918B" w14:textId="77777777">
            <w:pPr>
              <w:pBdr/>
              <w:spacing/>
              <w:ind/>
              <w:rPr>
                <w:color w:val="4472c4"/>
                <w:szCs w:val="24"/>
              </w:rPr>
            </w:pPr>
            <w:r>
              <w:rPr>
                <w:color w:val="4472c4"/>
                <w:szCs w:val="24"/>
              </w:rPr>
            </w:r>
            <w:r>
              <w:rPr>
                <w:color w:val="4472c4"/>
                <w:szCs w:val="24"/>
              </w:rPr>
            </w:r>
            <w:r>
              <w:rPr>
                <w:color w:val="4472c4"/>
                <w:szCs w:val="24"/>
              </w:rPr>
            </w:r>
          </w:p>
          <w:p w14:paraId="58B74FDF" w14:textId="77777777">
            <w:pPr>
              <w:pBdr/>
              <w:spacing/>
              <w:ind/>
              <w:rPr>
                <w:color w:val="4472c4"/>
                <w:szCs w:val="24"/>
              </w:rPr>
            </w:pPr>
            <w:r>
              <w:rPr>
                <w:color w:val="4472c4"/>
                <w:szCs w:val="24"/>
              </w:rPr>
              <w:t xml:space="preserve">(atstovo pareigos,</w:t>
            </w:r>
            <w:r>
              <w:rPr>
                <w:color w:val="4472c4"/>
                <w:szCs w:val="24"/>
              </w:rPr>
            </w:r>
            <w:r>
              <w:rPr>
                <w:color w:val="4472c4"/>
                <w:szCs w:val="24"/>
              </w:rPr>
            </w:r>
          </w:p>
          <w:p w14:paraId="0B7FF7B4" w14:textId="77777777">
            <w:pPr>
              <w:pBdr/>
              <w:spacing/>
              <w:ind/>
              <w:rPr>
                <w:b/>
                <w:bCs/>
                <w:szCs w:val="24"/>
              </w:rPr>
            </w:pPr>
            <w:r>
              <w:rPr>
                <w:color w:val="4472c4"/>
                <w:szCs w:val="24"/>
              </w:rPr>
              <w:t xml:space="preserve"> vardas, pavardė)</w:t>
            </w:r>
            <w:r>
              <w:rPr>
                <w:b/>
                <w:bCs/>
                <w:szCs w:val="24"/>
              </w:rPr>
            </w:r>
            <w:r>
              <w:rPr>
                <w:b/>
                <w:bCs/>
                <w:szCs w:val="24"/>
              </w:rPr>
            </w:r>
          </w:p>
        </w:tc>
      </w:tr>
    </w:tbl>
    <w:p w14:paraId="28634542" w14:textId="77777777">
      <w:pPr>
        <w:pBdr/>
        <w:spacing/>
        <w:ind/>
        <w:jc w:val="center"/>
        <w:rPr>
          <w:color w:val="000000"/>
          <w:szCs w:val="24"/>
        </w:rPr>
      </w:pPr>
      <w:r>
        <w:rPr>
          <w:color w:val="000000"/>
          <w:szCs w:val="24"/>
        </w:rPr>
      </w:r>
      <w:r>
        <w:rPr>
          <w:color w:val="000000"/>
          <w:szCs w:val="24"/>
        </w:rPr>
      </w:r>
      <w:r>
        <w:rPr>
          <w:color w:val="000000"/>
          <w:szCs w:val="24"/>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5840" w:orient="portrait" w:w="12240"/>
      <w:pgMar w:top="1134" w:right="567" w:bottom="1134" w:left="1701" w:header="720" w:footer="720" w:gutter="0"/>
      <w:pgNumType w:start="1"/>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3D6D2F3E" w14:textId="77777777">
      <w:pPr>
        <w:pBdr/>
        <w:spacing/>
        <w:ind/>
        <w:rPr>
          <w:sz w:val="22"/>
          <w:szCs w:val="22"/>
          <w:lang w:val="en-US"/>
        </w:rPr>
      </w:pPr>
      <w:r>
        <w:rPr>
          <w:sz w:val="22"/>
          <w:szCs w:val="22"/>
          <w:lang w:val="en-US"/>
        </w:rPr>
        <w:separator/>
      </w:r>
      <w:r>
        <w:rPr>
          <w:sz w:val="22"/>
          <w:szCs w:val="22"/>
          <w:lang w:val="en-US"/>
        </w:rPr>
      </w:r>
      <w:r>
        <w:rPr>
          <w:sz w:val="22"/>
          <w:szCs w:val="22"/>
          <w:lang w:val="en-US"/>
        </w:rPr>
      </w:r>
    </w:p>
  </w:endnote>
  <w:endnote w:type="continuationSeparator" w:id="0">
    <w:p w14:paraId="20A61695" w14:textId="77777777">
      <w:pPr>
        <w:pBdr/>
        <w:spacing/>
        <w:ind/>
        <w:rPr>
          <w:sz w:val="22"/>
          <w:szCs w:val="22"/>
          <w:lang w:val="en-US"/>
        </w:rPr>
      </w:pPr>
      <w:r>
        <w:rPr>
          <w:sz w:val="22"/>
          <w:szCs w:val="22"/>
          <w:lang w:val="en-US"/>
        </w:rPr>
        <w:continuationSeparator/>
      </w:r>
      <w:r>
        <w:rPr>
          <w:sz w:val="22"/>
          <w:szCs w:val="22"/>
          <w:lang w:val="en-US"/>
        </w:rPr>
      </w:r>
      <w:r>
        <w:rPr>
          <w:sz w:val="22"/>
          <w:szCs w:val="22"/>
          <w:lang w:val="en-US"/>
        </w:rPr>
      </w:r>
    </w:p>
  </w:endnote>
  <w:endnote w:type="continuationNotice" w:id="1">
    <w:p w14:paraId="5880AF75" w14:textId="77777777">
      <w:pPr>
        <w:pBdr/>
        <w:spacing/>
        <w:ind/>
        <w:rPr>
          <w:sz w:val="22"/>
          <w:szCs w:val="22"/>
          <w:lang w:val="en-US"/>
        </w:rPr>
      </w:pPr>
      <w:r>
        <w:rPr>
          <w:sz w:val="22"/>
          <w:szCs w:val="22"/>
          <w:lang w:val="en-US"/>
        </w:rPr>
      </w:r>
      <w:r>
        <w:rPr>
          <w:sz w:val="22"/>
          <w:szCs w:val="22"/>
          <w:lang w:val="en-US"/>
        </w:rPr>
      </w:r>
      <w:r>
        <w:rPr>
          <w:sz w:val="22"/>
          <w:szCs w:val="22"/>
          <w:lang w:val="en-US"/>
        </w:rP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Cambria">
    <w:panose1 w:val="02040503050406030204"/>
  </w:font>
  <w:font w:name="Symbol">
    <w:panose1 w:val="05050102010706020507"/>
  </w:font>
  <w:font w:name="Wingdings">
    <w:panose1 w:val="05000000000000000000"/>
  </w:font>
  <w:font w:name="Courier New">
    <w:panose1 w:val="02070309020205020404"/>
  </w:font>
  <w:font w:name="Times New Roman">
    <w:panose1 w:val="020206030504050203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5ED9D17"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r>
      <w:rPr>
        <w:sz w:val="22"/>
        <w:szCs w:val="22"/>
        <w:lang w:val="en-US"/>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3D1DFAC"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r>
      <w:rPr>
        <w:sz w:val="22"/>
        <w:szCs w:val="22"/>
        <w:lang w:val="en-US"/>
      </w:rP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23C57CEF"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r>
      <w:rPr>
        <w:sz w:val="22"/>
        <w:szCs w:val="22"/>
        <w:lang w:val="en-US"/>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B84AEF0" w14:textId="77777777">
      <w:pPr>
        <w:pBdr/>
        <w:spacing/>
        <w:ind/>
        <w:rPr>
          <w:sz w:val="22"/>
          <w:szCs w:val="22"/>
          <w:lang w:val="en-US"/>
        </w:rPr>
      </w:pPr>
      <w:r>
        <w:rPr>
          <w:sz w:val="22"/>
          <w:szCs w:val="22"/>
          <w:lang w:val="en-US"/>
        </w:rPr>
        <w:separator/>
      </w:r>
      <w:r>
        <w:rPr>
          <w:sz w:val="22"/>
          <w:szCs w:val="22"/>
          <w:lang w:val="en-US"/>
        </w:rPr>
      </w:r>
      <w:r>
        <w:rPr>
          <w:sz w:val="22"/>
          <w:szCs w:val="22"/>
          <w:lang w:val="en-US"/>
        </w:rPr>
      </w:r>
    </w:p>
  </w:footnote>
  <w:footnote w:type="continuationSeparator" w:id="0">
    <w:p w14:paraId="4ACBDC3A" w14:textId="77777777">
      <w:pPr>
        <w:pBdr/>
        <w:spacing/>
        <w:ind/>
        <w:rPr>
          <w:sz w:val="22"/>
          <w:szCs w:val="22"/>
          <w:lang w:val="en-US"/>
        </w:rPr>
      </w:pPr>
      <w:r>
        <w:rPr>
          <w:sz w:val="22"/>
          <w:szCs w:val="22"/>
          <w:lang w:val="en-US"/>
        </w:rPr>
        <w:continuationSeparator/>
      </w:r>
      <w:r>
        <w:rPr>
          <w:sz w:val="22"/>
          <w:szCs w:val="22"/>
          <w:lang w:val="en-US"/>
        </w:rPr>
      </w:r>
      <w:r>
        <w:rPr>
          <w:sz w:val="22"/>
          <w:szCs w:val="22"/>
          <w:lang w:val="en-US"/>
        </w:rPr>
      </w:r>
    </w:p>
  </w:footnote>
  <w:footnote w:type="continuationNotice" w:id="1">
    <w:p w14:paraId="02B5C8EF" w14:textId="77777777">
      <w:pPr>
        <w:pBdr/>
        <w:spacing/>
        <w:ind/>
        <w:rPr>
          <w:sz w:val="22"/>
          <w:szCs w:val="22"/>
          <w:lang w:val="en-US"/>
        </w:rPr>
      </w:pPr>
      <w:r>
        <w:rPr>
          <w:sz w:val="22"/>
          <w:szCs w:val="22"/>
          <w:lang w:val="en-US"/>
        </w:rPr>
      </w:r>
      <w:r>
        <w:rPr>
          <w:sz w:val="22"/>
          <w:szCs w:val="22"/>
          <w:lang w:val="en-US"/>
        </w:rPr>
      </w:r>
      <w:r>
        <w:rPr>
          <w:sz w:val="22"/>
          <w:szCs w:val="22"/>
          <w:lang w:val="en-US"/>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96DF891" w14:textId="77777777">
    <w:pPr>
      <w:pBdr/>
      <w:tabs>
        <w:tab w:val="center" w:leader="none" w:pos="4680"/>
        <w:tab w:val="right" w:leader="none" w:pos="9360"/>
      </w:tabs>
      <w:spacing/>
      <w:ind/>
      <w:jc w:val="center"/>
      <w:rPr>
        <w:sz w:val="22"/>
        <w:szCs w:val="22"/>
        <w:lang w:val="en-US"/>
      </w:rPr>
    </w:pPr>
    <w:r>
      <w:rPr>
        <w:sz w:val="22"/>
        <w:szCs w:val="22"/>
        <w:lang w:val="en-US"/>
      </w:rPr>
      <w:fldChar w:fldCharType="begin"/>
    </w:r>
    <w:r>
      <w:rPr>
        <w:sz w:val="22"/>
        <w:szCs w:val="22"/>
        <w:lang w:val="en-US"/>
      </w:rPr>
      <w:instrText xml:space="preserve"> PAGE   \* MERGEFORMAT </w:instrText>
    </w:r>
    <w:r>
      <w:rPr>
        <w:sz w:val="22"/>
        <w:szCs w:val="22"/>
        <w:lang w:val="en-US"/>
      </w:rPr>
      <w:fldChar w:fldCharType="separate"/>
    </w:r>
    <w:r>
      <w:rPr>
        <w:sz w:val="22"/>
        <w:szCs w:val="22"/>
        <w:lang w:val="en-US"/>
      </w:rPr>
      <w:t xml:space="preserve">24</w:t>
    </w:r>
    <w:r>
      <w:rPr>
        <w:sz w:val="22"/>
        <w:szCs w:val="22"/>
        <w:lang w:val="en-US"/>
      </w:rPr>
      <w:fldChar w:fldCharType="end"/>
    </w:r>
    <w:r>
      <w:rPr>
        <w:sz w:val="22"/>
        <w:szCs w:val="22"/>
        <w:lang w:val="en-US"/>
      </w:rPr>
    </w:r>
    <w:r>
      <w:rPr>
        <w:sz w:val="22"/>
        <w:szCs w:val="22"/>
        <w:lang w:val="en-US"/>
      </w:rPr>
    </w:r>
  </w:p>
  <w:p w14:paraId="6AE5BAE6"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r>
      <w:rPr>
        <w:sz w:val="22"/>
        <w:szCs w:val="22"/>
        <w:lang w:val="en-U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7EEB701"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r>
      <w:rPr>
        <w:sz w:val="22"/>
        <w:szCs w:val="22"/>
        <w:lang w:val="en-US"/>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5D1ED87" w14:textId="77777777">
    <w:pPr>
      <w:pBdr/>
      <w:tabs>
        <w:tab w:val="center" w:leader="none" w:pos="4680"/>
        <w:tab w:val="right" w:leader="none" w:pos="9360"/>
      </w:tabs>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C1436A"/>
    <w:lvl w:ilvl="0">
      <w:isLgl w:val="false"/>
      <w:lvlJc w:val="left"/>
      <w:lvlText w:val="-"/>
      <w:numFmt w:val="bullet"/>
      <w:pPr>
        <w:pBdr/>
        <w:spacing/>
        <w:ind w:hanging="360" w:left="720"/>
      </w:pPr>
      <w:rPr>
        <w:rFonts w:hint="default" w:ascii="Times New Roman" w:hAnsi="Times New Roman" w:eastAsia="Times New Roman" w:cs="Times New Roman"/>
      </w:rPr>
      <w:start w:val="8"/>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5ADB4BCF"/>
    <w:lvl w:ilvl="0">
      <w:isLgl w:val="false"/>
      <w:lvlJc w:val="left"/>
      <w:lvlText w:val="–"/>
      <w:numFmt w:val="bullet"/>
      <w:pPr>
        <w:pBdr/>
        <w:spacing/>
        <w:ind w:hanging="360" w:left="720"/>
      </w:pPr>
      <w:rPr>
        <w:rFonts w:hint="default" w:ascii="Times New Roman" w:hAnsi="Times New Roman" w:eastAsia="Times New Roman" w:cs="Times New Roman"/>
      </w:rPr>
      <w:start w:val="3"/>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682C237E"/>
    <w:lvl w:ilvl="0">
      <w:isLgl w:val="false"/>
      <w:lvlJc w:val="left"/>
      <w:lvlText w:val="–"/>
      <w:numFmt w:val="bullet"/>
      <w:pPr>
        <w:pBdr/>
        <w:spacing/>
        <w:ind w:hanging="360" w:left="720"/>
      </w:pPr>
      <w:rPr>
        <w:rFonts w:hint="default" w:ascii="Times New Roman" w:hAnsi="Times New Roman" w:eastAsia="Times New Roman" w:cs="Times New Roman"/>
      </w:rPr>
      <w:start w:val="4"/>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6B351DC2"/>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396"/>
  <w:doNotHyphenateCaps w:val="true"/>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 w:val="24"/>
        <w:lang w:val="lt-LT"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19">
    <w:name w:val="Heading 1 Char"/>
    <w:basedOn w:val="846"/>
    <w:link w:val="837"/>
    <w:uiPriority w:val="9"/>
    <w:pPr>
      <w:pBdr/>
      <w:spacing/>
      <w:ind/>
    </w:pPr>
    <w:rPr>
      <w:rFonts w:ascii="Arial" w:hAnsi="Arial" w:eastAsia="Arial" w:cs="Arial"/>
      <w:color w:val="0f4761" w:themeColor="accent1" w:themeShade="BF"/>
      <w:sz w:val="40"/>
      <w:szCs w:val="40"/>
    </w:rPr>
  </w:style>
  <w:style w:type="character" w:styleId="820">
    <w:name w:val="Heading 2 Char"/>
    <w:basedOn w:val="846"/>
    <w:link w:val="838"/>
    <w:uiPriority w:val="9"/>
    <w:pPr>
      <w:pBdr/>
      <w:spacing/>
      <w:ind/>
    </w:pPr>
    <w:rPr>
      <w:rFonts w:ascii="Arial" w:hAnsi="Arial" w:eastAsia="Arial" w:cs="Arial"/>
      <w:color w:val="0f4761" w:themeColor="accent1" w:themeShade="BF"/>
      <w:sz w:val="32"/>
      <w:szCs w:val="32"/>
    </w:rPr>
  </w:style>
  <w:style w:type="character" w:styleId="821">
    <w:name w:val="Heading 3 Char"/>
    <w:basedOn w:val="846"/>
    <w:link w:val="839"/>
    <w:uiPriority w:val="9"/>
    <w:pPr>
      <w:pBdr/>
      <w:spacing/>
      <w:ind/>
    </w:pPr>
    <w:rPr>
      <w:rFonts w:ascii="Arial" w:hAnsi="Arial" w:eastAsia="Arial" w:cs="Arial"/>
      <w:color w:val="0f4761" w:themeColor="accent1" w:themeShade="BF"/>
      <w:sz w:val="28"/>
      <w:szCs w:val="28"/>
    </w:rPr>
  </w:style>
  <w:style w:type="character" w:styleId="822">
    <w:name w:val="Heading 4 Char"/>
    <w:basedOn w:val="846"/>
    <w:link w:val="840"/>
    <w:uiPriority w:val="9"/>
    <w:pPr>
      <w:pBdr/>
      <w:spacing/>
      <w:ind/>
    </w:pPr>
    <w:rPr>
      <w:rFonts w:ascii="Arial" w:hAnsi="Arial" w:eastAsia="Arial" w:cs="Arial"/>
      <w:i/>
      <w:iCs/>
      <w:color w:val="0f4761" w:themeColor="accent1" w:themeShade="BF"/>
    </w:rPr>
  </w:style>
  <w:style w:type="character" w:styleId="823">
    <w:name w:val="Heading 5 Char"/>
    <w:basedOn w:val="846"/>
    <w:link w:val="841"/>
    <w:uiPriority w:val="9"/>
    <w:pPr>
      <w:pBdr/>
      <w:spacing/>
      <w:ind/>
    </w:pPr>
    <w:rPr>
      <w:rFonts w:ascii="Arial" w:hAnsi="Arial" w:eastAsia="Arial" w:cs="Arial"/>
      <w:color w:val="0f4761" w:themeColor="accent1" w:themeShade="BF"/>
    </w:rPr>
  </w:style>
  <w:style w:type="character" w:styleId="824">
    <w:name w:val="Heading 6 Char"/>
    <w:basedOn w:val="846"/>
    <w:link w:val="842"/>
    <w:uiPriority w:val="9"/>
    <w:pPr>
      <w:pBdr/>
      <w:spacing/>
      <w:ind/>
    </w:pPr>
    <w:rPr>
      <w:rFonts w:ascii="Arial" w:hAnsi="Arial" w:eastAsia="Arial" w:cs="Arial"/>
      <w:i/>
      <w:iCs/>
      <w:color w:val="595959" w:themeColor="text1" w:themeTint="A6"/>
    </w:rPr>
  </w:style>
  <w:style w:type="character" w:styleId="825">
    <w:name w:val="Heading 7 Char"/>
    <w:basedOn w:val="846"/>
    <w:link w:val="843"/>
    <w:uiPriority w:val="9"/>
    <w:pPr>
      <w:pBdr/>
      <w:spacing/>
      <w:ind/>
    </w:pPr>
    <w:rPr>
      <w:rFonts w:ascii="Arial" w:hAnsi="Arial" w:eastAsia="Arial" w:cs="Arial"/>
      <w:color w:val="595959" w:themeColor="text1" w:themeTint="A6"/>
    </w:rPr>
  </w:style>
  <w:style w:type="character" w:styleId="826">
    <w:name w:val="Heading 8 Char"/>
    <w:basedOn w:val="846"/>
    <w:link w:val="844"/>
    <w:uiPriority w:val="9"/>
    <w:pPr>
      <w:pBdr/>
      <w:spacing/>
      <w:ind/>
    </w:pPr>
    <w:rPr>
      <w:rFonts w:ascii="Arial" w:hAnsi="Arial" w:eastAsia="Arial" w:cs="Arial"/>
      <w:i/>
      <w:iCs/>
      <w:color w:val="272727" w:themeColor="text1" w:themeTint="D8"/>
    </w:rPr>
  </w:style>
  <w:style w:type="character" w:styleId="827">
    <w:name w:val="Heading 9 Char"/>
    <w:basedOn w:val="846"/>
    <w:link w:val="845"/>
    <w:uiPriority w:val="9"/>
    <w:pPr>
      <w:pBdr/>
      <w:spacing/>
      <w:ind/>
    </w:pPr>
    <w:rPr>
      <w:rFonts w:ascii="Arial" w:hAnsi="Arial" w:eastAsia="Arial" w:cs="Arial"/>
      <w:i/>
      <w:iCs/>
      <w:color w:val="272727" w:themeColor="text1" w:themeTint="D8"/>
    </w:rPr>
  </w:style>
  <w:style w:type="character" w:styleId="828">
    <w:name w:val="Title Char"/>
    <w:basedOn w:val="846"/>
    <w:link w:val="984"/>
    <w:uiPriority w:val="10"/>
    <w:pPr>
      <w:pBdr/>
      <w:spacing/>
      <w:ind/>
    </w:pPr>
    <w:rPr>
      <w:rFonts w:ascii="Arial" w:hAnsi="Arial" w:eastAsia="Arial" w:cs="Arial"/>
      <w:spacing w:val="-10"/>
      <w:sz w:val="56"/>
      <w:szCs w:val="56"/>
    </w:rPr>
  </w:style>
  <w:style w:type="character" w:styleId="829">
    <w:name w:val="Subtitle Char"/>
    <w:basedOn w:val="846"/>
    <w:link w:val="986"/>
    <w:uiPriority w:val="11"/>
    <w:pPr>
      <w:pBdr/>
      <w:spacing/>
      <w:ind/>
    </w:pPr>
    <w:rPr>
      <w:color w:val="595959" w:themeColor="text1" w:themeTint="A6"/>
      <w:spacing w:val="15"/>
      <w:sz w:val="28"/>
      <w:szCs w:val="28"/>
    </w:rPr>
  </w:style>
  <w:style w:type="character" w:styleId="830">
    <w:name w:val="Quote Char"/>
    <w:basedOn w:val="846"/>
    <w:link w:val="988"/>
    <w:uiPriority w:val="29"/>
    <w:pPr>
      <w:pBdr/>
      <w:spacing/>
      <w:ind/>
    </w:pPr>
    <w:rPr>
      <w:i/>
      <w:iCs/>
      <w:color w:val="404040" w:themeColor="text1" w:themeTint="BF"/>
    </w:rPr>
  </w:style>
  <w:style w:type="character" w:styleId="831">
    <w:name w:val="Intense Quote Char"/>
    <w:basedOn w:val="846"/>
    <w:link w:val="992"/>
    <w:uiPriority w:val="30"/>
    <w:pPr>
      <w:pBdr/>
      <w:spacing/>
      <w:ind/>
    </w:pPr>
    <w:rPr>
      <w:i/>
      <w:iCs/>
      <w:color w:val="0f4761" w:themeColor="accent1" w:themeShade="BF"/>
    </w:rPr>
  </w:style>
  <w:style w:type="character" w:styleId="832">
    <w:name w:val="Header Char"/>
    <w:basedOn w:val="846"/>
    <w:link w:val="1001"/>
    <w:uiPriority w:val="99"/>
    <w:pPr>
      <w:pBdr/>
      <w:spacing/>
      <w:ind/>
    </w:pPr>
  </w:style>
  <w:style w:type="character" w:styleId="833">
    <w:name w:val="Footer Char"/>
    <w:basedOn w:val="846"/>
    <w:link w:val="1003"/>
    <w:uiPriority w:val="99"/>
    <w:pPr>
      <w:pBdr/>
      <w:spacing/>
      <w:ind/>
    </w:pPr>
  </w:style>
  <w:style w:type="character" w:styleId="834">
    <w:name w:val="Footnote Text Char"/>
    <w:basedOn w:val="846"/>
    <w:link w:val="1006"/>
    <w:uiPriority w:val="99"/>
    <w:semiHidden/>
    <w:pPr>
      <w:pBdr/>
      <w:spacing/>
      <w:ind/>
    </w:pPr>
    <w:rPr>
      <w:sz w:val="20"/>
      <w:szCs w:val="20"/>
    </w:rPr>
  </w:style>
  <w:style w:type="character" w:styleId="835">
    <w:name w:val="Endnote Text Char"/>
    <w:basedOn w:val="846"/>
    <w:link w:val="1009"/>
    <w:uiPriority w:val="99"/>
    <w:semiHidden/>
    <w:pPr>
      <w:pBdr/>
      <w:spacing/>
      <w:ind/>
    </w:pPr>
    <w:rPr>
      <w:sz w:val="20"/>
      <w:szCs w:val="20"/>
    </w:rPr>
  </w:style>
  <w:style w:type="paragraph" w:styleId="836" w:default="1">
    <w:name w:val="Normal"/>
    <w:qFormat/>
    <w:pPr>
      <w:pBdr/>
      <w:spacing/>
      <w:ind/>
    </w:pPr>
  </w:style>
  <w:style w:type="paragraph" w:styleId="837">
    <w:name w:val="Heading 1"/>
    <w:basedOn w:val="836"/>
    <w:next w:val="836"/>
    <w:link w:val="975"/>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38">
    <w:name w:val="Heading 2"/>
    <w:basedOn w:val="836"/>
    <w:next w:val="836"/>
    <w:link w:val="976"/>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39">
    <w:name w:val="Heading 3"/>
    <w:basedOn w:val="836"/>
    <w:next w:val="836"/>
    <w:link w:val="977"/>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40">
    <w:name w:val="Heading 4"/>
    <w:basedOn w:val="836"/>
    <w:next w:val="836"/>
    <w:link w:val="978"/>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41">
    <w:name w:val="Heading 5"/>
    <w:basedOn w:val="836"/>
    <w:next w:val="836"/>
    <w:link w:val="979"/>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42">
    <w:name w:val="Heading 6"/>
    <w:basedOn w:val="836"/>
    <w:next w:val="836"/>
    <w:link w:val="980"/>
    <w:uiPriority w:val="9"/>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843">
    <w:name w:val="Heading 7"/>
    <w:basedOn w:val="836"/>
    <w:next w:val="836"/>
    <w:link w:val="981"/>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844">
    <w:name w:val="Heading 8"/>
    <w:basedOn w:val="836"/>
    <w:next w:val="836"/>
    <w:link w:val="982"/>
    <w:uiPriority w:val="9"/>
    <w:unhideWhenUsed/>
    <w:qFormat/>
    <w:pPr>
      <w:keepNext w:val="true"/>
      <w:keepLines w:val="true"/>
      <w:pBdr/>
      <w:spacing/>
      <w:ind/>
      <w:outlineLvl w:val="7"/>
    </w:pPr>
    <w:rPr>
      <w:rFonts w:ascii="Arial" w:hAnsi="Arial" w:eastAsia="Arial" w:cs="Arial"/>
      <w:i/>
      <w:iCs/>
      <w:color w:val="272727" w:themeColor="text1" w:themeTint="D8"/>
    </w:rPr>
  </w:style>
  <w:style w:type="paragraph" w:styleId="845">
    <w:name w:val="Heading 9"/>
    <w:basedOn w:val="836"/>
    <w:next w:val="836"/>
    <w:link w:val="983"/>
    <w:uiPriority w:val="9"/>
    <w:unhideWhenUsed/>
    <w:qFormat/>
    <w:pPr>
      <w:keepNext w:val="true"/>
      <w:keepLines w:val="true"/>
      <w:pBdr/>
      <w:spacing/>
      <w:ind/>
      <w:outlineLvl w:val="8"/>
    </w:pPr>
    <w:rPr>
      <w:rFonts w:ascii="Arial" w:hAnsi="Arial" w:eastAsia="Arial" w:cs="Arial"/>
      <w:i/>
      <w:iCs/>
      <w:color w:val="272727" w:themeColor="text1" w:themeTint="D8"/>
    </w:rPr>
  </w:style>
  <w:style w:type="character" w:styleId="846" w:default="1">
    <w:name w:val="Default Paragraph Font"/>
    <w:uiPriority w:val="1"/>
    <w:semiHidden/>
    <w:unhideWhenUsed/>
    <w:pPr>
      <w:pBdr/>
      <w:spacing/>
      <w:ind/>
    </w:pPr>
  </w:style>
  <w:style w:type="table" w:styleId="847"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48" w:default="1">
    <w:name w:val="No List"/>
    <w:uiPriority w:val="99"/>
    <w:semiHidden/>
    <w:unhideWhenUsed/>
    <w:pPr>
      <w:pBdr/>
      <w:spacing/>
      <w:ind/>
    </w:pPr>
  </w:style>
  <w:style w:type="table" w:styleId="849">
    <w:name w:val="Table Grid"/>
    <w:basedOn w:val="847"/>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Table Grid Light"/>
    <w:basedOn w:val="847"/>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Plain Table 1"/>
    <w:basedOn w:val="847"/>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Plain Table 2"/>
    <w:basedOn w:val="847"/>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Plain Table 3"/>
    <w:basedOn w:val="847"/>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Plain Table 4"/>
    <w:basedOn w:val="847"/>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Plain Table 5"/>
    <w:basedOn w:val="847"/>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1 Light"/>
    <w:basedOn w:val="847"/>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Grid Table 1 Light - Accent 1"/>
    <w:basedOn w:val="847"/>
    <w:uiPriority w:val="99"/>
    <w:pPr>
      <w:pBdr/>
      <w:spacing/>
      <w:ind/>
    </w:pPr>
    <w:tblPr>
      <w:tblStyleRowBandSize w:val="1"/>
      <w:tblStyleColBandSize w:val="1"/>
      <w:tbl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insideH w:val="single" w:color="81c9ea" w:themeColor="accent1" w:themeTint="67" w:sz="4" w:space="0"/>
        <w:insideV w:val="single" w:color="81c9ea"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4ab2e1"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Grid Table 1 Light - Accent 2"/>
    <w:basedOn w:val="847"/>
    <w:uiPriority w:val="99"/>
    <w:pPr>
      <w:pBdr/>
      <w:spacing/>
      <w:ind/>
    </w:pPr>
    <w:tblPr>
      <w:tblStyleRowBandSize w:val="1"/>
      <w:tblStyleColBandSize w:val="1"/>
      <w:tbl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insideH w:val="single" w:color="f6c5ab" w:themeColor="accent2" w:themeTint="67" w:sz="4" w:space="0"/>
        <w:insideV w:val="single" w:color="f6c5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2ab87"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Grid Table 1 Light - Accent 3"/>
    <w:basedOn w:val="847"/>
    <w:uiPriority w:val="99"/>
    <w:pPr>
      <w:pBdr/>
      <w:spacing/>
      <w:ind/>
    </w:pPr>
    <w:tblPr>
      <w:tblStyleRowBandSize w:val="1"/>
      <w:tblStyleColBandSize w:val="1"/>
      <w:tbl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insideH w:val="single" w:color="83e28f" w:themeColor="accent3" w:themeTint="67" w:sz="4" w:space="0"/>
        <w:insideV w:val="single" w:color="83e28f"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4bd55e"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Grid Table 1 Light - Accent 4"/>
    <w:basedOn w:val="847"/>
    <w:uiPriority w:val="99"/>
    <w:pPr>
      <w:pBdr/>
      <w:spacing/>
      <w:ind/>
    </w:pPr>
    <w:tblPr>
      <w:tblStyleRowBandSize w:val="1"/>
      <w:tblStyleColBandSize w:val="1"/>
      <w:tbl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insideH w:val="single" w:color="94dbf7" w:themeColor="accent4" w:themeTint="67" w:sz="4" w:space="0"/>
        <w:insideV w:val="single" w:color="94dbf7"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4ccf4"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Grid Table 1 Light - Accent 5"/>
    <w:basedOn w:val="847"/>
    <w:uiPriority w:val="99"/>
    <w:pPr>
      <w:pBdr/>
      <w:spacing/>
      <w:ind/>
    </w:pPr>
    <w:tblPr>
      <w:tblStyleRowBandSize w:val="1"/>
      <w:tblStyleColBandSize w:val="1"/>
      <w:tbl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insideH w:val="single" w:color="e49ddc" w:themeColor="accent5" w:themeTint="67" w:sz="4" w:space="0"/>
        <w:insideV w:val="single" w:color="e49ddc"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971c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Grid Table 1 Light - Accent 6"/>
    <w:basedOn w:val="847"/>
    <w:uiPriority w:val="99"/>
    <w:pPr>
      <w:pBdr/>
      <w:spacing/>
      <w:ind/>
    </w:pPr>
    <w:tblPr>
      <w:tblStyleRowBandSize w:val="1"/>
      <w:tblStyleColBandSize w:val="1"/>
      <w:tbl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insideH w:val="single" w:color="b2e5a0" w:themeColor="accent6" w:themeTint="67" w:sz="4" w:space="0"/>
        <w:insideV w:val="single" w:color="b2e5a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0d976"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2"/>
    <w:basedOn w:val="847"/>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Grid Table 2 - Accent 1"/>
    <w:basedOn w:val="847"/>
    <w:uiPriority w:val="99"/>
    <w:pPr>
      <w:pBdr/>
      <w:spacing/>
      <w:ind/>
    </w:pPr>
    <w:tblPr>
      <w:tblStyleRowBandSize w:val="1"/>
      <w:tblStyleColBandSize w:val="1"/>
      <w:tblBorders>
        <w:bottom w:val="single" w:color="19729b" w:themeColor="accent1" w:themeTint="EA" w:sz="4" w:space="0"/>
        <w:insideH w:val="single" w:color="19729b" w:themeColor="accent1" w:themeTint="EA" w:sz="4" w:space="0"/>
        <w:insideV w:val="single" w:color="19729b" w:themeColor="accent1" w:themeTint="EA" w:sz="4" w:space="0"/>
      </w:tblBorders>
    </w:tblPr>
    <w:tcPr>
      <w:tcBorders/>
    </w:tcPr>
    <w:tblStylePr w:type="band1Horz">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1Vert">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19729b"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19729b"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Grid Table 2 - Accent 2"/>
    <w:basedOn w:val="847"/>
    <w:uiPriority w:val="99"/>
    <w:pPr>
      <w:pBdr/>
      <w:spacing/>
      <w:ind/>
    </w:pPr>
    <w:tblPr>
      <w:tblStyleRowBandSize w:val="1"/>
      <w:tblStyleColBandSize w:val="1"/>
      <w:tblBorders>
        <w:bottom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1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2aa8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2aa8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Grid Table 2 - Accent 3"/>
    <w:basedOn w:val="847"/>
    <w:uiPriority w:val="99"/>
    <w:pPr>
      <w:pBdr/>
      <w:spacing/>
      <w:ind/>
    </w:pPr>
    <w:tblPr>
      <w:tblStyleRowBandSize w:val="1"/>
      <w:tblStyleColBandSize w:val="1"/>
      <w:tblBorders>
        <w:bottom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1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196c24"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196c24"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Grid Table 2 - Accent 4"/>
    <w:basedOn w:val="847"/>
    <w:uiPriority w:val="99"/>
    <w:pPr>
      <w:pBdr/>
      <w:spacing/>
      <w:ind/>
    </w:pPr>
    <w:tblPr>
      <w:tblStyleRowBandSize w:val="1"/>
      <w:tblStyleColBandSize w:val="1"/>
      <w:tblBorders>
        <w:bottom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fcaf3"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fcaf3"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Grid Table 2 - Accent 5"/>
    <w:basedOn w:val="847"/>
    <w:uiPriority w:val="99"/>
    <w:pPr>
      <w:pBdr/>
      <w:spacing/>
      <w:ind/>
    </w:pPr>
    <w:tblPr>
      <w:tblStyleRowBandSize w:val="1"/>
      <w:tblStyleColBandSize w:val="1"/>
      <w:tblBorders>
        <w:bottom w:val="single" w:color="a02b93" w:themeColor="accent5" w:sz="4" w:space="0"/>
        <w:insideH w:val="single" w:color="a02b93" w:themeColor="accent5" w:sz="4" w:space="0"/>
        <w:insideV w:val="single" w:color="a02b93" w:themeColor="accent5" w:sz="4" w:space="0"/>
      </w:tblBorders>
    </w:tblPr>
    <w:tcPr>
      <w:tcBorders/>
    </w:tcPr>
    <w:tblStylePr w:type="band1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1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02b93"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02b93"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Grid Table 2 - Accent 6"/>
    <w:basedOn w:val="847"/>
    <w:uiPriority w:val="99"/>
    <w:pPr>
      <w:pBdr/>
      <w:spacing/>
      <w:ind/>
    </w:pPr>
    <w:tblPr>
      <w:tblStyleRowBandSize w:val="1"/>
      <w:tblStyleColBandSize w:val="1"/>
      <w:tblBorders>
        <w:bottom w:val="single" w:color="4ea72e" w:themeColor="accent6" w:sz="4" w:space="0"/>
        <w:insideH w:val="single" w:color="4ea72e" w:themeColor="accent6" w:sz="4" w:space="0"/>
        <w:insideV w:val="single" w:color="4ea72e" w:themeColor="accent6" w:sz="4" w:space="0"/>
      </w:tblBorders>
    </w:tblPr>
    <w:tcPr>
      <w:tcBorders/>
    </w:tcPr>
    <w:tblStylePr w:type="band1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1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ea72e"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ea72e"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3"/>
    <w:basedOn w:val="847"/>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Grid Table 3 - Accent 1"/>
    <w:basedOn w:val="847"/>
    <w:uiPriority w:val="99"/>
    <w:pPr>
      <w:pBdr/>
      <w:spacing/>
      <w:ind/>
    </w:pPr>
    <w:tblPr>
      <w:tblStyleRowBandSize w:val="1"/>
      <w:tblStyleColBandSize w:val="1"/>
      <w:tblBorders>
        <w:bottom w:val="single" w:color="19729b" w:themeColor="accent1" w:themeTint="EA" w:sz="4" w:space="0"/>
        <w:insideH w:val="single" w:color="19729b" w:themeColor="accent1" w:themeTint="EA" w:sz="4" w:space="0"/>
        <w:insideV w:val="single" w:color="19729b" w:themeColor="accent1" w:themeTint="EA" w:sz="4" w:space="0"/>
      </w:tblBorders>
    </w:tblPr>
    <w:tcPr>
      <w:tcBorders/>
    </w:tcPr>
    <w:tblStylePr w:type="band1Horz">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1Vert">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Grid Table 3 - Accent 2"/>
    <w:basedOn w:val="847"/>
    <w:uiPriority w:val="99"/>
    <w:pPr>
      <w:pBdr/>
      <w:spacing/>
      <w:ind/>
    </w:pPr>
    <w:tblPr>
      <w:tblStyleRowBandSize w:val="1"/>
      <w:tblStyleColBandSize w:val="1"/>
      <w:tblBorders>
        <w:bottom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1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Grid Table 3 - Accent 3"/>
    <w:basedOn w:val="847"/>
    <w:uiPriority w:val="99"/>
    <w:pPr>
      <w:pBdr/>
      <w:spacing/>
      <w:ind/>
    </w:pPr>
    <w:tblPr>
      <w:tblStyleRowBandSize w:val="1"/>
      <w:tblStyleColBandSize w:val="1"/>
      <w:tblBorders>
        <w:bottom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1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Grid Table 3 - Accent 4"/>
    <w:basedOn w:val="847"/>
    <w:uiPriority w:val="99"/>
    <w:pPr>
      <w:pBdr/>
      <w:spacing/>
      <w:ind/>
    </w:pPr>
    <w:tblPr>
      <w:tblStyleRowBandSize w:val="1"/>
      <w:tblStyleColBandSize w:val="1"/>
      <w:tblBorders>
        <w:bottom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Grid Table 3 - Accent 5"/>
    <w:basedOn w:val="847"/>
    <w:uiPriority w:val="99"/>
    <w:pPr>
      <w:pBdr/>
      <w:spacing/>
      <w:ind/>
    </w:pPr>
    <w:tblPr>
      <w:tblStyleRowBandSize w:val="1"/>
      <w:tblStyleColBandSize w:val="1"/>
      <w:tblBorders>
        <w:bottom w:val="single" w:color="a02b93" w:themeColor="accent5" w:sz="4" w:space="0"/>
        <w:insideH w:val="single" w:color="a02b93" w:themeColor="accent5" w:sz="4" w:space="0"/>
        <w:insideV w:val="single" w:color="a02b93" w:themeColor="accent5" w:sz="4" w:space="0"/>
      </w:tblBorders>
    </w:tblPr>
    <w:tcPr>
      <w:tcBorders/>
    </w:tcPr>
    <w:tblStylePr w:type="band1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1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Grid Table 3 - Accent 6"/>
    <w:basedOn w:val="847"/>
    <w:uiPriority w:val="99"/>
    <w:pPr>
      <w:pBdr/>
      <w:spacing/>
      <w:ind/>
    </w:pPr>
    <w:tblPr>
      <w:tblStyleRowBandSize w:val="1"/>
      <w:tblStyleColBandSize w:val="1"/>
      <w:tblBorders>
        <w:bottom w:val="single" w:color="4ea72e" w:themeColor="accent6" w:sz="4" w:space="0"/>
        <w:insideH w:val="single" w:color="4ea72e" w:themeColor="accent6" w:sz="4" w:space="0"/>
        <w:insideV w:val="single" w:color="4ea72e" w:themeColor="accent6" w:sz="4" w:space="0"/>
      </w:tblBorders>
    </w:tblPr>
    <w:tcPr>
      <w:tcBorders/>
    </w:tcPr>
    <w:tblStylePr w:type="band1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1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4"/>
    <w:basedOn w:val="847"/>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Grid Table 4 - Accent 1"/>
    <w:basedOn w:val="847"/>
    <w:uiPriority w:val="59"/>
    <w:pPr>
      <w:pBdr/>
      <w:spacing/>
      <w:ind/>
    </w:pPr>
    <w:tblPr>
      <w:tblStyleRowBandSize w:val="1"/>
      <w:tblStyleColBandSize w:val="1"/>
      <w:tblBorders>
        <w:top w:val="single" w:color="50b4e2" w:themeColor="accent1" w:themeTint="90" w:sz="4" w:space="0"/>
        <w:left w:val="single" w:color="50b4e2" w:themeColor="accent1" w:themeTint="90" w:sz="4" w:space="0"/>
        <w:bottom w:val="single" w:color="50b4e2" w:themeColor="accent1" w:themeTint="90" w:sz="4" w:space="0"/>
        <w:right w:val="single" w:color="50b4e2" w:themeColor="accent1" w:themeTint="90" w:sz="4" w:space="0"/>
        <w:insideH w:val="single" w:color="50b4e2" w:themeColor="accent1" w:themeTint="90" w:sz="4" w:space="0"/>
        <w:insideV w:val="single" w:color="50b4e2" w:themeColor="accent1" w:themeTint="90" w:sz="4" w:space="0"/>
      </w:tblBorders>
    </w:tblPr>
    <w:tcPr>
      <w:tcBorders/>
    </w:tcPr>
    <w:tblStylePr w:type="band1Horz">
      <w:rPr>
        <w:rFonts w:ascii="Arial" w:hAnsi="Arial"/>
        <w:color w:val="404040"/>
        <w:sz w:val="22"/>
      </w:rPr>
      <w:pPr>
        <w:pBdr/>
        <w:spacing/>
        <w:ind/>
      </w:pPr>
      <w:tblPr>
        <w:tblBorders/>
      </w:tblPr>
      <w:tcPr>
        <w:shd w:val="clear" w:color="c2e5f5" w:themeColor="accent1" w:themeTint="32" w:fill="c2e5f5" w:themeFill="accent1" w:themeFillTint="32"/>
        <w:tcBorders/>
      </w:tcPr>
    </w:tblStylePr>
    <w:tblStylePr w:type="band1Vert">
      <w:rPr>
        <w:rFonts w:ascii="Arial" w:hAnsi="Arial"/>
        <w:color w:val="404040"/>
        <w:sz w:val="22"/>
      </w:rPr>
      <w:pPr>
        <w:pBdr/>
        <w:spacing/>
        <w:ind/>
      </w:pPr>
      <w:tblPr>
        <w:tblBorders/>
      </w:tblPr>
      <w:tcPr>
        <w:shd w:val="clear" w:color="c2e5f5" w:themeColor="accent1" w:themeTint="32" w:fill="c2e5f5"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9729b" w:themeColor="accent1" w:themeTint="EA" w:fill="19729b" w:themeFill="accent1" w:themeFillTint="EA"/>
        <w:tcBorders>
          <w:top w:val="single" w:color="19729b" w:themeColor="accent1" w:themeTint="EA" w:sz="4" w:space="0"/>
          <w:left w:val="single" w:color="19729b" w:themeColor="accent1" w:themeTint="EA" w:sz="4" w:space="0"/>
          <w:bottom w:val="single" w:color="19729b" w:themeColor="accent1" w:themeTint="EA" w:sz="4" w:space="0"/>
          <w:right w:val="single" w:color="19729b"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9729b"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Grid Table 4 - Accent 2"/>
    <w:basedOn w:val="847"/>
    <w:uiPriority w:val="59"/>
    <w:pPr>
      <w:pBdr/>
      <w:spacing/>
      <w:ind/>
    </w:pPr>
    <w:tblPr>
      <w:tblStyleRowBandSize w:val="1"/>
      <w:tblStyleColBandSize w:val="1"/>
      <w:tblBorders>
        <w:top w:val="single" w:color="f2ae8b" w:themeColor="accent2" w:themeTint="90" w:sz="4" w:space="0"/>
        <w:left w:val="single" w:color="f2ae8b" w:themeColor="accent2" w:themeTint="90" w:sz="4" w:space="0"/>
        <w:bottom w:val="single" w:color="f2ae8b" w:themeColor="accent2" w:themeTint="90" w:sz="4" w:space="0"/>
        <w:right w:val="single" w:color="f2ae8b" w:themeColor="accent2" w:themeTint="90" w:sz="4" w:space="0"/>
        <w:insideH w:val="single" w:color="f2ae8b" w:themeColor="accent2" w:themeTint="90" w:sz="4" w:space="0"/>
        <w:insideV w:val="single" w:color="f2ae8b" w:themeColor="accent2" w:themeTint="90" w:sz="4" w:space="0"/>
      </w:tblBorders>
    </w:tblPr>
    <w:tcPr>
      <w:tcBorders/>
    </w:tcPr>
    <w:tblStylePr w:type="band1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1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2aa85" w:themeColor="accent2" w:themeTint="97" w:fill="f2aa85" w:themeFill="accent2" w:themeFillTint="97"/>
        <w:tcBorders>
          <w:top w:val="single" w:color="f2aa85" w:themeColor="accent2" w:themeTint="97" w:sz="4" w:space="0"/>
          <w:left w:val="single" w:color="f2aa85" w:themeColor="accent2" w:themeTint="97" w:sz="4" w:space="0"/>
          <w:bottom w:val="single" w:color="f2aa85" w:themeColor="accent2" w:themeTint="97" w:sz="4" w:space="0"/>
          <w:right w:val="single" w:color="f2aa8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2aa8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Grid Table 4 - Accent 3"/>
    <w:basedOn w:val="847"/>
    <w:uiPriority w:val="59"/>
    <w:pPr>
      <w:pBdr/>
      <w:spacing/>
      <w:ind/>
    </w:pPr>
    <w:tblPr>
      <w:tblStyleRowBandSize w:val="1"/>
      <w:tblStyleColBandSize w:val="1"/>
      <w:tblBorders>
        <w:top w:val="single" w:color="51d663" w:themeColor="accent3" w:themeTint="90" w:sz="4" w:space="0"/>
        <w:left w:val="single" w:color="51d663" w:themeColor="accent3" w:themeTint="90" w:sz="4" w:space="0"/>
        <w:bottom w:val="single" w:color="51d663" w:themeColor="accent3" w:themeTint="90" w:sz="4" w:space="0"/>
        <w:right w:val="single" w:color="51d663" w:themeColor="accent3" w:themeTint="90" w:sz="4" w:space="0"/>
        <w:insideH w:val="single" w:color="51d663" w:themeColor="accent3" w:themeTint="90" w:sz="4" w:space="0"/>
        <w:insideV w:val="single" w:color="51d663" w:themeColor="accent3" w:themeTint="90" w:sz="4" w:space="0"/>
      </w:tblBorders>
    </w:tblPr>
    <w:tcPr>
      <w:tcBorders/>
    </w:tcPr>
    <w:tblStylePr w:type="band1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1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96c24" w:themeColor="accent3" w:themeTint="FE" w:fill="196c24" w:themeFill="accent3" w:themeFillTint="FE"/>
        <w:tcBorders>
          <w:top w:val="single" w:color="196c24" w:themeColor="accent3" w:themeTint="FE" w:sz="4" w:space="0"/>
          <w:left w:val="single" w:color="196c24" w:themeColor="accent3" w:themeTint="FE" w:sz="4" w:space="0"/>
          <w:bottom w:val="single" w:color="196c24" w:themeColor="accent3" w:themeTint="FE" w:sz="4" w:space="0"/>
          <w:right w:val="single" w:color="196c24"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96c24"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Grid Table 4 - Accent 4"/>
    <w:basedOn w:val="847"/>
    <w:uiPriority w:val="59"/>
    <w:pPr>
      <w:pBdr/>
      <w:spacing/>
      <w:ind/>
    </w:pPr>
    <w:tblPr>
      <w:tblStyleRowBandSize w:val="1"/>
      <w:tblStyleColBandSize w:val="1"/>
      <w:tblBorders>
        <w:top w:val="single" w:color="6acdf4" w:themeColor="accent4" w:themeTint="90" w:sz="4" w:space="0"/>
        <w:left w:val="single" w:color="6acdf4" w:themeColor="accent4" w:themeTint="90" w:sz="4" w:space="0"/>
        <w:bottom w:val="single" w:color="6acdf4" w:themeColor="accent4" w:themeTint="90" w:sz="4" w:space="0"/>
        <w:right w:val="single" w:color="6acdf4" w:themeColor="accent4" w:themeTint="90" w:sz="4" w:space="0"/>
        <w:insideH w:val="single" w:color="6acdf4" w:themeColor="accent4" w:themeTint="90" w:sz="4" w:space="0"/>
        <w:insideV w:val="single" w:color="6acdf4" w:themeColor="accent4" w:themeTint="90" w:sz="4" w:space="0"/>
      </w:tblBorders>
    </w:tblPr>
    <w:tcPr>
      <w:tcBorders/>
    </w:tcPr>
    <w:tblStylePr w:type="band1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fcaf3" w:themeColor="accent4" w:themeTint="9A" w:fill="5fcaf3" w:themeFill="accent4" w:themeFillTint="9A"/>
        <w:tc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fcaf3"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Grid Table 4 - Accent 5"/>
    <w:basedOn w:val="847"/>
    <w:uiPriority w:val="59"/>
    <w:pPr>
      <w:pBdr/>
      <w:spacing/>
      <w:ind/>
    </w:pPr>
    <w:tblPr>
      <w:tblStyleRowBandSize w:val="1"/>
      <w:tblStyleColBandSize w:val="1"/>
      <w:tblBorders>
        <w:top w:val="single" w:color="da76ce" w:themeColor="accent5" w:themeTint="90" w:sz="4" w:space="0"/>
        <w:left w:val="single" w:color="da76ce" w:themeColor="accent5" w:themeTint="90" w:sz="4" w:space="0"/>
        <w:bottom w:val="single" w:color="da76ce" w:themeColor="accent5" w:themeTint="90" w:sz="4" w:space="0"/>
        <w:right w:val="single" w:color="da76ce" w:themeColor="accent5" w:themeTint="90" w:sz="4" w:space="0"/>
        <w:insideH w:val="single" w:color="da76ce" w:themeColor="accent5" w:themeTint="90" w:sz="4" w:space="0"/>
        <w:insideV w:val="single" w:color="da76ce" w:themeColor="accent5" w:themeTint="90" w:sz="4" w:space="0"/>
      </w:tblBorders>
    </w:tblPr>
    <w:tcPr>
      <w:tcBorders/>
    </w:tcPr>
    <w:tblStylePr w:type="band1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1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02b93" w:themeColor="accent5" w:fill="a02b93" w:themeFill="accent5"/>
        <w:tcBorders>
          <w:top w:val="single" w:color="a02b93" w:themeColor="accent5" w:sz="4" w:space="0"/>
          <w:left w:val="single" w:color="a02b93" w:themeColor="accent5" w:sz="4" w:space="0"/>
          <w:bottom w:val="single" w:color="a02b93" w:themeColor="accent5" w:sz="4" w:space="0"/>
          <w:right w:val="single" w:color="a02b93"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02b93"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Grid Table 4 - Accent 6"/>
    <w:basedOn w:val="847"/>
    <w:uiPriority w:val="59"/>
    <w:pPr>
      <w:pBdr/>
      <w:spacing/>
      <w:ind/>
    </w:pPr>
    <w:tblPr>
      <w:tblStyleRowBandSize w:val="1"/>
      <w:tblStyleColBandSize w:val="1"/>
      <w:tblBorders>
        <w:top w:val="single" w:color="94da7b" w:themeColor="accent6" w:themeTint="90" w:sz="4" w:space="0"/>
        <w:left w:val="single" w:color="94da7b" w:themeColor="accent6" w:themeTint="90" w:sz="4" w:space="0"/>
        <w:bottom w:val="single" w:color="94da7b" w:themeColor="accent6" w:themeTint="90" w:sz="4" w:space="0"/>
        <w:right w:val="single" w:color="94da7b" w:themeColor="accent6" w:themeTint="90" w:sz="4" w:space="0"/>
        <w:insideH w:val="single" w:color="94da7b" w:themeColor="accent6" w:themeTint="90" w:sz="4" w:space="0"/>
        <w:insideV w:val="single" w:color="94da7b" w:themeColor="accent6" w:themeTint="90" w:sz="4" w:space="0"/>
      </w:tblBorders>
    </w:tblPr>
    <w:tcPr>
      <w:tcBorders/>
    </w:tcPr>
    <w:tblStylePr w:type="band1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1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ea72e" w:themeColor="accent6" w:fill="4ea72e" w:themeFill="accent6"/>
        <w:tcBorders>
          <w:top w:val="single" w:color="4ea72e" w:themeColor="accent6" w:sz="4" w:space="0"/>
          <w:left w:val="single" w:color="4ea72e" w:themeColor="accent6" w:sz="4" w:space="0"/>
          <w:bottom w:val="single" w:color="4ea72e" w:themeColor="accent6" w:sz="4" w:space="0"/>
          <w:right w:val="single" w:color="4ea72e"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ea72e"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5 Dark"/>
    <w:basedOn w:val="84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Grid Table 5 Dark- Accent 1"/>
    <w:basedOn w:val="84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e4f4" w:themeColor="accent1" w:themeTint="34" w:fill="bfe4f4" w:themeFill="accent1" w:themeFillTint="34"/>
    </w:tblPr>
    <w:tcPr>
      <w:tcBorders/>
    </w:tcPr>
    <w:tblStylePr w:type="band1Horz">
      <w:pPr>
        <w:pBdr/>
        <w:spacing/>
        <w:ind/>
      </w:pPr>
      <w:tblPr>
        <w:tblBorders/>
      </w:tblPr>
      <w:tcPr>
        <w:shd w:val="clear" w:color="70c2e8" w:themeColor="accent1" w:themeTint="75" w:fill="70c2e8" w:themeFill="accent1" w:themeFillTint="75"/>
        <w:tcBorders/>
      </w:tcPr>
    </w:tblStylePr>
    <w:tblStylePr w:type="band1Vert">
      <w:pPr>
        <w:pBdr/>
        <w:spacing/>
        <w:ind/>
      </w:pPr>
      <w:tblPr>
        <w:tblBorders/>
      </w:tblPr>
      <w:tcPr>
        <w:shd w:val="clear" w:color="70c2e8" w:themeColor="accent1" w:themeTint="75" w:fill="70c2e8"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156082" w:themeColor="accent1" w:fill="156082" w:themeFill="accent1"/>
        <w:tcBorders/>
      </w:tcPr>
    </w:tblStylePr>
    <w:tblStylePr w:type="firstRow">
      <w:rPr>
        <w:rFonts w:ascii="Arial" w:hAnsi="Arial"/>
        <w:b/>
        <w:color w:val="ffffff"/>
        <w:sz w:val="22"/>
      </w:rPr>
      <w:pPr>
        <w:pBdr/>
        <w:spacing/>
        <w:ind/>
      </w:pPr>
      <w:tblPr>
        <w:tblBorders/>
      </w:tblPr>
      <w:tcPr>
        <w:shd w:val="clear" w:color="156082" w:themeColor="accent1" w:fill="156082" w:themeFill="accent1"/>
        <w:tcBorders/>
      </w:tcPr>
    </w:tblStylePr>
    <w:tblStylePr w:type="lastCol">
      <w:rPr>
        <w:rFonts w:ascii="Arial" w:hAnsi="Arial"/>
        <w:b/>
        <w:color w:val="ffffff"/>
        <w:sz w:val="22"/>
      </w:rPr>
      <w:pPr>
        <w:pBdr/>
        <w:spacing/>
        <w:ind/>
      </w:pPr>
      <w:tblPr>
        <w:tblBorders/>
      </w:tblPr>
      <w:tcPr>
        <w:shd w:val="clear" w:color="156082" w:themeColor="accent1" w:fill="156082" w:themeFill="accent1"/>
        <w:tcBorders/>
      </w:tcPr>
    </w:tblStylePr>
    <w:tblStylePr w:type="lastRow">
      <w:rPr>
        <w:rFonts w:ascii="Arial" w:hAnsi="Arial"/>
        <w:b/>
        <w:color w:val="ffffff"/>
        <w:sz w:val="22"/>
      </w:rPr>
      <w:pPr>
        <w:pBdr/>
        <w:spacing/>
        <w:ind/>
      </w:pPr>
      <w:tblPr>
        <w:tblBorders/>
      </w:tblPr>
      <w:tcPr>
        <w:shd w:val="clear" w:color="156082" w:themeColor="accent1" w:fill="156082"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Grid Table 5 Dark - Accent 2"/>
    <w:basedOn w:val="84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ae2d6" w:themeColor="accent2" w:themeTint="32" w:fill="fae2d6" w:themeFill="accent2" w:themeFillTint="32"/>
    </w:tblPr>
    <w:tcPr>
      <w:tcBorders/>
    </w:tcPr>
    <w:tblStylePr w:type="band1Horz">
      <w:pPr>
        <w:pBdr/>
        <w:spacing/>
        <w:ind/>
      </w:pPr>
      <w:tblPr>
        <w:tblBorders/>
      </w:tblPr>
      <w:tcPr>
        <w:shd w:val="clear" w:color="f5bda0" w:themeColor="accent2" w:themeTint="75" w:fill="f5bda0" w:themeFill="accent2" w:themeFillTint="75"/>
        <w:tcBorders/>
      </w:tcPr>
    </w:tblStylePr>
    <w:tblStylePr w:type="band1Vert">
      <w:pPr>
        <w:pBdr/>
        <w:spacing/>
        <w:ind/>
      </w:pPr>
      <w:tblPr>
        <w:tblBorders/>
      </w:tblPr>
      <w:tcPr>
        <w:shd w:val="clear" w:color="f5bda0" w:themeColor="accent2" w:themeTint="75" w:fill="f5bd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97132" w:themeColor="accent2" w:fill="e97132" w:themeFill="accent2"/>
        <w:tcBorders/>
      </w:tcPr>
    </w:tblStylePr>
    <w:tblStylePr w:type="firstRow">
      <w:rPr>
        <w:rFonts w:ascii="Arial" w:hAnsi="Arial"/>
        <w:b/>
        <w:color w:val="ffffff"/>
        <w:sz w:val="22"/>
      </w:rPr>
      <w:pPr>
        <w:pBdr/>
        <w:spacing/>
        <w:ind/>
      </w:pPr>
      <w:tblPr>
        <w:tblBorders/>
      </w:tblPr>
      <w:tcPr>
        <w:shd w:val="clear" w:color="e97132" w:themeColor="accent2" w:fill="e97132" w:themeFill="accent2"/>
        <w:tcBorders/>
      </w:tcPr>
    </w:tblStylePr>
    <w:tblStylePr w:type="lastCol">
      <w:rPr>
        <w:rFonts w:ascii="Arial" w:hAnsi="Arial"/>
        <w:b/>
        <w:color w:val="ffffff"/>
        <w:sz w:val="22"/>
      </w:rPr>
      <w:pPr>
        <w:pBdr/>
        <w:spacing/>
        <w:ind/>
      </w:pPr>
      <w:tblPr>
        <w:tblBorders/>
      </w:tblPr>
      <w:tcPr>
        <w:shd w:val="clear" w:color="e97132" w:themeColor="accent2" w:fill="e97132" w:themeFill="accent2"/>
        <w:tcBorders/>
      </w:tcPr>
    </w:tblStylePr>
    <w:tblStylePr w:type="lastRow">
      <w:rPr>
        <w:rFonts w:ascii="Arial" w:hAnsi="Arial"/>
        <w:b/>
        <w:color w:val="ffffff"/>
        <w:sz w:val="22"/>
      </w:rPr>
      <w:pPr>
        <w:pBdr/>
        <w:spacing/>
        <w:ind/>
      </w:pPr>
      <w:tblPr>
        <w:tblBorders/>
      </w:tblPr>
      <w:tcPr>
        <w:shd w:val="clear" w:color="e97132" w:themeColor="accent2" w:fill="e97132"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Grid Table 5 Dark - Accent 3"/>
    <w:basedOn w:val="84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c0f0c6" w:themeColor="accent3" w:themeTint="34" w:fill="c0f0c6" w:themeFill="accent3" w:themeFillTint="34"/>
    </w:tblPr>
    <w:tcPr>
      <w:tcBorders/>
    </w:tcPr>
    <w:tblStylePr w:type="band1Horz">
      <w:pPr>
        <w:pBdr/>
        <w:spacing/>
        <w:ind/>
      </w:pPr>
      <w:tblPr>
        <w:tblBorders/>
      </w:tblPr>
      <w:tcPr>
        <w:shd w:val="clear" w:color="72de80" w:themeColor="accent3" w:themeTint="75" w:fill="72de80" w:themeFill="accent3" w:themeFillTint="75"/>
        <w:tcBorders/>
      </w:tcPr>
    </w:tblStylePr>
    <w:tblStylePr w:type="band1Vert">
      <w:pPr>
        <w:pBdr/>
        <w:spacing/>
        <w:ind/>
      </w:pPr>
      <w:tblPr>
        <w:tblBorders/>
      </w:tblPr>
      <w:tcPr>
        <w:shd w:val="clear" w:color="72de80" w:themeColor="accent3" w:themeTint="75" w:fill="72de80"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196b24" w:themeColor="accent3" w:fill="196b24" w:themeFill="accent3"/>
        <w:tcBorders/>
      </w:tcPr>
    </w:tblStylePr>
    <w:tblStylePr w:type="firstRow">
      <w:rPr>
        <w:rFonts w:ascii="Arial" w:hAnsi="Arial"/>
        <w:b/>
        <w:color w:val="ffffff"/>
        <w:sz w:val="22"/>
      </w:rPr>
      <w:pPr>
        <w:pBdr/>
        <w:spacing/>
        <w:ind/>
      </w:pPr>
      <w:tblPr>
        <w:tblBorders/>
      </w:tblPr>
      <w:tcPr>
        <w:shd w:val="clear" w:color="196b24" w:themeColor="accent3" w:fill="196b24" w:themeFill="accent3"/>
        <w:tcBorders/>
      </w:tcPr>
    </w:tblStylePr>
    <w:tblStylePr w:type="lastCol">
      <w:rPr>
        <w:rFonts w:ascii="Arial" w:hAnsi="Arial"/>
        <w:b/>
        <w:color w:val="ffffff"/>
        <w:sz w:val="22"/>
      </w:rPr>
      <w:pPr>
        <w:pBdr/>
        <w:spacing/>
        <w:ind/>
      </w:pPr>
      <w:tblPr>
        <w:tblBorders/>
      </w:tblPr>
      <w:tcPr>
        <w:shd w:val="clear" w:color="196b24" w:themeColor="accent3" w:fill="196b24" w:themeFill="accent3"/>
        <w:tcBorders/>
      </w:tcPr>
    </w:tblStylePr>
    <w:tblStylePr w:type="lastRow">
      <w:rPr>
        <w:rFonts w:ascii="Arial" w:hAnsi="Arial"/>
        <w:b/>
        <w:color w:val="ffffff"/>
        <w:sz w:val="22"/>
      </w:rPr>
      <w:pPr>
        <w:pBdr/>
        <w:spacing/>
        <w:ind/>
      </w:pPr>
      <w:tblPr>
        <w:tblBorders/>
      </w:tblPr>
      <w:tcPr>
        <w:shd w:val="clear" w:color="196b24" w:themeColor="accent3" w:fill="196b24"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Grid Table 5 Dark- Accent 4"/>
    <w:basedOn w:val="84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c9edfb" w:themeColor="accent4" w:themeTint="34" w:fill="c9edfb" w:themeFill="accent4" w:themeFillTint="34"/>
    </w:tblPr>
    <w:tcPr>
      <w:tcBorders/>
    </w:tcPr>
    <w:tblStylePr w:type="band1Horz">
      <w:pPr>
        <w:pBdr/>
        <w:spacing/>
        <w:ind/>
      </w:pPr>
      <w:tblPr>
        <w:tblBorders/>
      </w:tblPr>
      <w:tcPr>
        <w:shd w:val="clear" w:color="85d7f6" w:themeColor="accent4" w:themeTint="75" w:fill="85d7f6" w:themeFill="accent4" w:themeFillTint="75"/>
        <w:tcBorders/>
      </w:tcPr>
    </w:tblStylePr>
    <w:tblStylePr w:type="band1Vert">
      <w:pPr>
        <w:pBdr/>
        <w:spacing/>
        <w:ind/>
      </w:pPr>
      <w:tblPr>
        <w:tblBorders/>
      </w:tblPr>
      <w:tcPr>
        <w:shd w:val="clear" w:color="85d7f6" w:themeColor="accent4" w:themeTint="75" w:fill="85d7f6"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f9ed5" w:themeColor="accent4" w:fill="0f9ed5" w:themeFill="accent4"/>
        <w:tcBorders/>
      </w:tcPr>
    </w:tblStylePr>
    <w:tblStylePr w:type="firstRow">
      <w:rPr>
        <w:rFonts w:ascii="Arial" w:hAnsi="Arial"/>
        <w:b/>
        <w:color w:val="ffffff"/>
        <w:sz w:val="22"/>
      </w:rPr>
      <w:pPr>
        <w:pBdr/>
        <w:spacing/>
        <w:ind/>
      </w:pPr>
      <w:tblPr>
        <w:tblBorders/>
      </w:tblPr>
      <w:tcPr>
        <w:shd w:val="clear" w:color="0f9ed5" w:themeColor="accent4" w:fill="0f9ed5" w:themeFill="accent4"/>
        <w:tcBorders/>
      </w:tcPr>
    </w:tblStylePr>
    <w:tblStylePr w:type="lastCol">
      <w:rPr>
        <w:rFonts w:ascii="Arial" w:hAnsi="Arial"/>
        <w:b/>
        <w:color w:val="ffffff"/>
        <w:sz w:val="22"/>
      </w:rPr>
      <w:pPr>
        <w:pBdr/>
        <w:spacing/>
        <w:ind/>
      </w:pPr>
      <w:tblPr>
        <w:tblBorders/>
      </w:tblPr>
      <w:tcPr>
        <w:shd w:val="clear" w:color="0f9ed5" w:themeColor="accent4" w:fill="0f9ed5" w:themeFill="accent4"/>
        <w:tcBorders/>
      </w:tcPr>
    </w:tblStylePr>
    <w:tblStylePr w:type="lastRow">
      <w:rPr>
        <w:rFonts w:ascii="Arial" w:hAnsi="Arial"/>
        <w:b/>
        <w:color w:val="ffffff"/>
        <w:sz w:val="22"/>
      </w:rPr>
      <w:pPr>
        <w:pBdr/>
        <w:spacing/>
        <w:ind/>
      </w:pPr>
      <w:tblPr>
        <w:tblBorders/>
      </w:tblPr>
      <w:tcPr>
        <w:shd w:val="clear" w:color="0f9ed5" w:themeColor="accent4" w:fill="0f9ed5"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Grid Table 5 Dark - Accent 5"/>
    <w:basedOn w:val="84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1cded" w:themeColor="accent5" w:themeTint="34" w:fill="f1cded" w:themeFill="accent5" w:themeFillTint="34"/>
    </w:tblPr>
    <w:tcPr>
      <w:tcBorders/>
    </w:tcPr>
    <w:tblStylePr w:type="band1Horz">
      <w:pPr>
        <w:pBdr/>
        <w:spacing/>
        <w:ind/>
      </w:pPr>
      <w:tblPr>
        <w:tblBorders/>
      </w:tblPr>
      <w:tcPr>
        <w:shd w:val="clear" w:color="e18fd7" w:themeColor="accent5" w:themeTint="75" w:fill="e18fd7" w:themeFill="accent5" w:themeFillTint="75"/>
        <w:tcBorders/>
      </w:tcPr>
    </w:tblStylePr>
    <w:tblStylePr w:type="band1Vert">
      <w:pPr>
        <w:pBdr/>
        <w:spacing/>
        <w:ind/>
      </w:pPr>
      <w:tblPr>
        <w:tblBorders/>
      </w:tblPr>
      <w:tcPr>
        <w:shd w:val="clear" w:color="e18fd7" w:themeColor="accent5" w:themeTint="75" w:fill="e18fd7"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02b93" w:themeColor="accent5" w:fill="a02b93" w:themeFill="accent5"/>
        <w:tcBorders/>
      </w:tcPr>
    </w:tblStylePr>
    <w:tblStylePr w:type="firstRow">
      <w:rPr>
        <w:rFonts w:ascii="Arial" w:hAnsi="Arial"/>
        <w:b/>
        <w:color w:val="ffffff"/>
        <w:sz w:val="22"/>
      </w:rPr>
      <w:pPr>
        <w:pBdr/>
        <w:spacing/>
        <w:ind/>
      </w:pPr>
      <w:tblPr>
        <w:tblBorders/>
      </w:tblPr>
      <w:tcPr>
        <w:shd w:val="clear" w:color="a02b93" w:themeColor="accent5" w:fill="a02b93" w:themeFill="accent5"/>
        <w:tcBorders/>
      </w:tcPr>
    </w:tblStylePr>
    <w:tblStylePr w:type="lastCol">
      <w:rPr>
        <w:rFonts w:ascii="Arial" w:hAnsi="Arial"/>
        <w:b/>
        <w:color w:val="ffffff"/>
        <w:sz w:val="22"/>
      </w:rPr>
      <w:pPr>
        <w:pBdr/>
        <w:spacing/>
        <w:ind/>
      </w:pPr>
      <w:tblPr>
        <w:tblBorders/>
      </w:tblPr>
      <w:tcPr>
        <w:shd w:val="clear" w:color="a02b93" w:themeColor="accent5" w:fill="a02b93" w:themeFill="accent5"/>
        <w:tcBorders/>
      </w:tcPr>
    </w:tblStylePr>
    <w:tblStylePr w:type="lastRow">
      <w:rPr>
        <w:rFonts w:ascii="Arial" w:hAnsi="Arial"/>
        <w:b/>
        <w:color w:val="ffffff"/>
        <w:sz w:val="22"/>
      </w:rPr>
      <w:pPr>
        <w:pBdr/>
        <w:spacing/>
        <w:ind/>
      </w:pPr>
      <w:tblPr>
        <w:tblBorders/>
      </w:tblPr>
      <w:tcPr>
        <w:shd w:val="clear" w:color="a02b93" w:themeColor="accent5" w:fill="a02b93"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Grid Table 5 Dark - Accent 6"/>
    <w:basedOn w:val="847"/>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f2cf" w:themeColor="accent6" w:themeTint="34" w:fill="d8f2cf" w:themeFill="accent6" w:themeFillTint="34"/>
    </w:tblPr>
    <w:tcPr>
      <w:tcBorders/>
    </w:tcPr>
    <w:tblStylePr w:type="band1Horz">
      <w:pPr>
        <w:pBdr/>
        <w:spacing/>
        <w:ind/>
      </w:pPr>
      <w:tblPr>
        <w:tblBorders/>
      </w:tblPr>
      <w:tcPr>
        <w:shd w:val="clear" w:color="a8e194" w:themeColor="accent6" w:themeTint="75" w:fill="a8e194" w:themeFill="accent6" w:themeFillTint="75"/>
        <w:tcBorders/>
      </w:tcPr>
    </w:tblStylePr>
    <w:tblStylePr w:type="band1Vert">
      <w:pPr>
        <w:pBdr/>
        <w:spacing/>
        <w:ind/>
      </w:pPr>
      <w:tblPr>
        <w:tblBorders/>
      </w:tblPr>
      <w:tcPr>
        <w:shd w:val="clear" w:color="a8e194" w:themeColor="accent6" w:themeTint="75" w:fill="a8e194"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ea72e" w:themeColor="accent6" w:fill="4ea72e" w:themeFill="accent6"/>
        <w:tcBorders/>
      </w:tcPr>
    </w:tblStylePr>
    <w:tblStylePr w:type="firstRow">
      <w:rPr>
        <w:rFonts w:ascii="Arial" w:hAnsi="Arial"/>
        <w:b/>
        <w:color w:val="ffffff"/>
        <w:sz w:val="22"/>
      </w:rPr>
      <w:pPr>
        <w:pBdr/>
        <w:spacing/>
        <w:ind/>
      </w:pPr>
      <w:tblPr>
        <w:tblBorders/>
      </w:tblPr>
      <w:tcPr>
        <w:shd w:val="clear" w:color="4ea72e" w:themeColor="accent6" w:fill="4ea72e" w:themeFill="accent6"/>
        <w:tcBorders/>
      </w:tcPr>
    </w:tblStylePr>
    <w:tblStylePr w:type="lastCol">
      <w:rPr>
        <w:rFonts w:ascii="Arial" w:hAnsi="Arial"/>
        <w:b/>
        <w:color w:val="ffffff"/>
        <w:sz w:val="22"/>
      </w:rPr>
      <w:pPr>
        <w:pBdr/>
        <w:spacing/>
        <w:ind/>
      </w:pPr>
      <w:tblPr>
        <w:tblBorders/>
      </w:tblPr>
      <w:tcPr>
        <w:shd w:val="clear" w:color="4ea72e" w:themeColor="accent6" w:fill="4ea72e" w:themeFill="accent6"/>
        <w:tcBorders/>
      </w:tcPr>
    </w:tblStylePr>
    <w:tblStylePr w:type="lastRow">
      <w:rPr>
        <w:rFonts w:ascii="Arial" w:hAnsi="Arial"/>
        <w:b/>
        <w:color w:val="ffffff"/>
        <w:sz w:val="22"/>
      </w:rPr>
      <w:pPr>
        <w:pBdr/>
        <w:spacing/>
        <w:ind/>
      </w:pPr>
      <w:tblPr>
        <w:tblBorders/>
      </w:tblPr>
      <w:tcPr>
        <w:shd w:val="clear" w:color="4ea72e" w:themeColor="accent6" w:fill="4ea72e"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6 Colorful"/>
    <w:basedOn w:val="847"/>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Grid Table 6 Colorful - Accent 1"/>
    <w:basedOn w:val="847"/>
    <w:uiPriority w:val="99"/>
    <w:pPr>
      <w:pBdr/>
      <w:spacing/>
      <w:ind/>
    </w:pPr>
    <w:tblPr>
      <w:tblStyleRowBandSize w:val="1"/>
      <w:tblStyleColBandSize w:val="1"/>
      <w:tblBorders>
        <w:top w:val="single" w:color="63bde6" w:themeColor="accent1" w:themeTint="80" w:sz="4" w:space="0"/>
        <w:left w:val="single" w:color="63bde6" w:themeColor="accent1" w:themeTint="80" w:sz="4" w:space="0"/>
        <w:bottom w:val="single" w:color="63bde6" w:themeColor="accent1" w:themeTint="80" w:sz="4" w:space="0"/>
        <w:right w:val="single" w:color="63bde6" w:themeColor="accent1" w:themeTint="80" w:sz="4" w:space="0"/>
        <w:insideH w:val="single" w:color="63bde6" w:themeColor="accent1" w:themeTint="80" w:sz="4" w:space="0"/>
        <w:insideV w:val="single" w:color="63bde6" w:themeColor="accent1" w:themeTint="80" w:sz="4" w:space="0"/>
      </w:tblBorders>
    </w:tblPr>
    <w:tcPr>
      <w:tcBorders/>
    </w:tcPr>
    <w:tblStylePr w:type="band1Horz">
      <w:rPr>
        <w:rFonts w:ascii="Arial" w:hAnsi="Arial"/>
        <w:color w:val="63bde6" w:themeColor="accent1" w:themeTint="80" w:themeShade="95"/>
        <w:sz w:val="22"/>
      </w:rPr>
      <w:pPr>
        <w:pBdr/>
        <w:spacing/>
        <w:ind/>
      </w:pPr>
      <w:tblPr>
        <w:tblBorders/>
      </w:tblPr>
      <w:tcPr>
        <w:shd w:val="clear" w:color="bfe4f4" w:themeColor="accent1" w:themeTint="34" w:fill="bfe4f4" w:themeFill="accent1" w:themeFillTint="34"/>
        <w:tcBorders/>
      </w:tcPr>
    </w:tblStylePr>
    <w:tblStylePr w:type="band1Vert">
      <w:pPr>
        <w:pBdr/>
        <w:spacing/>
        <w:ind/>
      </w:pPr>
      <w:tblPr>
        <w:tblBorders/>
      </w:tblPr>
      <w:tcPr>
        <w:shd w:val="clear" w:color="bfe4f4" w:themeColor="accent1" w:themeTint="34" w:fill="bfe4f4" w:themeFill="accent1" w:themeFillTint="34"/>
        <w:tcBorders/>
      </w:tcPr>
    </w:tblStylePr>
    <w:tblStylePr w:type="band2Horz">
      <w:rPr>
        <w:rFonts w:ascii="Arial" w:hAnsi="Arial"/>
        <w:color w:val="63bde6"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3bde6" w:themeColor="accent1" w:themeTint="80" w:themeShade="95"/>
      </w:rPr>
      <w:pPr>
        <w:pBdr/>
        <w:spacing/>
        <w:ind/>
      </w:pPr>
      <w:tblPr>
        <w:tblBorders/>
      </w:tblPr>
      <w:tcPr>
        <w:tcBorders/>
      </w:tcPr>
    </w:tblStylePr>
    <w:tblStylePr w:type="firstRow">
      <w:rPr>
        <w:b/>
        <w:color w:val="63bde6" w:themeColor="accent1" w:themeTint="80" w:themeShade="95"/>
      </w:rPr>
      <w:pPr>
        <w:pBdr/>
        <w:spacing/>
        <w:ind/>
      </w:pPr>
      <w:tblPr>
        <w:tblBorders/>
      </w:tblPr>
      <w:tcPr>
        <w:tcBorders>
          <w:bottom w:val="single" w:color="63bde6" w:themeColor="accent1" w:themeTint="80" w:sz="12" w:space="0"/>
        </w:tcBorders>
      </w:tcPr>
    </w:tblStylePr>
    <w:tblStylePr w:type="lastCol">
      <w:rPr>
        <w:b/>
        <w:color w:val="63bde6" w:themeColor="accent1" w:themeTint="80" w:themeShade="95"/>
      </w:rPr>
      <w:pPr>
        <w:pBdr/>
        <w:spacing/>
        <w:ind/>
      </w:pPr>
      <w:tblPr>
        <w:tblBorders/>
      </w:tblPr>
      <w:tcPr>
        <w:tcBorders/>
      </w:tcPr>
    </w:tblStylePr>
    <w:tblStylePr w:type="lastRow">
      <w:rPr>
        <w:b/>
        <w:color w:val="63bde6"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Grid Table 6 Colorful - Accent 2"/>
    <w:basedOn w:val="847"/>
    <w:uiPriority w:val="99"/>
    <w:pPr>
      <w:pBdr/>
      <w:spacing/>
      <w:ind/>
    </w:pPr>
    <w:tblPr>
      <w:tblStyleRowBandSize w:val="1"/>
      <w:tblStyleColBandSize w:val="1"/>
      <w:tblBorders>
        <w:top w:val="single" w:color="f2aa85" w:themeColor="accent2" w:themeTint="97" w:sz="4" w:space="0"/>
        <w:left w:val="single" w:color="f2aa85" w:themeColor="accent2" w:themeTint="97" w:sz="4" w:space="0"/>
        <w:bottom w:val="single" w:color="f2aa85" w:themeColor="accent2" w:themeTint="97" w:sz="4" w:space="0"/>
        <w:right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ae2d6" w:themeColor="accent2" w:themeTint="32" w:fill="fae2d6" w:themeFill="accent2" w:themeFillTint="32"/>
        <w:tcBorders/>
      </w:tcPr>
    </w:tblStylePr>
    <w:tblStylePr w:type="band1Vert">
      <w:pPr>
        <w:pBdr/>
        <w:spacing/>
        <w:ind/>
      </w:pPr>
      <w:tblPr>
        <w:tblBorders/>
      </w:tblPr>
      <w:tcPr>
        <w:shd w:val="clear" w:color="fae2d6" w:themeColor="accent2" w:themeTint="32" w:fill="fae2d6" w:themeFill="accent2" w:themeFillTint="32"/>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2aa85" w:themeColor="accent2" w:themeTint="97" w:themeShade="95"/>
      </w:rPr>
      <w:pPr>
        <w:pBdr/>
        <w:spacing/>
        <w:ind/>
      </w:pPr>
      <w:tblPr>
        <w:tblBorders/>
      </w:tblPr>
      <w:tcPr>
        <w:tcBorders/>
      </w:tcPr>
    </w:tblStylePr>
    <w:tblStylePr w:type="firstRow">
      <w:rPr>
        <w:b/>
        <w:color w:val="f2aa85" w:themeColor="accent2" w:themeTint="97" w:themeShade="95"/>
      </w:rPr>
      <w:pPr>
        <w:pBdr/>
        <w:spacing/>
        <w:ind/>
      </w:pPr>
      <w:tblPr>
        <w:tblBorders/>
      </w:tblPr>
      <w:tcPr>
        <w:tcBorders>
          <w:bottom w:val="single" w:color="f2aa85" w:themeColor="accent2" w:themeTint="97" w:sz="12" w:space="0"/>
        </w:tcBorders>
      </w:tcPr>
    </w:tblStylePr>
    <w:tblStylePr w:type="lastCol">
      <w:rPr>
        <w:b/>
        <w:color w:val="f2aa85" w:themeColor="accent2" w:themeTint="97" w:themeShade="95"/>
      </w:rPr>
      <w:pPr>
        <w:pBdr/>
        <w:spacing/>
        <w:ind/>
      </w:pPr>
      <w:tblPr>
        <w:tblBorders/>
      </w:tblPr>
      <w:tcPr>
        <w:tcBorders/>
      </w:tcPr>
    </w:tblStylePr>
    <w:tblStylePr w:type="lastRow">
      <w:rPr>
        <w:b/>
        <w:color w:val="f2aa8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Grid Table 6 Colorful - Accent 3"/>
    <w:basedOn w:val="847"/>
    <w:uiPriority w:val="99"/>
    <w:pPr>
      <w:pBdr/>
      <w:spacing/>
      <w:ind/>
    </w:pPr>
    <w:tblPr>
      <w:tblStyleRowBandSize w:val="1"/>
      <w:tblStyleColBandSize w:val="1"/>
      <w:tblBorders>
        <w:top w:val="single" w:color="196c24" w:themeColor="accent3" w:themeTint="FE" w:sz="4" w:space="0"/>
        <w:left w:val="single" w:color="196c24" w:themeColor="accent3" w:themeTint="FE" w:sz="4" w:space="0"/>
        <w:bottom w:val="single" w:color="196c24" w:themeColor="accent3" w:themeTint="FE" w:sz="4" w:space="0"/>
        <w:right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196c24" w:themeColor="accent3" w:themeTint="FE" w:themeShade="95"/>
        <w:sz w:val="22"/>
      </w:rPr>
      <w:pPr>
        <w:pBdr/>
        <w:spacing/>
        <w:ind/>
      </w:pPr>
      <w:tblPr>
        <w:tblBorders/>
      </w:tblPr>
      <w:tcPr>
        <w:shd w:val="clear" w:color="c0f0c6" w:themeColor="accent3" w:themeTint="34" w:fill="c0f0c6" w:themeFill="accent3" w:themeFillTint="34"/>
        <w:tcBorders/>
      </w:tcPr>
    </w:tblStylePr>
    <w:tblStylePr w:type="band1Vert">
      <w:pPr>
        <w:pBdr/>
        <w:spacing/>
        <w:ind/>
      </w:pPr>
      <w:tblPr>
        <w:tblBorders/>
      </w:tblPr>
      <w:tcPr>
        <w:shd w:val="clear" w:color="c0f0c6" w:themeColor="accent3" w:themeTint="34" w:fill="c0f0c6" w:themeFill="accent3" w:themeFillTint="34"/>
        <w:tcBorders/>
      </w:tcPr>
    </w:tblStylePr>
    <w:tblStylePr w:type="band2Horz">
      <w:rPr>
        <w:rFonts w:ascii="Arial" w:hAnsi="Arial"/>
        <w:color w:val="196c24"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196c24" w:themeColor="accent3" w:themeTint="FE" w:themeShade="95"/>
      </w:rPr>
      <w:pPr>
        <w:pBdr/>
        <w:spacing/>
        <w:ind/>
      </w:pPr>
      <w:tblPr>
        <w:tblBorders/>
      </w:tblPr>
      <w:tcPr>
        <w:tcBorders/>
      </w:tcPr>
    </w:tblStylePr>
    <w:tblStylePr w:type="firstRow">
      <w:rPr>
        <w:b/>
        <w:color w:val="196c24" w:themeColor="accent3" w:themeTint="FE" w:themeShade="95"/>
      </w:rPr>
      <w:pPr>
        <w:pBdr/>
        <w:spacing/>
        <w:ind/>
      </w:pPr>
      <w:tblPr>
        <w:tblBorders/>
      </w:tblPr>
      <w:tcPr>
        <w:tcBorders>
          <w:bottom w:val="single" w:color="196c24" w:themeColor="accent3" w:themeTint="FE" w:sz="12" w:space="0"/>
        </w:tcBorders>
      </w:tcPr>
    </w:tblStylePr>
    <w:tblStylePr w:type="lastCol">
      <w:rPr>
        <w:b/>
        <w:color w:val="196c24" w:themeColor="accent3" w:themeTint="FE" w:themeShade="95"/>
      </w:rPr>
      <w:pPr>
        <w:pBdr/>
        <w:spacing/>
        <w:ind/>
      </w:pPr>
      <w:tblPr>
        <w:tblBorders/>
      </w:tblPr>
      <w:tcPr>
        <w:tcBorders/>
      </w:tcPr>
    </w:tblStylePr>
    <w:tblStylePr w:type="lastRow">
      <w:rPr>
        <w:b/>
        <w:color w:val="196c24"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Grid Table 6 Colorful - Accent 4"/>
    <w:basedOn w:val="847"/>
    <w:uiPriority w:val="99"/>
    <w:pPr>
      <w:pBdr/>
      <w:spacing/>
      <w:ind/>
    </w:pPr>
    <w:tblPr>
      <w:tblStyleRowBandSize w:val="1"/>
      <w:tblStyleColBandSize w:val="1"/>
      <w:tbl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c9edfb" w:themeColor="accent4" w:themeTint="34" w:fill="c9edfb" w:themeFill="accent4" w:themeFillTint="34"/>
        <w:tcBorders/>
      </w:tcPr>
    </w:tblStylePr>
    <w:tblStylePr w:type="band1Vert">
      <w:pPr>
        <w:pBdr/>
        <w:spacing/>
        <w:ind/>
      </w:pPr>
      <w:tblPr>
        <w:tblBorders/>
      </w:tblPr>
      <w:tcPr>
        <w:shd w:val="clear" w:color="c9edfb" w:themeColor="accent4" w:themeTint="34" w:fill="c9edfb" w:themeFill="accent4" w:themeFillTint="34"/>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caf3" w:themeColor="accent4" w:themeTint="9A" w:themeShade="95"/>
      </w:rPr>
      <w:pPr>
        <w:pBdr/>
        <w:spacing/>
        <w:ind/>
      </w:pPr>
      <w:tblPr>
        <w:tblBorders/>
      </w:tblPr>
      <w:tcPr>
        <w:tcBorders/>
      </w:tcPr>
    </w:tblStylePr>
    <w:tblStylePr w:type="firstRow">
      <w:rPr>
        <w:b/>
        <w:color w:val="5fcaf3" w:themeColor="accent4" w:themeTint="9A" w:themeShade="95"/>
      </w:rPr>
      <w:pPr>
        <w:pBdr/>
        <w:spacing/>
        <w:ind/>
      </w:pPr>
      <w:tblPr>
        <w:tblBorders/>
      </w:tblPr>
      <w:tcPr>
        <w:tcBorders>
          <w:bottom w:val="single" w:color="5fcaf3" w:themeColor="accent4" w:themeTint="9A" w:sz="12" w:space="0"/>
        </w:tcBorders>
      </w:tcPr>
    </w:tblStylePr>
    <w:tblStylePr w:type="lastCol">
      <w:rPr>
        <w:b/>
        <w:color w:val="5fcaf3" w:themeColor="accent4" w:themeTint="9A" w:themeShade="95"/>
      </w:rPr>
      <w:pPr>
        <w:pBdr/>
        <w:spacing/>
        <w:ind/>
      </w:pPr>
      <w:tblPr>
        <w:tblBorders/>
      </w:tblPr>
      <w:tcPr>
        <w:tcBorders/>
      </w:tcPr>
    </w:tblStylePr>
    <w:tblStylePr w:type="lastRow">
      <w:rPr>
        <w:b/>
        <w:color w:val="5fcaf3"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Grid Table 6 Colorful - Accent 5"/>
    <w:basedOn w:val="847"/>
    <w:uiPriority w:val="99"/>
    <w:pPr>
      <w:pBdr/>
      <w:spacing/>
      <w:ind/>
    </w:pPr>
    <w:tblPr>
      <w:tblStyleRowBandSize w:val="1"/>
      <w:tblStyleColBandSize w:val="1"/>
      <w:tblBorders>
        <w:top w:val="single" w:color="a02b93" w:themeColor="accent5" w:sz="4" w:space="0"/>
        <w:left w:val="single" w:color="a02b93" w:themeColor="accent5" w:sz="4" w:space="0"/>
        <w:bottom w:val="single" w:color="a02b93" w:themeColor="accent5" w:sz="4" w:space="0"/>
        <w:right w:val="single" w:color="a02b93" w:themeColor="accent5" w:sz="4" w:space="0"/>
        <w:insideH w:val="single" w:color="a02b93" w:themeColor="accent5" w:sz="4" w:space="0"/>
        <w:insideV w:val="single" w:color="a02b93" w:themeColor="accent5" w:sz="4" w:space="0"/>
      </w:tblBorders>
    </w:tblPr>
    <w:tcPr>
      <w:tcBorders/>
    </w:tcPr>
    <w:tblStylePr w:type="band1Horz">
      <w:rPr>
        <w:rFonts w:ascii="Arial" w:hAnsi="Arial"/>
        <w:color w:val="5d1955" w:themeColor="accent5" w:themeShade="95"/>
        <w:sz w:val="22"/>
      </w:rPr>
      <w:pPr>
        <w:pBdr/>
        <w:spacing/>
        <w:ind/>
      </w:pPr>
      <w:tblPr>
        <w:tblBorders/>
      </w:tblPr>
      <w:tcPr>
        <w:shd w:val="clear" w:color="f1cded" w:themeColor="accent5" w:themeTint="34" w:fill="f1cded" w:themeFill="accent5" w:themeFillTint="34"/>
        <w:tcBorders/>
      </w:tcPr>
    </w:tblStylePr>
    <w:tblStylePr w:type="band1Vert">
      <w:pPr>
        <w:pBdr/>
        <w:spacing/>
        <w:ind/>
      </w:pPr>
      <w:tblPr>
        <w:tblBorders/>
      </w:tblPr>
      <w:tcPr>
        <w:shd w:val="clear" w:color="f1cded" w:themeColor="accent5" w:themeTint="34" w:fill="f1cded" w:themeFill="accent5" w:themeFillTint="34"/>
        <w:tcBorders/>
      </w:tcPr>
    </w:tblStylePr>
    <w:tblStylePr w:type="band2Horz">
      <w:rPr>
        <w:rFonts w:ascii="Arial" w:hAnsi="Arial"/>
        <w:color w:val="5d195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5" w:themeColor="accent5" w:themeShade="95"/>
      </w:rPr>
      <w:pPr>
        <w:pBdr/>
        <w:spacing/>
        <w:ind/>
      </w:pPr>
      <w:tblPr>
        <w:tblBorders/>
      </w:tblPr>
      <w:tcPr>
        <w:tcBorders/>
      </w:tcPr>
    </w:tblStylePr>
    <w:tblStylePr w:type="firstRow">
      <w:rPr>
        <w:b/>
        <w:color w:val="5d1955" w:themeColor="accent5" w:themeShade="95"/>
      </w:rPr>
      <w:pPr>
        <w:pBdr/>
        <w:spacing/>
        <w:ind/>
      </w:pPr>
      <w:tblPr>
        <w:tblBorders/>
      </w:tblPr>
      <w:tcPr>
        <w:tcBorders>
          <w:bottom w:val="single" w:color="a02b93" w:themeColor="accent5" w:sz="12" w:space="0"/>
        </w:tcBorders>
      </w:tcPr>
    </w:tblStylePr>
    <w:tblStylePr w:type="lastCol">
      <w:rPr>
        <w:b/>
        <w:color w:val="5d1955" w:themeColor="accent5" w:themeShade="95"/>
      </w:rPr>
      <w:pPr>
        <w:pBdr/>
        <w:spacing/>
        <w:ind/>
      </w:pPr>
      <w:tblPr>
        <w:tblBorders/>
      </w:tblPr>
      <w:tcPr>
        <w:tcBorders/>
      </w:tcPr>
    </w:tblStylePr>
    <w:tblStylePr w:type="lastRow">
      <w:rPr>
        <w:b/>
        <w:color w:val="5d195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Grid Table 6 Colorful - Accent 6"/>
    <w:basedOn w:val="847"/>
    <w:uiPriority w:val="99"/>
    <w:pPr>
      <w:pBdr/>
      <w:spacing/>
      <w:ind/>
    </w:pPr>
    <w:tblPr>
      <w:tblStyleRowBandSize w:val="1"/>
      <w:tblStyleColBandSize w:val="1"/>
      <w:tblBorders>
        <w:top w:val="single" w:color="4ea72e" w:themeColor="accent6" w:sz="4" w:space="0"/>
        <w:left w:val="single" w:color="4ea72e" w:themeColor="accent6" w:sz="4" w:space="0"/>
        <w:bottom w:val="single" w:color="4ea72e" w:themeColor="accent6" w:sz="4" w:space="0"/>
        <w:right w:val="single" w:color="4ea72e" w:themeColor="accent6" w:sz="4" w:space="0"/>
        <w:insideH w:val="single" w:color="4ea72e" w:themeColor="accent6" w:sz="4" w:space="0"/>
        <w:insideV w:val="single" w:color="4ea72e" w:themeColor="accent6" w:sz="4" w:space="0"/>
      </w:tblBorders>
    </w:tblPr>
    <w:tcPr>
      <w:tcBorders/>
    </w:tcPr>
    <w:tblStylePr w:type="band1Horz">
      <w:rPr>
        <w:rFonts w:ascii="Arial" w:hAnsi="Arial"/>
        <w:color w:val="5d1955" w:themeColor="accent5" w:themeShade="95"/>
        <w:sz w:val="22"/>
      </w:rPr>
      <w:pPr>
        <w:pBdr/>
        <w:spacing/>
        <w:ind/>
      </w:pPr>
      <w:tblPr>
        <w:tblBorders/>
      </w:tblPr>
      <w:tcPr>
        <w:shd w:val="clear" w:color="d8f2cf" w:themeColor="accent6" w:themeTint="34" w:fill="d8f2cf" w:themeFill="accent6" w:themeFillTint="34"/>
        <w:tcBorders/>
      </w:tcPr>
    </w:tblStylePr>
    <w:tblStylePr w:type="band1Vert">
      <w:pPr>
        <w:pBdr/>
        <w:spacing/>
        <w:ind/>
      </w:pPr>
      <w:tblPr>
        <w:tblBorders/>
      </w:tblPr>
      <w:tcPr>
        <w:shd w:val="clear" w:color="d8f2cf" w:themeColor="accent6" w:themeTint="34" w:fill="d8f2cf" w:themeFill="accent6" w:themeFillTint="34"/>
        <w:tcBorders/>
      </w:tcPr>
    </w:tblStylePr>
    <w:tblStylePr w:type="band2Horz">
      <w:rPr>
        <w:rFonts w:ascii="Arial" w:hAnsi="Arial"/>
        <w:color w:val="5d195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5" w:themeColor="accent5" w:themeShade="95"/>
      </w:rPr>
      <w:pPr>
        <w:pBdr/>
        <w:spacing/>
        <w:ind/>
      </w:pPr>
      <w:tblPr>
        <w:tblBorders/>
      </w:tblPr>
      <w:tcPr>
        <w:tcBorders/>
      </w:tcPr>
    </w:tblStylePr>
    <w:tblStylePr w:type="firstRow">
      <w:rPr>
        <w:b/>
        <w:color w:val="5d1955" w:themeColor="accent5" w:themeShade="95"/>
      </w:rPr>
      <w:pPr>
        <w:pBdr/>
        <w:spacing/>
        <w:ind/>
      </w:pPr>
      <w:tblPr>
        <w:tblBorders/>
      </w:tblPr>
      <w:tcPr>
        <w:tcBorders>
          <w:bottom w:val="single" w:color="4ea72e" w:themeColor="accent6" w:sz="12" w:space="0"/>
        </w:tcBorders>
      </w:tcPr>
    </w:tblStylePr>
    <w:tblStylePr w:type="lastCol">
      <w:rPr>
        <w:b/>
        <w:color w:val="5d1955" w:themeColor="accent5" w:themeShade="95"/>
      </w:rPr>
      <w:pPr>
        <w:pBdr/>
        <w:spacing/>
        <w:ind/>
      </w:pPr>
      <w:tblPr>
        <w:tblBorders/>
      </w:tblPr>
      <w:tcPr>
        <w:tcBorders/>
      </w:tcPr>
    </w:tblStylePr>
    <w:tblStylePr w:type="lastRow">
      <w:rPr>
        <w:b/>
        <w:color w:val="5d195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7 Colorful"/>
    <w:basedOn w:val="847"/>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Grid Table 7 Colorful - Accent 1"/>
    <w:basedOn w:val="847"/>
    <w:uiPriority w:val="99"/>
    <w:pPr>
      <w:pBdr/>
      <w:spacing/>
      <w:ind/>
    </w:pPr>
    <w:tblPr>
      <w:tblStyleRowBandSize w:val="1"/>
      <w:tblStyleColBandSize w:val="1"/>
      <w:tblBorders>
        <w:bottom w:val="single" w:color="63bde6" w:themeColor="accent1" w:themeTint="80" w:sz="4" w:space="0"/>
        <w:right w:val="single" w:color="63bde6" w:themeColor="accent1" w:themeTint="80" w:sz="4" w:space="0"/>
        <w:insideH w:val="single" w:color="63bde6" w:themeColor="accent1" w:themeTint="80" w:sz="4" w:space="0"/>
        <w:insideV w:val="single" w:color="63bde6" w:themeColor="accent1" w:themeTint="80" w:sz="4" w:space="0"/>
      </w:tblBorders>
    </w:tblPr>
    <w:tcPr>
      <w:tcBorders/>
    </w:tcPr>
    <w:tblStylePr w:type="band1Horz">
      <w:rPr>
        <w:rFonts w:ascii="Arial" w:hAnsi="Arial"/>
        <w:color w:val="63bde6" w:themeColor="accent1" w:themeTint="80" w:themeShade="95"/>
        <w:sz w:val="22"/>
      </w:rPr>
      <w:pPr>
        <w:pBdr/>
        <w:spacing/>
        <w:ind/>
      </w:pPr>
      <w:tblPr>
        <w:tblBorders/>
      </w:tblPr>
      <w:tcPr>
        <w:shd w:val="clear" w:color="bfe4f4" w:themeColor="accent1" w:themeTint="34" w:fill="bfe4f4" w:themeFill="accent1" w:themeFillTint="34"/>
        <w:tcBorders/>
      </w:tcPr>
    </w:tblStylePr>
    <w:tblStylePr w:type="band1Vert">
      <w:pPr>
        <w:pBdr/>
        <w:spacing/>
        <w:ind/>
      </w:pPr>
      <w:tblPr>
        <w:tblBorders/>
      </w:tblPr>
      <w:tcPr>
        <w:shd w:val="clear" w:color="bfe4f4" w:themeColor="accent1" w:themeTint="34" w:fill="bfe4f4" w:themeFill="accent1" w:themeFillTint="34"/>
        <w:tcBorders/>
      </w:tcPr>
    </w:tblStylePr>
    <w:tblStylePr w:type="band2Horz">
      <w:rPr>
        <w:rFonts w:ascii="Arial" w:hAnsi="Arial"/>
        <w:color w:val="63bde6"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3bde6"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63bde6" w:themeColor="accent1" w:themeTint="80" w:sz="4" w:space="0"/>
        </w:tcBorders>
      </w:tcPr>
    </w:tblStylePr>
    <w:tblStylePr w:type="firstRow">
      <w:rPr>
        <w:rFonts w:ascii="Arial" w:hAnsi="Arial"/>
        <w:b/>
        <w:color w:val="63bde6"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63bde6" w:themeColor="accent1" w:themeTint="80" w:sz="4" w:space="0"/>
          <w:right w:val="none" w:color="000000" w:sz="0" w:space="0"/>
        </w:tcBorders>
      </w:tcPr>
    </w:tblStylePr>
    <w:tblStylePr w:type="lastCol">
      <w:rPr>
        <w:rFonts w:ascii="Arial" w:hAnsi="Arial"/>
        <w:i/>
        <w:color w:val="63bde6" w:themeColor="accent1" w:themeTint="80" w:themeShade="95"/>
        <w:sz w:val="22"/>
      </w:rPr>
      <w:pPr>
        <w:pBdr/>
        <w:spacing/>
        <w:ind/>
      </w:pPr>
      <w:tblPr>
        <w:tblBorders/>
      </w:tblPr>
      <w:tcPr>
        <w:shd w:val="clear" w:color="ffffff" w:fill="auto"/>
        <w:tcBorders>
          <w:top w:val="none" w:color="000000" w:sz="0" w:space="0"/>
          <w:left w:val="single" w:color="63bde6" w:themeColor="accent1" w:themeTint="80" w:sz="4" w:space="0"/>
          <w:bottom w:val="none" w:color="000000" w:sz="0" w:space="0"/>
          <w:right w:val="none" w:color="000000" w:sz="0" w:space="0"/>
        </w:tcBorders>
      </w:tcPr>
    </w:tblStylePr>
    <w:tblStylePr w:type="lastRow">
      <w:rPr>
        <w:rFonts w:ascii="Arial" w:hAnsi="Arial"/>
        <w:b/>
        <w:color w:val="63bde6" w:themeColor="accent1" w:themeTint="80" w:themeShade="95"/>
        <w:sz w:val="22"/>
      </w:rPr>
      <w:pPr>
        <w:pBdr/>
        <w:spacing/>
        <w:ind/>
      </w:pPr>
      <w:tblPr>
        <w:tblBorders/>
      </w:tblPr>
      <w:tcPr>
        <w:shd w:val="clear" w:color="ffffff" w:themeColor="light1" w:fill="ffffff" w:themeFill="light1"/>
        <w:tcBorders>
          <w:top w:val="single" w:color="63bde6"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Grid Table 7 Colorful - Accent 2"/>
    <w:basedOn w:val="847"/>
    <w:uiPriority w:val="99"/>
    <w:pPr>
      <w:pBdr/>
      <w:spacing/>
      <w:ind/>
    </w:pPr>
    <w:tblPr>
      <w:tblStyleRowBandSize w:val="1"/>
      <w:tblStyleColBandSize w:val="1"/>
      <w:tblBorders>
        <w:bottom w:val="single" w:color="f2aa85" w:themeColor="accent2" w:themeTint="97" w:sz="4" w:space="0"/>
        <w:right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ae2d6" w:themeColor="accent2" w:themeTint="32" w:fill="fae2d6" w:themeFill="accent2" w:themeFillTint="32"/>
        <w:tcBorders/>
      </w:tcPr>
    </w:tblStylePr>
    <w:tblStylePr w:type="band1Vert">
      <w:pPr>
        <w:pBdr/>
        <w:spacing/>
        <w:ind/>
      </w:pPr>
      <w:tblPr>
        <w:tblBorders/>
      </w:tblPr>
      <w:tcPr>
        <w:shd w:val="clear" w:color="fae2d6" w:themeColor="accent2" w:themeTint="32" w:fill="fae2d6" w:themeFill="accent2" w:themeFillTint="32"/>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2aa8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2aa85" w:themeColor="accent2" w:themeTint="97" w:sz="4" w:space="0"/>
        </w:tcBorders>
      </w:tcPr>
    </w:tblStylePr>
    <w:tblStylePr w:type="firstRow">
      <w:rPr>
        <w:rFonts w:ascii="Arial" w:hAnsi="Arial"/>
        <w:b/>
        <w:color w:val="f2aa8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2aa85" w:themeColor="accent2" w:themeTint="97" w:sz="4" w:space="0"/>
          <w:right w:val="none" w:color="000000" w:sz="0" w:space="0"/>
        </w:tcBorders>
      </w:tcPr>
    </w:tblStylePr>
    <w:tblStylePr w:type="lastCol">
      <w:rPr>
        <w:rFonts w:ascii="Arial" w:hAnsi="Arial"/>
        <w:i/>
        <w:color w:val="f2aa85" w:themeColor="accent2" w:themeTint="97" w:themeShade="95"/>
        <w:sz w:val="22"/>
      </w:rPr>
      <w:pPr>
        <w:pBdr/>
        <w:spacing/>
        <w:ind/>
      </w:pPr>
      <w:tblPr>
        <w:tblBorders/>
      </w:tblPr>
      <w:tcPr>
        <w:shd w:val="clear" w:color="ffffff" w:fill="auto"/>
        <w:tcBorders>
          <w:top w:val="none" w:color="000000" w:sz="0" w:space="0"/>
          <w:left w:val="single" w:color="f2aa85" w:themeColor="accent2" w:themeTint="97" w:sz="4" w:space="0"/>
          <w:bottom w:val="none" w:color="000000" w:sz="0" w:space="0"/>
          <w:right w:val="none" w:color="000000" w:sz="0" w:space="0"/>
        </w:tcBorders>
      </w:tcPr>
    </w:tblStylePr>
    <w:tblStylePr w:type="lastRow">
      <w:rPr>
        <w:rFonts w:ascii="Arial" w:hAnsi="Arial"/>
        <w:b/>
        <w:color w:val="f2aa85" w:themeColor="accent2" w:themeTint="97" w:themeShade="95"/>
        <w:sz w:val="22"/>
      </w:rPr>
      <w:pPr>
        <w:pBdr/>
        <w:spacing/>
        <w:ind/>
      </w:pPr>
      <w:tblPr>
        <w:tblBorders/>
      </w:tblPr>
      <w:tcPr>
        <w:shd w:val="clear" w:color="ffffff" w:themeColor="light1" w:fill="ffffff" w:themeFill="light1"/>
        <w:tcBorders>
          <w:top w:val="single" w:color="f2aa8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Grid Table 7 Colorful - Accent 3"/>
    <w:basedOn w:val="847"/>
    <w:uiPriority w:val="99"/>
    <w:pPr>
      <w:pBdr/>
      <w:spacing/>
      <w:ind/>
    </w:pPr>
    <w:tblPr>
      <w:tblStyleRowBandSize w:val="1"/>
      <w:tblStyleColBandSize w:val="1"/>
      <w:tblBorders>
        <w:bottom w:val="single" w:color="196c24" w:themeColor="accent3" w:themeTint="FE" w:sz="4" w:space="0"/>
        <w:right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196c24" w:themeColor="accent3" w:themeTint="FE" w:themeShade="95"/>
        <w:sz w:val="22"/>
      </w:rPr>
      <w:pPr>
        <w:pBdr/>
        <w:spacing/>
        <w:ind/>
      </w:pPr>
      <w:tblPr>
        <w:tblBorders/>
      </w:tblPr>
      <w:tcPr>
        <w:shd w:val="clear" w:color="c0f0c6" w:themeColor="accent3" w:themeTint="34" w:fill="c0f0c6" w:themeFill="accent3" w:themeFillTint="34"/>
        <w:tcBorders/>
      </w:tcPr>
    </w:tblStylePr>
    <w:tblStylePr w:type="band1Vert">
      <w:pPr>
        <w:pBdr/>
        <w:spacing/>
        <w:ind/>
      </w:pPr>
      <w:tblPr>
        <w:tblBorders/>
      </w:tblPr>
      <w:tcPr>
        <w:shd w:val="clear" w:color="c0f0c6" w:themeColor="accent3" w:themeTint="34" w:fill="c0f0c6" w:themeFill="accent3" w:themeFillTint="34"/>
        <w:tcBorders/>
      </w:tcPr>
    </w:tblStylePr>
    <w:tblStylePr w:type="band2Horz">
      <w:rPr>
        <w:rFonts w:ascii="Arial" w:hAnsi="Arial"/>
        <w:color w:val="196c24"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196c24"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196c24" w:themeColor="accent3" w:themeTint="FE" w:sz="4" w:space="0"/>
        </w:tcBorders>
      </w:tcPr>
    </w:tblStylePr>
    <w:tblStylePr w:type="firstRow">
      <w:rPr>
        <w:rFonts w:ascii="Arial" w:hAnsi="Arial"/>
        <w:b/>
        <w:color w:val="196c24"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196c24" w:themeColor="accent3" w:themeTint="FE" w:sz="4" w:space="0"/>
          <w:right w:val="none" w:color="000000" w:sz="0" w:space="0"/>
        </w:tcBorders>
      </w:tcPr>
    </w:tblStylePr>
    <w:tblStylePr w:type="lastCol">
      <w:rPr>
        <w:rFonts w:ascii="Arial" w:hAnsi="Arial"/>
        <w:i/>
        <w:color w:val="196c24" w:themeColor="accent3" w:themeTint="FE" w:themeShade="95"/>
        <w:sz w:val="22"/>
      </w:rPr>
      <w:pPr>
        <w:pBdr/>
        <w:spacing/>
        <w:ind/>
      </w:pPr>
      <w:tblPr>
        <w:tblBorders/>
      </w:tblPr>
      <w:tcPr>
        <w:shd w:val="clear" w:color="ffffff" w:fill="auto"/>
        <w:tcBorders>
          <w:top w:val="none" w:color="000000" w:sz="0" w:space="0"/>
          <w:left w:val="single" w:color="196c24" w:themeColor="accent3" w:themeTint="FE" w:sz="4" w:space="0"/>
          <w:bottom w:val="none" w:color="000000" w:sz="0" w:space="0"/>
          <w:right w:val="none" w:color="000000" w:sz="0" w:space="0"/>
        </w:tcBorders>
      </w:tcPr>
    </w:tblStylePr>
    <w:tblStylePr w:type="lastRow">
      <w:rPr>
        <w:rFonts w:ascii="Arial" w:hAnsi="Arial"/>
        <w:b/>
        <w:color w:val="196c24" w:themeColor="accent3" w:themeTint="FE" w:themeShade="95"/>
        <w:sz w:val="22"/>
      </w:rPr>
      <w:pPr>
        <w:pBdr/>
        <w:spacing/>
        <w:ind/>
      </w:pPr>
      <w:tblPr>
        <w:tblBorders/>
      </w:tblPr>
      <w:tcPr>
        <w:shd w:val="clear" w:color="ffffff" w:themeColor="light1" w:fill="ffffff" w:themeFill="light1"/>
        <w:tcBorders>
          <w:top w:val="single" w:color="196c24"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Grid Table 7 Colorful - Accent 4"/>
    <w:basedOn w:val="847"/>
    <w:uiPriority w:val="99"/>
    <w:pPr>
      <w:pBdr/>
      <w:spacing/>
      <w:ind/>
    </w:pPr>
    <w:tblPr>
      <w:tblStyleRowBandSize w:val="1"/>
      <w:tblStyleColBandSize w:val="1"/>
      <w:tblBorders>
        <w:bottom w:val="single" w:color="5fcaf3" w:themeColor="accent4" w:themeTint="9A" w:sz="4" w:space="0"/>
        <w:right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c9edfb" w:themeColor="accent4" w:themeTint="34" w:fill="c9edfb" w:themeFill="accent4" w:themeFillTint="34"/>
        <w:tcBorders/>
      </w:tcPr>
    </w:tblStylePr>
    <w:tblStylePr w:type="band1Vert">
      <w:pPr>
        <w:pBdr/>
        <w:spacing/>
        <w:ind/>
      </w:pPr>
      <w:tblPr>
        <w:tblBorders/>
      </w:tblPr>
      <w:tcPr>
        <w:shd w:val="clear" w:color="c9edfb" w:themeColor="accent4" w:themeTint="34" w:fill="c9edfb" w:themeFill="accent4" w:themeFillTint="34"/>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caf3"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fcaf3" w:themeColor="accent4" w:themeTint="9A" w:sz="4" w:space="0"/>
        </w:tcBorders>
      </w:tcPr>
    </w:tblStylePr>
    <w:tblStylePr w:type="firstRow">
      <w:rPr>
        <w:rFonts w:ascii="Arial" w:hAnsi="Arial"/>
        <w:b/>
        <w:color w:val="5fcaf3"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fcaf3" w:themeColor="accent4" w:themeTint="9A" w:sz="4" w:space="0"/>
          <w:right w:val="none" w:color="000000" w:sz="0" w:space="0"/>
        </w:tcBorders>
      </w:tcPr>
    </w:tblStylePr>
    <w:tblStylePr w:type="lastCol">
      <w:rPr>
        <w:rFonts w:ascii="Arial" w:hAnsi="Arial"/>
        <w:i/>
        <w:color w:val="5fcaf3" w:themeColor="accent4" w:themeTint="9A" w:themeShade="95"/>
        <w:sz w:val="22"/>
      </w:rPr>
      <w:pPr>
        <w:pBdr/>
        <w:spacing/>
        <w:ind/>
      </w:pPr>
      <w:tblPr>
        <w:tblBorders/>
      </w:tblPr>
      <w:tcPr>
        <w:shd w:val="clear" w:color="ffffff" w:fill="auto"/>
        <w:tcBorders>
          <w:top w:val="none" w:color="000000" w:sz="0" w:space="0"/>
          <w:left w:val="single" w:color="5fcaf3" w:themeColor="accent4" w:themeTint="9A" w:sz="4" w:space="0"/>
          <w:bottom w:val="none" w:color="000000" w:sz="0" w:space="0"/>
          <w:right w:val="none" w:color="000000" w:sz="0" w:space="0"/>
        </w:tcBorders>
      </w:tcPr>
    </w:tblStylePr>
    <w:tblStylePr w:type="lastRow">
      <w:rPr>
        <w:rFonts w:ascii="Arial" w:hAnsi="Arial"/>
        <w:b/>
        <w:color w:val="5fcaf3" w:themeColor="accent4" w:themeTint="9A" w:themeShade="95"/>
        <w:sz w:val="22"/>
      </w:rPr>
      <w:pPr>
        <w:pBdr/>
        <w:spacing/>
        <w:ind/>
      </w:pPr>
      <w:tblPr>
        <w:tblBorders/>
      </w:tblPr>
      <w:tcPr>
        <w:shd w:val="clear" w:color="ffffff" w:themeColor="light1" w:fill="ffffff" w:themeFill="light1"/>
        <w:tcBorders>
          <w:top w:val="single" w:color="5fcaf3"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Grid Table 7 Colorful - Accent 5"/>
    <w:basedOn w:val="847"/>
    <w:uiPriority w:val="99"/>
    <w:pPr>
      <w:pBdr/>
      <w:spacing/>
      <w:ind/>
    </w:pPr>
    <w:tblPr>
      <w:tblStyleRowBandSize w:val="1"/>
      <w:tblStyleColBandSize w:val="1"/>
      <w:tblBorders>
        <w:bottom w:val="single" w:color="da76ce" w:themeColor="accent5" w:themeTint="90" w:sz="4" w:space="0"/>
        <w:right w:val="single" w:color="da76ce" w:themeColor="accent5" w:themeTint="90" w:sz="4" w:space="0"/>
        <w:insideH w:val="single" w:color="da76ce" w:themeColor="accent5" w:themeTint="90" w:sz="4" w:space="0"/>
        <w:insideV w:val="single" w:color="da76ce" w:themeColor="accent5" w:themeTint="90" w:sz="4" w:space="0"/>
      </w:tblBorders>
    </w:tblPr>
    <w:tcPr>
      <w:tcBorders/>
    </w:tcPr>
    <w:tblStylePr w:type="band1Horz">
      <w:rPr>
        <w:rFonts w:ascii="Arial" w:hAnsi="Arial"/>
        <w:color w:val="5d1955" w:themeColor="accent5" w:themeShade="95"/>
        <w:sz w:val="22"/>
      </w:rPr>
      <w:pPr>
        <w:pBdr/>
        <w:spacing/>
        <w:ind/>
      </w:pPr>
      <w:tblPr>
        <w:tblBorders/>
      </w:tblPr>
      <w:tcPr>
        <w:shd w:val="clear" w:color="f1cded" w:themeColor="accent5" w:themeTint="34" w:fill="f1cded" w:themeFill="accent5" w:themeFillTint="34"/>
        <w:tcBorders/>
      </w:tcPr>
    </w:tblStylePr>
    <w:tblStylePr w:type="band1Vert">
      <w:pPr>
        <w:pBdr/>
        <w:spacing/>
        <w:ind/>
      </w:pPr>
      <w:tblPr>
        <w:tblBorders/>
      </w:tblPr>
      <w:tcPr>
        <w:shd w:val="clear" w:color="f1cded" w:themeColor="accent5" w:themeTint="34" w:fill="f1cded" w:themeFill="accent5" w:themeFillTint="34"/>
        <w:tcBorders/>
      </w:tcPr>
    </w:tblStylePr>
    <w:tblStylePr w:type="band2Horz">
      <w:rPr>
        <w:rFonts w:ascii="Arial" w:hAnsi="Arial"/>
        <w:color w:val="5d195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195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a76ce" w:themeColor="accent5" w:themeTint="90" w:sz="4" w:space="0"/>
        </w:tcBorders>
      </w:tcPr>
    </w:tblStylePr>
    <w:tblStylePr w:type="firstRow">
      <w:rPr>
        <w:rFonts w:ascii="Arial" w:hAnsi="Arial"/>
        <w:b/>
        <w:color w:val="5d195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a76ce" w:themeColor="accent5" w:themeTint="90" w:sz="4" w:space="0"/>
          <w:right w:val="none" w:color="000000" w:sz="0" w:space="0"/>
        </w:tcBorders>
      </w:tcPr>
    </w:tblStylePr>
    <w:tblStylePr w:type="lastCol">
      <w:rPr>
        <w:rFonts w:ascii="Arial" w:hAnsi="Arial"/>
        <w:i/>
        <w:color w:val="5d1955" w:themeColor="accent5" w:themeShade="95"/>
        <w:sz w:val="22"/>
      </w:rPr>
      <w:pPr>
        <w:pBdr/>
        <w:spacing/>
        <w:ind/>
      </w:pPr>
      <w:tblPr>
        <w:tblBorders/>
      </w:tblPr>
      <w:tcPr>
        <w:shd w:val="clear" w:color="ffffff" w:fill="auto"/>
        <w:tcBorders>
          <w:top w:val="none" w:color="000000" w:sz="0" w:space="0"/>
          <w:left w:val="single" w:color="da76ce" w:themeColor="accent5" w:themeTint="90" w:sz="4" w:space="0"/>
          <w:bottom w:val="none" w:color="000000" w:sz="0" w:space="0"/>
          <w:right w:val="none" w:color="000000" w:sz="0" w:space="0"/>
        </w:tcBorders>
      </w:tcPr>
    </w:tblStylePr>
    <w:tblStylePr w:type="lastRow">
      <w:rPr>
        <w:rFonts w:ascii="Arial" w:hAnsi="Arial"/>
        <w:b/>
        <w:color w:val="5d1955" w:themeColor="accent5" w:themeShade="95"/>
        <w:sz w:val="22"/>
      </w:rPr>
      <w:pPr>
        <w:pBdr/>
        <w:spacing/>
        <w:ind/>
      </w:pPr>
      <w:tblPr>
        <w:tblBorders/>
      </w:tblPr>
      <w:tcPr>
        <w:shd w:val="clear" w:color="ffffff" w:themeColor="light1" w:fill="ffffff" w:themeFill="light1"/>
        <w:tcBorders>
          <w:top w:val="single" w:color="da76c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Grid Table 7 Colorful - Accent 6"/>
    <w:basedOn w:val="847"/>
    <w:uiPriority w:val="99"/>
    <w:pPr>
      <w:pBdr/>
      <w:spacing/>
      <w:ind/>
    </w:pPr>
    <w:tblPr>
      <w:tblStyleRowBandSize w:val="1"/>
      <w:tblStyleColBandSize w:val="1"/>
      <w:tblBorders>
        <w:bottom w:val="single" w:color="94da7b" w:themeColor="accent6" w:themeTint="90" w:sz="4" w:space="0"/>
        <w:right w:val="single" w:color="94da7b" w:themeColor="accent6" w:themeTint="90" w:sz="4" w:space="0"/>
        <w:insideH w:val="single" w:color="94da7b" w:themeColor="accent6" w:themeTint="90" w:sz="4" w:space="0"/>
        <w:insideV w:val="single" w:color="94da7b" w:themeColor="accent6" w:themeTint="90" w:sz="4" w:space="0"/>
      </w:tblBorders>
    </w:tblPr>
    <w:tcPr>
      <w:tcBorders/>
    </w:tcPr>
    <w:tblStylePr w:type="band1Horz">
      <w:rPr>
        <w:rFonts w:ascii="Arial" w:hAnsi="Arial"/>
        <w:color w:val="2d611b" w:themeColor="accent6" w:themeShade="95"/>
        <w:sz w:val="22"/>
      </w:rPr>
      <w:pPr>
        <w:pBdr/>
        <w:spacing/>
        <w:ind/>
      </w:pPr>
      <w:tblPr>
        <w:tblBorders/>
      </w:tblPr>
      <w:tcPr>
        <w:shd w:val="clear" w:color="d8f2cf" w:themeColor="accent6" w:themeTint="34" w:fill="d8f2cf" w:themeFill="accent6" w:themeFillTint="34"/>
        <w:tcBorders/>
      </w:tcPr>
    </w:tblStylePr>
    <w:tblStylePr w:type="band1Vert">
      <w:pPr>
        <w:pBdr/>
        <w:spacing/>
        <w:ind/>
      </w:pPr>
      <w:tblPr>
        <w:tblBorders/>
      </w:tblPr>
      <w:tcPr>
        <w:shd w:val="clear" w:color="d8f2cf" w:themeColor="accent6" w:themeTint="34" w:fill="d8f2cf" w:themeFill="accent6" w:themeFillTint="34"/>
        <w:tcBorders/>
      </w:tcPr>
    </w:tblStylePr>
    <w:tblStylePr w:type="band2Horz">
      <w:rPr>
        <w:rFonts w:ascii="Arial" w:hAnsi="Arial"/>
        <w:color w:val="2d611b"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611b"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4da7b" w:themeColor="accent6" w:themeTint="90" w:sz="4" w:space="0"/>
        </w:tcBorders>
      </w:tcPr>
    </w:tblStylePr>
    <w:tblStylePr w:type="firstRow">
      <w:rPr>
        <w:rFonts w:ascii="Arial" w:hAnsi="Arial"/>
        <w:b/>
        <w:color w:val="2d611b"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4da7b" w:themeColor="accent6" w:themeTint="90" w:sz="4" w:space="0"/>
          <w:right w:val="none" w:color="000000" w:sz="0" w:space="0"/>
        </w:tcBorders>
      </w:tcPr>
    </w:tblStylePr>
    <w:tblStylePr w:type="lastCol">
      <w:rPr>
        <w:rFonts w:ascii="Arial" w:hAnsi="Arial"/>
        <w:i/>
        <w:color w:val="2d611b" w:themeColor="accent6" w:themeShade="95"/>
        <w:sz w:val="22"/>
      </w:rPr>
      <w:pPr>
        <w:pBdr/>
        <w:spacing/>
        <w:ind/>
      </w:pPr>
      <w:tblPr>
        <w:tblBorders/>
      </w:tblPr>
      <w:tcPr>
        <w:shd w:val="clear" w:color="ffffff" w:fill="auto"/>
        <w:tcBorders>
          <w:top w:val="none" w:color="000000" w:sz="0" w:space="0"/>
          <w:left w:val="single" w:color="94da7b" w:themeColor="accent6" w:themeTint="90" w:sz="4" w:space="0"/>
          <w:bottom w:val="none" w:color="000000" w:sz="0" w:space="0"/>
          <w:right w:val="none" w:color="000000" w:sz="0" w:space="0"/>
        </w:tcBorders>
      </w:tcPr>
    </w:tblStylePr>
    <w:tblStylePr w:type="lastRow">
      <w:rPr>
        <w:rFonts w:ascii="Arial" w:hAnsi="Arial"/>
        <w:b/>
        <w:color w:val="2d611b" w:themeColor="accent6" w:themeShade="95"/>
        <w:sz w:val="22"/>
      </w:rPr>
      <w:pPr>
        <w:pBdr/>
        <w:spacing/>
        <w:ind/>
      </w:pPr>
      <w:tblPr>
        <w:tblBorders/>
      </w:tblPr>
      <w:tcPr>
        <w:shd w:val="clear" w:color="ffffff" w:themeColor="light1" w:fill="ffffff" w:themeFill="light1"/>
        <w:tcBorders>
          <w:top w:val="single" w:color="94da7b"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1 Light"/>
    <w:basedOn w:val="847"/>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List Table 1 Light - Accent 1"/>
    <w:basedOn w:val="847"/>
    <w:uiPriority w:val="99"/>
    <w:pPr>
      <w:pBdr/>
      <w:spacing/>
      <w:ind/>
    </w:pPr>
    <w:tblPr>
      <w:tblStyleRowBandSize w:val="1"/>
      <w:tblStyleColBandSize w:val="1"/>
      <w:tblBorders/>
    </w:tblPr>
    <w:tcPr>
      <w:tcBorders/>
    </w:tcPr>
    <w:tblStylePr w:type="band1Horz">
      <w:pPr>
        <w:pBdr/>
        <w:spacing/>
        <w:ind/>
      </w:pPr>
      <w:tblPr>
        <w:tblBorders/>
      </w:tblPr>
      <w:tcPr>
        <w:shd w:val="clear" w:color="b1def2" w:themeColor="accent1" w:themeTint="40" w:fill="b1def2" w:themeFill="accent1" w:themeFillTint="40"/>
        <w:tcBorders/>
      </w:tcPr>
    </w:tblStylePr>
    <w:tblStylePr w:type="band1Vert">
      <w:pPr>
        <w:pBdr/>
        <w:spacing/>
        <w:ind/>
      </w:pPr>
      <w:tblPr>
        <w:tblBorders/>
      </w:tblPr>
      <w:tcPr>
        <w:shd w:val="clear" w:color="b1def2"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156082"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56082"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List Table 1 Light - Accent 2"/>
    <w:basedOn w:val="847"/>
    <w:uiPriority w:val="99"/>
    <w:pPr>
      <w:pBdr/>
      <w:spacing/>
      <w:ind/>
    </w:pPr>
    <w:tblPr>
      <w:tblStyleRowBandSize w:val="1"/>
      <w:tblStyleColBandSize w:val="1"/>
      <w:tblBorders/>
    </w:tblPr>
    <w:tcPr>
      <w:tcBorders/>
    </w:tcPr>
    <w:tblStylePr w:type="band1Horz">
      <w:pPr>
        <w:pBdr/>
        <w:spacing/>
        <w:ind/>
      </w:pPr>
      <w:tblPr>
        <w:tblBorders/>
      </w:tblPr>
      <w:tcPr>
        <w:shd w:val="clear" w:color="f9dbcb" w:themeColor="accent2" w:themeTint="40" w:fill="f9dbcb" w:themeFill="accent2" w:themeFillTint="40"/>
        <w:tcBorders/>
      </w:tcPr>
    </w:tblStylePr>
    <w:tblStylePr w:type="band1Vert">
      <w:pPr>
        <w:pBdr/>
        <w:spacing/>
        <w:ind/>
      </w:pPr>
      <w:tblPr>
        <w:tblBorders/>
      </w:tblPr>
      <w:tcPr>
        <w:shd w:val="clear" w:color="f9dbcb" w:themeColor="accent2" w:themeTint="40" w:fill="f9db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97132"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97132"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List Table 1 Light - Accent 3"/>
    <w:basedOn w:val="847"/>
    <w:uiPriority w:val="99"/>
    <w:pPr>
      <w:pBdr/>
      <w:spacing/>
      <w:ind/>
    </w:pPr>
    <w:tblPr>
      <w:tblStyleRowBandSize w:val="1"/>
      <w:tblStyleColBandSize w:val="1"/>
      <w:tblBorders/>
    </w:tblPr>
    <w:tcPr>
      <w:tcBorders/>
    </w:tcPr>
    <w:tblStylePr w:type="band1Horz">
      <w:pPr>
        <w:pBdr/>
        <w:spacing/>
        <w:ind/>
      </w:pPr>
      <w:tblPr>
        <w:tblBorders/>
      </w:tblPr>
      <w:tcPr>
        <w:shd w:val="clear" w:color="b2edb9" w:themeColor="accent3" w:themeTint="40" w:fill="b2edb9" w:themeFill="accent3" w:themeFillTint="40"/>
        <w:tcBorders/>
      </w:tcPr>
    </w:tblStylePr>
    <w:tblStylePr w:type="band1Vert">
      <w:pPr>
        <w:pBdr/>
        <w:spacing/>
        <w:ind/>
      </w:pPr>
      <w:tblPr>
        <w:tblBorders/>
      </w:tblPr>
      <w:tcPr>
        <w:shd w:val="clear" w:color="b2edb9" w:themeColor="accent3" w:themeTint="40" w:fill="b2edb9"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196b24"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96b24"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List Table 1 Light - Accent 4"/>
    <w:basedOn w:val="847"/>
    <w:uiPriority w:val="99"/>
    <w:pPr>
      <w:pBdr/>
      <w:spacing/>
      <w:ind/>
    </w:pPr>
    <w:tblPr>
      <w:tblStyleRowBandSize w:val="1"/>
      <w:tblStyleColBandSize w:val="1"/>
      <w:tblBorders/>
    </w:tblPr>
    <w:tcPr>
      <w:tcBorders/>
    </w:tcPr>
    <w:tblStylePr w:type="band1Horz">
      <w:pPr>
        <w:pBdr/>
        <w:spacing/>
        <w:ind/>
      </w:pPr>
      <w:tblPr>
        <w:tblBorders/>
      </w:tblPr>
      <w:tcPr>
        <w:shd w:val="clear" w:color="bce9fa" w:themeColor="accent4" w:themeTint="40" w:fill="bce9fa" w:themeFill="accent4" w:themeFillTint="40"/>
        <w:tcBorders/>
      </w:tcPr>
    </w:tblStylePr>
    <w:tblStylePr w:type="band1Vert">
      <w:pPr>
        <w:pBdr/>
        <w:spacing/>
        <w:ind/>
      </w:pPr>
      <w:tblPr>
        <w:tblBorders/>
      </w:tblPr>
      <w:tcPr>
        <w:shd w:val="clear" w:color="bce9fa" w:themeColor="accent4" w:themeTint="40" w:fill="bc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f9ed5"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f9ed5"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List Table 1 Light - Accent 5"/>
    <w:basedOn w:val="847"/>
    <w:uiPriority w:val="99"/>
    <w:pPr>
      <w:pBdr/>
      <w:spacing/>
      <w:ind/>
    </w:pPr>
    <w:tblPr>
      <w:tblStyleRowBandSize w:val="1"/>
      <w:tblStyleColBandSize w:val="1"/>
      <w:tblBorders/>
    </w:tblPr>
    <w:tcPr>
      <w:tcBorders/>
    </w:tcPr>
    <w:tblStylePr w:type="band1Horz">
      <w:pPr>
        <w:pBdr/>
        <w:spacing/>
        <w:ind/>
      </w:pPr>
      <w:tblPr>
        <w:tblBorders/>
      </w:tblPr>
      <w:tcPr>
        <w:shd w:val="clear" w:color="eec2e9" w:themeColor="accent5" w:themeTint="40" w:fill="eec2e9" w:themeFill="accent5" w:themeFillTint="40"/>
        <w:tcBorders/>
      </w:tcPr>
    </w:tblStylePr>
    <w:tblStylePr w:type="band1Vert">
      <w:pPr>
        <w:pBdr/>
        <w:spacing/>
        <w:ind/>
      </w:pPr>
      <w:tblPr>
        <w:tblBorders/>
      </w:tblPr>
      <w:tcPr>
        <w:shd w:val="clear" w:color="eec2e9" w:themeColor="accent5" w:themeTint="40" w:fill="eec2e9"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02b93"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02b93"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List Table 1 Light - Accent 6"/>
    <w:basedOn w:val="847"/>
    <w:uiPriority w:val="99"/>
    <w:pPr>
      <w:pBdr/>
      <w:spacing/>
      <w:ind/>
    </w:pPr>
    <w:tblPr>
      <w:tblStyleRowBandSize w:val="1"/>
      <w:tblStyleColBandSize w:val="1"/>
      <w:tblBorders/>
    </w:tblPr>
    <w:tcPr>
      <w:tcBorders/>
    </w:tcPr>
    <w:tblStylePr w:type="band1Horz">
      <w:pPr>
        <w:pBdr/>
        <w:spacing/>
        <w:ind/>
      </w:pPr>
      <w:tblPr>
        <w:tblBorders/>
      </w:tblPr>
      <w:tcPr>
        <w:shd w:val="clear" w:color="cfefc4" w:themeColor="accent6" w:themeTint="40" w:fill="cfefc4" w:themeFill="accent6" w:themeFillTint="40"/>
        <w:tcBorders/>
      </w:tcPr>
    </w:tblStylePr>
    <w:tblStylePr w:type="band1Vert">
      <w:pPr>
        <w:pBdr/>
        <w:spacing/>
        <w:ind/>
      </w:pPr>
      <w:tblPr>
        <w:tblBorders/>
      </w:tblPr>
      <w:tcPr>
        <w:shd w:val="clear" w:color="cfefc4" w:themeColor="accent6" w:themeTint="40" w:fill="cfefc4"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ea72e"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ea72e"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2"/>
    <w:basedOn w:val="847"/>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List Table 2 - Accent 1"/>
    <w:basedOn w:val="847"/>
    <w:uiPriority w:val="99"/>
    <w:pPr>
      <w:pBdr/>
      <w:spacing/>
      <w:ind/>
    </w:pPr>
    <w:tblPr>
      <w:tblStyleRowBandSize w:val="1"/>
      <w:tblStyleColBandSize w:val="1"/>
      <w:tblBorders>
        <w:top w:val="single" w:color="50b4e2" w:themeColor="accent1" w:themeTint="90" w:sz="4" w:space="0"/>
        <w:bottom w:val="single" w:color="50b4e2" w:themeColor="accent1" w:themeTint="90" w:sz="4" w:space="0"/>
        <w:insideH w:val="single" w:color="50b4e2" w:themeColor="accent1" w:themeTint="90" w:sz="4" w:space="0"/>
      </w:tblBorders>
    </w:tblPr>
    <w:tcPr>
      <w:tcBorders/>
    </w:tcPr>
    <w:tblStylePr w:type="band1Horz">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50b4e2" w:themeColor="accent1" w:themeTint="90" w:sz="4" w:space="0"/>
          <w:left w:val="none" w:color="000000" w:sz="4" w:space="0"/>
          <w:bottom w:val="single" w:color="50b4e2"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50b4e2" w:themeColor="accent1" w:themeTint="90" w:sz="4" w:space="0"/>
          <w:left w:val="none" w:color="000000" w:sz="4" w:space="0"/>
          <w:bottom w:val="single" w:color="50b4e2"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st Table 2 - Accent 2"/>
    <w:basedOn w:val="847"/>
    <w:uiPriority w:val="99"/>
    <w:pPr>
      <w:pBdr/>
      <w:spacing/>
      <w:ind/>
    </w:pPr>
    <w:tblPr>
      <w:tblStyleRowBandSize w:val="1"/>
      <w:tblStyleColBandSize w:val="1"/>
      <w:tblBorders>
        <w:top w:val="single" w:color="f2ae8b" w:themeColor="accent2" w:themeTint="90" w:sz="4" w:space="0"/>
        <w:bottom w:val="single" w:color="f2ae8b" w:themeColor="accent2" w:themeTint="90" w:sz="4" w:space="0"/>
        <w:insideH w:val="single" w:color="f2ae8b" w:themeColor="accent2" w:themeTint="90" w:sz="4" w:space="0"/>
      </w:tblBorders>
    </w:tblPr>
    <w:tcPr>
      <w:tcBorders/>
    </w:tcPr>
    <w:tblStylePr w:type="band1Horz">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1Vert">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2ae8b" w:themeColor="accent2" w:themeTint="90" w:sz="4" w:space="0"/>
          <w:left w:val="none" w:color="000000" w:sz="4" w:space="0"/>
          <w:bottom w:val="single" w:color="f2ae8b"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2ae8b" w:themeColor="accent2" w:themeTint="90" w:sz="4" w:space="0"/>
          <w:left w:val="none" w:color="000000" w:sz="4" w:space="0"/>
          <w:bottom w:val="single" w:color="f2ae8b"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st Table 2 - Accent 3"/>
    <w:basedOn w:val="847"/>
    <w:uiPriority w:val="99"/>
    <w:pPr>
      <w:pBdr/>
      <w:spacing/>
      <w:ind/>
    </w:pPr>
    <w:tblPr>
      <w:tblStyleRowBandSize w:val="1"/>
      <w:tblStyleColBandSize w:val="1"/>
      <w:tblBorders>
        <w:top w:val="single" w:color="51d663" w:themeColor="accent3" w:themeTint="90" w:sz="4" w:space="0"/>
        <w:bottom w:val="single" w:color="51d663" w:themeColor="accent3" w:themeTint="90" w:sz="4" w:space="0"/>
        <w:insideH w:val="single" w:color="51d663" w:themeColor="accent3" w:themeTint="90" w:sz="4" w:space="0"/>
      </w:tblBorders>
    </w:tblPr>
    <w:tcPr>
      <w:tcBorders/>
    </w:tcPr>
    <w:tblStylePr w:type="band1Horz">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1Vert">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51d663" w:themeColor="accent3" w:themeTint="90" w:sz="4" w:space="0"/>
          <w:left w:val="none" w:color="000000" w:sz="4" w:space="0"/>
          <w:bottom w:val="single" w:color="51d663"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51d663" w:themeColor="accent3" w:themeTint="90" w:sz="4" w:space="0"/>
          <w:left w:val="none" w:color="000000" w:sz="4" w:space="0"/>
          <w:bottom w:val="single" w:color="51d663"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st Table 2 - Accent 4"/>
    <w:basedOn w:val="847"/>
    <w:uiPriority w:val="99"/>
    <w:pPr>
      <w:pBdr/>
      <w:spacing/>
      <w:ind/>
    </w:pPr>
    <w:tblPr>
      <w:tblStyleRowBandSize w:val="1"/>
      <w:tblStyleColBandSize w:val="1"/>
      <w:tblBorders>
        <w:top w:val="single" w:color="6acdf4" w:themeColor="accent4" w:themeTint="90" w:sz="4" w:space="0"/>
        <w:bottom w:val="single" w:color="6acdf4" w:themeColor="accent4" w:themeTint="90" w:sz="4" w:space="0"/>
        <w:insideH w:val="single" w:color="6acdf4" w:themeColor="accent4" w:themeTint="90" w:sz="4" w:space="0"/>
      </w:tblBorders>
    </w:tblPr>
    <w:tcPr>
      <w:tcBorders/>
    </w:tcPr>
    <w:tblStylePr w:type="band1Horz">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1Vert">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acdf4" w:themeColor="accent4" w:themeTint="90" w:sz="4" w:space="0"/>
          <w:left w:val="none" w:color="000000" w:sz="4" w:space="0"/>
          <w:bottom w:val="single" w:color="6acdf4"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acdf4" w:themeColor="accent4" w:themeTint="90" w:sz="4" w:space="0"/>
          <w:left w:val="none" w:color="000000" w:sz="4" w:space="0"/>
          <w:bottom w:val="single" w:color="6acdf4"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st Table 2 - Accent 5"/>
    <w:basedOn w:val="847"/>
    <w:uiPriority w:val="99"/>
    <w:pPr>
      <w:pBdr/>
      <w:spacing/>
      <w:ind/>
    </w:pPr>
    <w:tblPr>
      <w:tblStyleRowBandSize w:val="1"/>
      <w:tblStyleColBandSize w:val="1"/>
      <w:tblBorders>
        <w:top w:val="single" w:color="da76ce" w:themeColor="accent5" w:themeTint="90" w:sz="4" w:space="0"/>
        <w:bottom w:val="single" w:color="da76ce" w:themeColor="accent5" w:themeTint="90" w:sz="4" w:space="0"/>
        <w:insideH w:val="single" w:color="da76ce" w:themeColor="accent5" w:themeTint="90" w:sz="4" w:space="0"/>
      </w:tblBorders>
    </w:tblPr>
    <w:tcPr>
      <w:tcBorders/>
    </w:tcPr>
    <w:tblStylePr w:type="band1Horz">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1Vert">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a76ce" w:themeColor="accent5" w:themeTint="90" w:sz="4" w:space="0"/>
          <w:left w:val="none" w:color="000000" w:sz="4" w:space="0"/>
          <w:bottom w:val="single" w:color="da76c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a76ce" w:themeColor="accent5" w:themeTint="90" w:sz="4" w:space="0"/>
          <w:left w:val="none" w:color="000000" w:sz="4" w:space="0"/>
          <w:bottom w:val="single" w:color="da76c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st Table 2 - Accent 6"/>
    <w:basedOn w:val="847"/>
    <w:uiPriority w:val="99"/>
    <w:pPr>
      <w:pBdr/>
      <w:spacing/>
      <w:ind/>
    </w:pPr>
    <w:tblPr>
      <w:tblStyleRowBandSize w:val="1"/>
      <w:tblStyleColBandSize w:val="1"/>
      <w:tblBorders>
        <w:top w:val="single" w:color="94da7b" w:themeColor="accent6" w:themeTint="90" w:sz="4" w:space="0"/>
        <w:bottom w:val="single" w:color="94da7b" w:themeColor="accent6" w:themeTint="90" w:sz="4" w:space="0"/>
        <w:insideH w:val="single" w:color="94da7b" w:themeColor="accent6" w:themeTint="90" w:sz="4" w:space="0"/>
      </w:tblBorders>
    </w:tblPr>
    <w:tcPr>
      <w:tcBorders/>
    </w:tcPr>
    <w:tblStylePr w:type="band1Horz">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1Vert">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4da7b" w:themeColor="accent6" w:themeTint="90" w:sz="4" w:space="0"/>
          <w:left w:val="none" w:color="000000" w:sz="4" w:space="0"/>
          <w:bottom w:val="single" w:color="94da7b"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4da7b" w:themeColor="accent6" w:themeTint="90" w:sz="4" w:space="0"/>
          <w:left w:val="none" w:color="000000" w:sz="4" w:space="0"/>
          <w:bottom w:val="single" w:color="94da7b"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3"/>
    <w:basedOn w:val="847"/>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List Table 3 - Accent 1"/>
    <w:basedOn w:val="847"/>
    <w:uiPriority w:val="99"/>
    <w:pPr>
      <w:pBdr/>
      <w:spacing/>
      <w:ind/>
    </w:pPr>
    <w:tblPr>
      <w:tblStyleRowBandSize w:val="1"/>
      <w:tblStyleColBandSize w:val="1"/>
      <w:tblBorders>
        <w:top w:val="single" w:color="156082" w:themeColor="accent1" w:sz="4" w:space="0"/>
        <w:left w:val="single" w:color="156082" w:themeColor="accent1" w:sz="4" w:space="0"/>
        <w:bottom w:val="single" w:color="156082" w:themeColor="accent1" w:sz="4" w:space="0"/>
        <w:right w:val="single" w:color="156082" w:themeColor="accent1" w:sz="4" w:space="0"/>
      </w:tblBorders>
    </w:tblPr>
    <w:tcPr>
      <w:tcBorders/>
    </w:tcPr>
    <w:tblStylePr w:type="band1Horz">
      <w:rPr>
        <w:rFonts w:ascii="Arial" w:hAnsi="Arial"/>
        <w:color w:val="404040"/>
        <w:sz w:val="22"/>
      </w:rPr>
      <w:pPr>
        <w:pBdr/>
        <w:spacing/>
        <w:ind/>
      </w:pPr>
      <w:tblPr>
        <w:tblBorders/>
      </w:tblPr>
      <w:tcPr>
        <w:tcBorders>
          <w:top w:val="single" w:color="156082" w:themeColor="accent1" w:sz="4" w:space="0"/>
          <w:bottom w:val="single" w:color="156082" w:themeColor="accent1" w:sz="4" w:space="0"/>
        </w:tcBorders>
      </w:tcPr>
    </w:tblStylePr>
    <w:tblStylePr w:type="band1Vert">
      <w:rPr>
        <w:rFonts w:ascii="Arial" w:hAnsi="Arial"/>
        <w:color w:val="404040"/>
        <w:sz w:val="22"/>
      </w:rPr>
      <w:pPr>
        <w:pBdr/>
        <w:spacing/>
        <w:ind/>
      </w:pPr>
      <w:tblPr>
        <w:tblBorders/>
      </w:tblPr>
      <w:tcPr>
        <w:tcBorders>
          <w:left w:val="single" w:color="156082" w:themeColor="accent1" w:sz="4" w:space="0"/>
          <w:right w:val="single" w:color="156082"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56082"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List Table 3 - Accent 2"/>
    <w:basedOn w:val="847"/>
    <w:uiPriority w:val="99"/>
    <w:pPr>
      <w:pBdr/>
      <w:spacing/>
      <w:ind/>
    </w:pPr>
    <w:tblPr>
      <w:tblStyleRowBandSize w:val="1"/>
      <w:tblStyleColBandSize w:val="1"/>
      <w:tblBorders>
        <w:top w:val="single" w:color="f2aa85" w:themeColor="accent2" w:themeTint="97" w:sz="4" w:space="0"/>
        <w:left w:val="single" w:color="f2aa85" w:themeColor="accent2" w:themeTint="97" w:sz="4" w:space="0"/>
        <w:bottom w:val="single" w:color="f2aa85" w:themeColor="accent2" w:themeTint="97" w:sz="4" w:space="0"/>
        <w:right w:val="single" w:color="f2aa8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2aa85" w:themeColor="accent2" w:themeTint="97" w:sz="4" w:space="0"/>
          <w:bottom w:val="single" w:color="f2aa85" w:themeColor="accent2" w:themeTint="97" w:sz="4" w:space="0"/>
        </w:tcBorders>
      </w:tcPr>
    </w:tblStylePr>
    <w:tblStylePr w:type="band1Vert">
      <w:rPr>
        <w:rFonts w:ascii="Arial" w:hAnsi="Arial"/>
        <w:color w:val="404040"/>
        <w:sz w:val="22"/>
      </w:rPr>
      <w:pPr>
        <w:pBdr/>
        <w:spacing/>
        <w:ind/>
      </w:pPr>
      <w:tblPr>
        <w:tblBorders/>
      </w:tblPr>
      <w:tcPr>
        <w:tcBorders>
          <w:left w:val="single" w:color="f2aa85" w:themeColor="accent2" w:themeTint="97" w:sz="4" w:space="0"/>
          <w:right w:val="single" w:color="f2aa8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2aa85" w:themeColor="accent2" w:themeTint="97" w:fill="f2aa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List Table 3 - Accent 3"/>
    <w:basedOn w:val="847"/>
    <w:uiPriority w:val="99"/>
    <w:pPr>
      <w:pBdr/>
      <w:spacing/>
      <w:ind/>
    </w:pPr>
    <w:tblPr>
      <w:tblStyleRowBandSize w:val="1"/>
      <w:tblStyleColBandSize w:val="1"/>
      <w:tblBorders>
        <w:top w:val="single" w:color="48d45b" w:themeColor="accent3" w:themeTint="98" w:sz="4" w:space="0"/>
        <w:left w:val="single" w:color="48d45b" w:themeColor="accent3" w:themeTint="98" w:sz="4" w:space="0"/>
        <w:bottom w:val="single" w:color="48d45b" w:themeColor="accent3" w:themeTint="98" w:sz="4" w:space="0"/>
        <w:right w:val="single" w:color="48d45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48d45b" w:themeColor="accent3" w:themeTint="98" w:sz="4" w:space="0"/>
          <w:bottom w:val="single" w:color="48d45b" w:themeColor="accent3" w:themeTint="98" w:sz="4" w:space="0"/>
        </w:tcBorders>
      </w:tcPr>
    </w:tblStylePr>
    <w:tblStylePr w:type="band1Vert">
      <w:rPr>
        <w:rFonts w:ascii="Arial" w:hAnsi="Arial"/>
        <w:color w:val="404040"/>
        <w:sz w:val="22"/>
      </w:rPr>
      <w:pPr>
        <w:pBdr/>
        <w:spacing/>
        <w:ind/>
      </w:pPr>
      <w:tblPr>
        <w:tblBorders/>
      </w:tblPr>
      <w:tcPr>
        <w:tcBorders>
          <w:left w:val="single" w:color="48d45b" w:themeColor="accent3" w:themeTint="98" w:sz="4" w:space="0"/>
          <w:right w:val="single" w:color="48d45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8d45b" w:themeColor="accent3" w:themeTint="98" w:fill="48d45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List Table 3 - Accent 4"/>
    <w:basedOn w:val="847"/>
    <w:uiPriority w:val="99"/>
    <w:pPr>
      <w:pBdr/>
      <w:spacing/>
      <w:ind/>
    </w:pPr>
    <w:tblPr>
      <w:tblStyleRowBandSize w:val="1"/>
      <w:tblStyleColBandSize w:val="1"/>
      <w:tbl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5fcaf3" w:themeColor="accent4" w:themeTint="9A" w:sz="4" w:space="0"/>
          <w:bottom w:val="single" w:color="5fcaf3" w:themeColor="accent4" w:themeTint="9A" w:sz="4" w:space="0"/>
        </w:tcBorders>
      </w:tcPr>
    </w:tblStylePr>
    <w:tblStylePr w:type="band1Vert">
      <w:rPr>
        <w:rFonts w:ascii="Arial" w:hAnsi="Arial"/>
        <w:color w:val="404040"/>
        <w:sz w:val="22"/>
      </w:rPr>
      <w:pPr>
        <w:pBdr/>
        <w:spacing/>
        <w:ind/>
      </w:pPr>
      <w:tblPr>
        <w:tblBorders/>
      </w:tblPr>
      <w:tcPr>
        <w:tcBorders>
          <w:left w:val="single" w:color="5fcaf3" w:themeColor="accent4" w:themeTint="9A" w:sz="4" w:space="0"/>
          <w:right w:val="single" w:color="5fcaf3"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fcaf3" w:themeColor="accent4" w:themeTint="9A" w:fill="5fcaf3"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List Table 3 - Accent 5"/>
    <w:basedOn w:val="847"/>
    <w:uiPriority w:val="99"/>
    <w:pPr>
      <w:pBdr/>
      <w:spacing/>
      <w:ind/>
    </w:pPr>
    <w:tblPr>
      <w:tblStyleRowBandSize w:val="1"/>
      <w:tblStyleColBandSize w:val="1"/>
      <w:tblBorders>
        <w:top w:val="single" w:color="d76ccb" w:themeColor="accent5" w:themeTint="9A" w:sz="4" w:space="0"/>
        <w:left w:val="single" w:color="d76ccb" w:themeColor="accent5" w:themeTint="9A" w:sz="4" w:space="0"/>
        <w:bottom w:val="single" w:color="d76ccb" w:themeColor="accent5" w:themeTint="9A" w:sz="4" w:space="0"/>
        <w:right w:val="single" w:color="d76cc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d76ccb" w:themeColor="accent5" w:themeTint="9A" w:sz="4" w:space="0"/>
          <w:bottom w:val="single" w:color="d76ccb" w:themeColor="accent5" w:themeTint="9A" w:sz="4" w:space="0"/>
        </w:tcBorders>
      </w:tcPr>
    </w:tblStylePr>
    <w:tblStylePr w:type="band1Vert">
      <w:rPr>
        <w:rFonts w:ascii="Arial" w:hAnsi="Arial"/>
        <w:color w:val="404040"/>
        <w:sz w:val="22"/>
      </w:rPr>
      <w:pPr>
        <w:pBdr/>
        <w:spacing/>
        <w:ind/>
      </w:pPr>
      <w:tblPr>
        <w:tblBorders/>
      </w:tblPr>
      <w:tcPr>
        <w:tcBorders>
          <w:left w:val="single" w:color="d76ccb" w:themeColor="accent5" w:themeTint="9A" w:sz="4" w:space="0"/>
          <w:right w:val="single" w:color="d76cc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76ccb" w:themeColor="accent5" w:themeTint="9A" w:fill="d76cc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List Table 3 - Accent 6"/>
    <w:basedOn w:val="847"/>
    <w:uiPriority w:val="99"/>
    <w:pPr>
      <w:pBdr/>
      <w:spacing/>
      <w:ind/>
    </w:pPr>
    <w:tblPr>
      <w:tblStyleRowBandSize w:val="1"/>
      <w:tblStyleColBandSize w:val="1"/>
      <w:tblBorders>
        <w:top w:val="single" w:color="8ed873" w:themeColor="accent6" w:themeTint="98" w:sz="4" w:space="0"/>
        <w:left w:val="single" w:color="8ed873" w:themeColor="accent6" w:themeTint="98" w:sz="4" w:space="0"/>
        <w:bottom w:val="single" w:color="8ed873" w:themeColor="accent6" w:themeTint="98" w:sz="4" w:space="0"/>
        <w:right w:val="single" w:color="8ed873"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8ed873" w:themeColor="accent6" w:themeTint="98" w:sz="4" w:space="0"/>
          <w:bottom w:val="single" w:color="8ed873" w:themeColor="accent6" w:themeTint="98" w:sz="4" w:space="0"/>
        </w:tcBorders>
      </w:tcPr>
    </w:tblStylePr>
    <w:tblStylePr w:type="band1Vert">
      <w:rPr>
        <w:rFonts w:ascii="Arial" w:hAnsi="Arial"/>
        <w:color w:val="404040"/>
        <w:sz w:val="22"/>
      </w:rPr>
      <w:pPr>
        <w:pBdr/>
        <w:spacing/>
        <w:ind/>
      </w:pPr>
      <w:tblPr>
        <w:tblBorders/>
      </w:tblPr>
      <w:tcPr>
        <w:tcBorders>
          <w:left w:val="single" w:color="8ed873" w:themeColor="accent6" w:themeTint="98" w:sz="4" w:space="0"/>
          <w:right w:val="single" w:color="8ed873"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ed873" w:themeColor="accent6" w:themeTint="98" w:fill="8ed873"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4"/>
    <w:basedOn w:val="847"/>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List Table 4 - Accent 1"/>
    <w:basedOn w:val="847"/>
    <w:uiPriority w:val="99"/>
    <w:pPr>
      <w:pBdr/>
      <w:spacing/>
      <w:ind/>
    </w:pPr>
    <w:tblPr>
      <w:tblStyleRowBandSize w:val="1"/>
      <w:tblStyleColBandSize w:val="1"/>
      <w:tblBorders>
        <w:top w:val="single" w:color="50b4e2" w:themeColor="accent1" w:themeTint="90" w:sz="4" w:space="0"/>
        <w:left w:val="single" w:color="50b4e2" w:themeColor="accent1" w:themeTint="90" w:sz="4" w:space="0"/>
        <w:bottom w:val="single" w:color="50b4e2" w:themeColor="accent1" w:themeTint="90" w:sz="4" w:space="0"/>
        <w:right w:val="single" w:color="50b4e2" w:themeColor="accent1" w:themeTint="90" w:sz="4" w:space="0"/>
        <w:insideH w:val="single" w:color="50b4e2" w:themeColor="accent1" w:themeTint="90" w:sz="4" w:space="0"/>
      </w:tblBorders>
    </w:tblPr>
    <w:tcPr>
      <w:tcBorders/>
    </w:tcPr>
    <w:tblStylePr w:type="band1Horz">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56082"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List Table 4 - Accent 2"/>
    <w:basedOn w:val="847"/>
    <w:uiPriority w:val="99"/>
    <w:pPr>
      <w:pBdr/>
      <w:spacing/>
      <w:ind/>
    </w:pPr>
    <w:tblPr>
      <w:tblStyleRowBandSize w:val="1"/>
      <w:tblStyleColBandSize w:val="1"/>
      <w:tblBorders>
        <w:top w:val="single" w:color="f2ae8b" w:themeColor="accent2" w:themeTint="90" w:sz="4" w:space="0"/>
        <w:left w:val="single" w:color="f2ae8b" w:themeColor="accent2" w:themeTint="90" w:sz="4" w:space="0"/>
        <w:bottom w:val="single" w:color="f2ae8b" w:themeColor="accent2" w:themeTint="90" w:sz="4" w:space="0"/>
        <w:right w:val="single" w:color="f2ae8b" w:themeColor="accent2" w:themeTint="90" w:sz="4" w:space="0"/>
        <w:insideH w:val="single" w:color="f2ae8b" w:themeColor="accent2" w:themeTint="90" w:sz="4" w:space="0"/>
      </w:tblBorders>
    </w:tblPr>
    <w:tcPr>
      <w:tcBorders/>
    </w:tcPr>
    <w:tblStylePr w:type="band1Horz">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1Vert">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97132" w:themeColor="accent2" w:fill="e97132"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List Table 4 - Accent 3"/>
    <w:basedOn w:val="847"/>
    <w:uiPriority w:val="99"/>
    <w:pPr>
      <w:pBdr/>
      <w:spacing/>
      <w:ind/>
    </w:pPr>
    <w:tblPr>
      <w:tblStyleRowBandSize w:val="1"/>
      <w:tblStyleColBandSize w:val="1"/>
      <w:tblBorders>
        <w:top w:val="single" w:color="51d663" w:themeColor="accent3" w:themeTint="90" w:sz="4" w:space="0"/>
        <w:left w:val="single" w:color="51d663" w:themeColor="accent3" w:themeTint="90" w:sz="4" w:space="0"/>
        <w:bottom w:val="single" w:color="51d663" w:themeColor="accent3" w:themeTint="90" w:sz="4" w:space="0"/>
        <w:right w:val="single" w:color="51d663" w:themeColor="accent3" w:themeTint="90" w:sz="4" w:space="0"/>
        <w:insideH w:val="single" w:color="51d663" w:themeColor="accent3" w:themeTint="90" w:sz="4" w:space="0"/>
      </w:tblBorders>
    </w:tblPr>
    <w:tcPr>
      <w:tcBorders/>
    </w:tcPr>
    <w:tblStylePr w:type="band1Horz">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1Vert">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96b24" w:themeColor="accent3" w:fill="196b24"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List Table 4 - Accent 4"/>
    <w:basedOn w:val="847"/>
    <w:uiPriority w:val="99"/>
    <w:pPr>
      <w:pBdr/>
      <w:spacing/>
      <w:ind/>
    </w:pPr>
    <w:tblPr>
      <w:tblStyleRowBandSize w:val="1"/>
      <w:tblStyleColBandSize w:val="1"/>
      <w:tblBorders>
        <w:top w:val="single" w:color="6acdf4" w:themeColor="accent4" w:themeTint="90" w:sz="4" w:space="0"/>
        <w:left w:val="single" w:color="6acdf4" w:themeColor="accent4" w:themeTint="90" w:sz="4" w:space="0"/>
        <w:bottom w:val="single" w:color="6acdf4" w:themeColor="accent4" w:themeTint="90" w:sz="4" w:space="0"/>
        <w:right w:val="single" w:color="6acdf4" w:themeColor="accent4" w:themeTint="90" w:sz="4" w:space="0"/>
        <w:insideH w:val="single" w:color="6acdf4" w:themeColor="accent4" w:themeTint="90" w:sz="4" w:space="0"/>
      </w:tblBorders>
    </w:tblPr>
    <w:tcPr>
      <w:tcBorders/>
    </w:tcPr>
    <w:tblStylePr w:type="band1Horz">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1Vert">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f9ed5" w:themeColor="accent4" w:fill="0f9ed5"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List Table 4 - Accent 5"/>
    <w:basedOn w:val="847"/>
    <w:uiPriority w:val="99"/>
    <w:pPr>
      <w:pBdr/>
      <w:spacing/>
      <w:ind/>
    </w:pPr>
    <w:tblPr>
      <w:tblStyleRowBandSize w:val="1"/>
      <w:tblStyleColBandSize w:val="1"/>
      <w:tblBorders>
        <w:top w:val="single" w:color="da76ce" w:themeColor="accent5" w:themeTint="90" w:sz="4" w:space="0"/>
        <w:left w:val="single" w:color="da76ce" w:themeColor="accent5" w:themeTint="90" w:sz="4" w:space="0"/>
        <w:bottom w:val="single" w:color="da76ce" w:themeColor="accent5" w:themeTint="90" w:sz="4" w:space="0"/>
        <w:right w:val="single" w:color="da76ce" w:themeColor="accent5" w:themeTint="90" w:sz="4" w:space="0"/>
        <w:insideH w:val="single" w:color="da76ce" w:themeColor="accent5" w:themeTint="90" w:sz="4" w:space="0"/>
      </w:tblBorders>
    </w:tblPr>
    <w:tcPr>
      <w:tcBorders/>
    </w:tcPr>
    <w:tblStylePr w:type="band1Horz">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1Vert">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02b93" w:themeColor="accent5" w:fill="a02b93"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List Table 4 - Accent 6"/>
    <w:basedOn w:val="847"/>
    <w:uiPriority w:val="99"/>
    <w:pPr>
      <w:pBdr/>
      <w:spacing/>
      <w:ind/>
    </w:pPr>
    <w:tblPr>
      <w:tblStyleRowBandSize w:val="1"/>
      <w:tblStyleColBandSize w:val="1"/>
      <w:tblBorders>
        <w:top w:val="single" w:color="94da7b" w:themeColor="accent6" w:themeTint="90" w:sz="4" w:space="0"/>
        <w:left w:val="single" w:color="94da7b" w:themeColor="accent6" w:themeTint="90" w:sz="4" w:space="0"/>
        <w:bottom w:val="single" w:color="94da7b" w:themeColor="accent6" w:themeTint="90" w:sz="4" w:space="0"/>
        <w:right w:val="single" w:color="94da7b" w:themeColor="accent6" w:themeTint="90" w:sz="4" w:space="0"/>
        <w:insideH w:val="single" w:color="94da7b" w:themeColor="accent6" w:themeTint="90" w:sz="4" w:space="0"/>
      </w:tblBorders>
    </w:tblPr>
    <w:tcPr>
      <w:tcBorders/>
    </w:tcPr>
    <w:tblStylePr w:type="band1Horz">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1Vert">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ea72e" w:themeColor="accent6" w:fill="4ea72e"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5 Dark"/>
    <w:basedOn w:val="847"/>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List Table 5 Dark - Accent 1"/>
    <w:basedOn w:val="847"/>
    <w:uiPriority w:val="99"/>
    <w:pPr>
      <w:pBdr/>
      <w:spacing/>
      <w:ind/>
    </w:pPr>
    <w:tblPr>
      <w:tblStyleRowBandSize w:val="1"/>
      <w:tblStyleColBandSize w:val="1"/>
      <w:tblBorders>
        <w:top w:val="single" w:color="156082" w:themeColor="accent1" w:sz="32" w:space="0"/>
        <w:left w:val="single" w:color="156082" w:themeColor="accent1" w:sz="32" w:space="0"/>
        <w:bottom w:val="single" w:color="156082" w:themeColor="accent1" w:sz="32" w:space="0"/>
        <w:right w:val="single" w:color="156082" w:themeColor="accent1" w:sz="32" w:space="0"/>
      </w:tblBorders>
      <w:shd w:val="clear" w:color="156082" w:themeColor="accent1" w:fill="156082" w:themeFill="accent1"/>
    </w:tblPr>
    <w:tcPr>
      <w:tcBorders/>
    </w:tcPr>
    <w:tblStylePr w:type="band1Horz">
      <w:pPr>
        <w:pBdr/>
        <w:spacing/>
        <w:ind/>
      </w:pPr>
      <w:tblPr>
        <w:tblBorders/>
      </w:tblPr>
      <w:tcPr>
        <w:shd w:val="clear" w:color="156082" w:themeColor="accent1" w:fill="156082"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156082" w:themeColor="accent1" w:fill="156082"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156082" w:themeColor="accent1" w:fill="156082"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156082"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156082" w:themeColor="accent1" w:fill="156082" w:themeFill="accent1"/>
        <w:tcBorders>
          <w:top w:val="single" w:color="156082"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156082"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List Table 5 Dark - Accent 2"/>
    <w:basedOn w:val="847"/>
    <w:uiPriority w:val="99"/>
    <w:pPr>
      <w:pBdr/>
      <w:spacing/>
      <w:ind/>
    </w:pPr>
    <w:tblPr>
      <w:tblStyleRowBandSize w:val="1"/>
      <w:tblStyleColBandSize w:val="1"/>
      <w:tblBorders>
        <w:top w:val="single" w:color="f2aa85" w:themeColor="accent2" w:themeTint="97" w:sz="32" w:space="0"/>
        <w:left w:val="single" w:color="f2aa85" w:themeColor="accent2" w:themeTint="97" w:sz="32" w:space="0"/>
        <w:bottom w:val="single" w:color="f2aa85" w:themeColor="accent2" w:themeTint="97" w:sz="32" w:space="0"/>
        <w:right w:val="single" w:color="f2aa85" w:themeColor="accent2" w:themeTint="97" w:sz="32" w:space="0"/>
      </w:tblBorders>
      <w:shd w:val="clear" w:color="f2aa85" w:themeColor="accent2" w:themeTint="97" w:fill="f2aa85" w:themeFill="accent2" w:themeFillTint="97"/>
    </w:tblPr>
    <w:tcPr>
      <w:tcBorders/>
    </w:tcPr>
    <w:tblStylePr w:type="band1Horz">
      <w:pPr>
        <w:pBdr/>
        <w:spacing/>
        <w:ind/>
      </w:pPr>
      <w:tblPr>
        <w:tblBorders/>
      </w:tblPr>
      <w:tcPr>
        <w:shd w:val="clear" w:color="f2aa85" w:themeColor="accent2" w:themeTint="97" w:fill="f2aa8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2aa85" w:themeColor="accent2" w:themeTint="97" w:fill="f2aa8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2aa85" w:themeColor="accent2" w:themeTint="97" w:fill="f2aa8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2aa8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2aa85" w:themeColor="accent2" w:themeTint="97" w:fill="f2aa85" w:themeFill="accent2" w:themeFillTint="97"/>
        <w:tcBorders>
          <w:top w:val="single" w:color="f2aa8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2aa8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List Table 5 Dark - Accent 3"/>
    <w:basedOn w:val="847"/>
    <w:uiPriority w:val="99"/>
    <w:pPr>
      <w:pBdr/>
      <w:spacing/>
      <w:ind/>
    </w:pPr>
    <w:tblPr>
      <w:tblStyleRowBandSize w:val="1"/>
      <w:tblStyleColBandSize w:val="1"/>
      <w:tblBorders>
        <w:top w:val="single" w:color="48d45b" w:themeColor="accent3" w:themeTint="98" w:sz="32" w:space="0"/>
        <w:left w:val="single" w:color="48d45b" w:themeColor="accent3" w:themeTint="98" w:sz="32" w:space="0"/>
        <w:bottom w:val="single" w:color="48d45b" w:themeColor="accent3" w:themeTint="98" w:sz="32" w:space="0"/>
        <w:right w:val="single" w:color="48d45b" w:themeColor="accent3" w:themeTint="98" w:sz="32" w:space="0"/>
      </w:tblBorders>
      <w:shd w:val="clear" w:color="48d45b" w:themeColor="accent3" w:themeTint="98" w:fill="48d45b" w:themeFill="accent3" w:themeFillTint="98"/>
    </w:tblPr>
    <w:tcPr>
      <w:tcBorders/>
    </w:tcPr>
    <w:tblStylePr w:type="band1Horz">
      <w:pPr>
        <w:pBdr/>
        <w:spacing/>
        <w:ind/>
      </w:pPr>
      <w:tblPr>
        <w:tblBorders/>
      </w:tblPr>
      <w:tcPr>
        <w:shd w:val="clear" w:color="48d45b" w:themeColor="accent3" w:themeTint="98" w:fill="48d45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48d45b" w:themeColor="accent3" w:themeTint="98" w:fill="48d45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48d45b" w:themeColor="accent3" w:themeTint="98" w:fill="48d45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8d45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8d45b" w:themeColor="accent3" w:themeTint="98" w:fill="48d45b" w:themeFill="accent3" w:themeFillTint="98"/>
        <w:tcBorders>
          <w:top w:val="single" w:color="48d45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8d45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List Table 5 Dark - Accent 4"/>
    <w:basedOn w:val="847"/>
    <w:uiPriority w:val="99"/>
    <w:pPr>
      <w:pBdr/>
      <w:spacing/>
      <w:ind/>
    </w:pPr>
    <w:tblPr>
      <w:tblStyleRowBandSize w:val="1"/>
      <w:tblStyleColBandSize w:val="1"/>
      <w:tblBorders>
        <w:top w:val="single" w:color="5fcaf3" w:themeColor="accent4" w:themeTint="9A" w:sz="32" w:space="0"/>
        <w:left w:val="single" w:color="5fcaf3" w:themeColor="accent4" w:themeTint="9A" w:sz="32" w:space="0"/>
        <w:bottom w:val="single" w:color="5fcaf3" w:themeColor="accent4" w:themeTint="9A" w:sz="32" w:space="0"/>
        <w:right w:val="single" w:color="5fcaf3" w:themeColor="accent4" w:themeTint="9A" w:sz="32" w:space="0"/>
      </w:tblBorders>
      <w:shd w:val="clear" w:color="5fcaf3" w:themeColor="accent4" w:themeTint="9A" w:fill="5fcaf3" w:themeFill="accent4" w:themeFillTint="9A"/>
    </w:tblPr>
    <w:tcPr>
      <w:tcBorders/>
    </w:tcPr>
    <w:tblStylePr w:type="band1Horz">
      <w:pPr>
        <w:pBdr/>
        <w:spacing/>
        <w:ind/>
      </w:pPr>
      <w:tblPr>
        <w:tblBorders/>
      </w:tblPr>
      <w:tcPr>
        <w:shd w:val="clear" w:color="5fcaf3" w:themeColor="accent4" w:themeTint="9A" w:fill="5fcaf3"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5fcaf3" w:themeColor="accent4" w:themeTint="9A" w:fill="5fcaf3"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5fcaf3" w:themeColor="accent4" w:themeTint="9A" w:fill="5fcaf3"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fcaf3"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fcaf3" w:themeColor="accent4" w:themeTint="9A" w:fill="5fcaf3" w:themeFill="accent4" w:themeFillTint="9A"/>
        <w:tcBorders>
          <w:top w:val="single" w:color="5fcaf3"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fcaf3"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List Table 5 Dark - Accent 5"/>
    <w:basedOn w:val="847"/>
    <w:uiPriority w:val="99"/>
    <w:pPr>
      <w:pBdr/>
      <w:spacing/>
      <w:ind/>
    </w:pPr>
    <w:tblPr>
      <w:tblStyleRowBandSize w:val="1"/>
      <w:tblStyleColBandSize w:val="1"/>
      <w:tblBorders>
        <w:top w:val="single" w:color="d76ccb" w:themeColor="accent5" w:themeTint="9A" w:sz="32" w:space="0"/>
        <w:left w:val="single" w:color="d76ccb" w:themeColor="accent5" w:themeTint="9A" w:sz="32" w:space="0"/>
        <w:bottom w:val="single" w:color="d76ccb" w:themeColor="accent5" w:themeTint="9A" w:sz="32" w:space="0"/>
        <w:right w:val="single" w:color="d76ccb" w:themeColor="accent5" w:themeTint="9A" w:sz="32" w:space="0"/>
      </w:tblBorders>
      <w:shd w:val="clear" w:color="d76ccb" w:themeColor="accent5" w:themeTint="9A" w:fill="d76ccb" w:themeFill="accent5" w:themeFillTint="9A"/>
    </w:tblPr>
    <w:tcPr>
      <w:tcBorders/>
    </w:tcPr>
    <w:tblStylePr w:type="band1Horz">
      <w:pPr>
        <w:pBdr/>
        <w:spacing/>
        <w:ind/>
      </w:pPr>
      <w:tblPr>
        <w:tblBorders/>
      </w:tblPr>
      <w:tcPr>
        <w:shd w:val="clear" w:color="d76ccb" w:themeColor="accent5" w:themeTint="9A" w:fill="d76cc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d76ccb" w:themeColor="accent5" w:themeTint="9A" w:fill="d76cc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d76ccb" w:themeColor="accent5" w:themeTint="9A" w:fill="d76cc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76cc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76ccb" w:themeColor="accent5" w:themeTint="9A" w:fill="d76ccb" w:themeFill="accent5" w:themeFillTint="9A"/>
        <w:tcBorders>
          <w:top w:val="single" w:color="d76cc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76cc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List Table 5 Dark - Accent 6"/>
    <w:basedOn w:val="847"/>
    <w:uiPriority w:val="99"/>
    <w:pPr>
      <w:pBdr/>
      <w:spacing/>
      <w:ind/>
    </w:pPr>
    <w:tblPr>
      <w:tblStyleRowBandSize w:val="1"/>
      <w:tblStyleColBandSize w:val="1"/>
      <w:tblBorders>
        <w:top w:val="single" w:color="8ed873" w:themeColor="accent6" w:themeTint="98" w:sz="32" w:space="0"/>
        <w:left w:val="single" w:color="8ed873" w:themeColor="accent6" w:themeTint="98" w:sz="32" w:space="0"/>
        <w:bottom w:val="single" w:color="8ed873" w:themeColor="accent6" w:themeTint="98" w:sz="32" w:space="0"/>
        <w:right w:val="single" w:color="8ed873" w:themeColor="accent6" w:themeTint="98" w:sz="32" w:space="0"/>
      </w:tblBorders>
      <w:shd w:val="clear" w:color="8ed873" w:themeColor="accent6" w:themeTint="98" w:fill="8ed873" w:themeFill="accent6" w:themeFillTint="98"/>
    </w:tblPr>
    <w:tcPr>
      <w:tcBorders/>
    </w:tcPr>
    <w:tblStylePr w:type="band1Horz">
      <w:pPr>
        <w:pBdr/>
        <w:spacing/>
        <w:ind/>
      </w:pPr>
      <w:tblPr>
        <w:tblBorders/>
      </w:tblPr>
      <w:tcPr>
        <w:shd w:val="clear" w:color="8ed873" w:themeColor="accent6" w:themeTint="98" w:fill="8ed873"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8ed873" w:themeColor="accent6" w:themeTint="98" w:fill="8ed873"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8ed873" w:themeColor="accent6" w:themeTint="98" w:fill="8ed873"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ed873"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ed873" w:themeColor="accent6" w:themeTint="98" w:fill="8ed873" w:themeFill="accent6" w:themeFillTint="98"/>
        <w:tcBorders>
          <w:top w:val="single" w:color="8ed873"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ed873"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6 Colorful"/>
    <w:basedOn w:val="847"/>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List Table 6 Colorful - Accent 1"/>
    <w:basedOn w:val="847"/>
    <w:uiPriority w:val="99"/>
    <w:pPr>
      <w:pBdr/>
      <w:spacing/>
      <w:ind/>
    </w:pPr>
    <w:tblPr>
      <w:tblStyleRowBandSize w:val="1"/>
      <w:tblStyleColBandSize w:val="1"/>
      <w:tblBorders>
        <w:top w:val="single" w:color="156082" w:themeColor="accent1" w:sz="4" w:space="0"/>
        <w:bottom w:val="single" w:color="156082" w:themeColor="accent1" w:sz="4" w:space="0"/>
      </w:tblBorders>
    </w:tblPr>
    <w:tcPr>
      <w:tcBorders/>
    </w:tcPr>
    <w:tblStylePr w:type="band1Horz">
      <w:rPr>
        <w:rFonts w:ascii="Arial" w:hAnsi="Arial"/>
        <w:color w:val="0c374b" w:themeColor="accent1" w:themeShade="95"/>
        <w:sz w:val="22"/>
      </w:rPr>
      <w:pPr>
        <w:pBdr/>
        <w:spacing/>
        <w:ind/>
      </w:pPr>
      <w:tblPr>
        <w:tblBorders/>
      </w:tblPr>
      <w:tcPr>
        <w:shd w:val="clear" w:color="b1def2" w:themeColor="accent1" w:themeTint="40" w:fill="b1def2" w:themeFill="accent1" w:themeFillTint="40"/>
        <w:tcBorders/>
      </w:tcPr>
    </w:tblStylePr>
    <w:tblStylePr w:type="band1Vert">
      <w:pPr>
        <w:pBdr/>
        <w:spacing/>
        <w:ind/>
      </w:pPr>
      <w:tblPr>
        <w:tblBorders/>
      </w:tblPr>
      <w:tcPr>
        <w:shd w:val="clear" w:color="b1def2" w:themeColor="accent1" w:themeTint="40" w:fill="b1def2" w:themeFill="accent1" w:themeFillTint="40"/>
        <w:tcBorders/>
      </w:tcPr>
    </w:tblStylePr>
    <w:tblStylePr w:type="band2Horz">
      <w:rPr>
        <w:rFonts w:ascii="Arial" w:hAnsi="Arial"/>
        <w:color w:val="0c374b"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c374b" w:themeColor="accent1" w:themeShade="95"/>
      </w:rPr>
      <w:pPr>
        <w:pBdr/>
        <w:spacing/>
        <w:ind/>
      </w:pPr>
      <w:tblPr>
        <w:tblBorders/>
      </w:tblPr>
      <w:tcPr>
        <w:tcBorders/>
      </w:tcPr>
    </w:tblStylePr>
    <w:tblStylePr w:type="firstRow">
      <w:rPr>
        <w:b/>
        <w:color w:val="0c374b" w:themeColor="accent1" w:themeShade="95"/>
      </w:rPr>
      <w:pPr>
        <w:pBdr/>
        <w:spacing/>
        <w:ind/>
      </w:pPr>
      <w:tblPr>
        <w:tblBorders/>
      </w:tblPr>
      <w:tcPr>
        <w:tcBorders>
          <w:bottom w:val="single" w:color="156082" w:themeColor="accent1" w:sz="4" w:space="0"/>
        </w:tcBorders>
      </w:tcPr>
    </w:tblStylePr>
    <w:tblStylePr w:type="lastCol">
      <w:rPr>
        <w:b/>
        <w:color w:val="0c374b" w:themeColor="accent1" w:themeShade="95"/>
      </w:rPr>
      <w:pPr>
        <w:pBdr/>
        <w:spacing/>
        <w:ind/>
      </w:pPr>
      <w:tblPr>
        <w:tblBorders/>
      </w:tblPr>
      <w:tcPr>
        <w:tcBorders/>
      </w:tcPr>
    </w:tblStylePr>
    <w:tblStylePr w:type="lastRow">
      <w:rPr>
        <w:b/>
        <w:color w:val="0c374b" w:themeColor="accent1" w:themeShade="95"/>
      </w:rPr>
      <w:pPr>
        <w:pBdr/>
        <w:spacing/>
        <w:ind/>
      </w:pPr>
      <w:tblPr>
        <w:tblBorders/>
      </w:tblPr>
      <w:tcPr>
        <w:tcBorders>
          <w:top w:val="single" w:color="156082"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List Table 6 Colorful - Accent 2"/>
    <w:basedOn w:val="847"/>
    <w:uiPriority w:val="99"/>
    <w:pPr>
      <w:pBdr/>
      <w:spacing/>
      <w:ind/>
    </w:pPr>
    <w:tblPr>
      <w:tblStyleRowBandSize w:val="1"/>
      <w:tblStyleColBandSize w:val="1"/>
      <w:tblBorders>
        <w:top w:val="single" w:color="f2aa85" w:themeColor="accent2" w:themeTint="97" w:sz="4" w:space="0"/>
        <w:bottom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9dbcb" w:themeColor="accent2" w:themeTint="40" w:fill="f9dbcb" w:themeFill="accent2" w:themeFillTint="40"/>
        <w:tcBorders/>
      </w:tcPr>
    </w:tblStylePr>
    <w:tblStylePr w:type="band1Vert">
      <w:pPr>
        <w:pBdr/>
        <w:spacing/>
        <w:ind/>
      </w:pPr>
      <w:tblPr>
        <w:tblBorders/>
      </w:tblPr>
      <w:tcPr>
        <w:shd w:val="clear" w:color="f9dbcb" w:themeColor="accent2" w:themeTint="40" w:fill="f9dbcb" w:themeFill="accent2" w:themeFillTint="40"/>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2aa85" w:themeColor="accent2" w:themeTint="97" w:themeShade="95"/>
      </w:rPr>
      <w:pPr>
        <w:pBdr/>
        <w:spacing/>
        <w:ind/>
      </w:pPr>
      <w:tblPr>
        <w:tblBorders/>
      </w:tblPr>
      <w:tcPr>
        <w:tcBorders/>
      </w:tcPr>
    </w:tblStylePr>
    <w:tblStylePr w:type="firstRow">
      <w:rPr>
        <w:b/>
        <w:color w:val="f2aa85" w:themeColor="accent2" w:themeTint="97" w:themeShade="95"/>
      </w:rPr>
      <w:pPr>
        <w:pBdr/>
        <w:spacing/>
        <w:ind/>
      </w:pPr>
      <w:tblPr>
        <w:tblBorders/>
      </w:tblPr>
      <w:tcPr>
        <w:tcBorders>
          <w:bottom w:val="single" w:color="f2aa85" w:themeColor="accent2" w:themeTint="97" w:sz="4" w:space="0"/>
        </w:tcBorders>
      </w:tcPr>
    </w:tblStylePr>
    <w:tblStylePr w:type="lastCol">
      <w:rPr>
        <w:b/>
        <w:color w:val="f2aa85" w:themeColor="accent2" w:themeTint="97" w:themeShade="95"/>
      </w:rPr>
      <w:pPr>
        <w:pBdr/>
        <w:spacing/>
        <w:ind/>
      </w:pPr>
      <w:tblPr>
        <w:tblBorders/>
      </w:tblPr>
      <w:tcPr>
        <w:tcBorders/>
      </w:tcPr>
    </w:tblStylePr>
    <w:tblStylePr w:type="lastRow">
      <w:rPr>
        <w:b/>
        <w:color w:val="f2aa85" w:themeColor="accent2" w:themeTint="97" w:themeShade="95"/>
      </w:rPr>
      <w:pPr>
        <w:pBdr/>
        <w:spacing/>
        <w:ind/>
      </w:pPr>
      <w:tblPr>
        <w:tblBorders/>
      </w:tblPr>
      <w:tcPr>
        <w:tcBorders>
          <w:top w:val="single" w:color="f2aa8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List Table 6 Colorful - Accent 3"/>
    <w:basedOn w:val="847"/>
    <w:uiPriority w:val="99"/>
    <w:pPr>
      <w:pBdr/>
      <w:spacing/>
      <w:ind/>
    </w:pPr>
    <w:tblPr>
      <w:tblStyleRowBandSize w:val="1"/>
      <w:tblStyleColBandSize w:val="1"/>
      <w:tblBorders>
        <w:top w:val="single" w:color="48d45b" w:themeColor="accent3" w:themeTint="98" w:sz="4" w:space="0"/>
        <w:bottom w:val="single" w:color="48d45b" w:themeColor="accent3" w:themeTint="98" w:sz="4" w:space="0"/>
      </w:tblBorders>
    </w:tblPr>
    <w:tcPr>
      <w:tcBorders/>
    </w:tcPr>
    <w:tblStylePr w:type="band1Horz">
      <w:rPr>
        <w:rFonts w:ascii="Arial" w:hAnsi="Arial"/>
        <w:color w:val="48d45b" w:themeColor="accent3" w:themeTint="98" w:themeShade="95"/>
        <w:sz w:val="22"/>
      </w:rPr>
      <w:pPr>
        <w:pBdr/>
        <w:spacing/>
        <w:ind/>
      </w:pPr>
      <w:tblPr>
        <w:tblBorders/>
      </w:tblPr>
      <w:tcPr>
        <w:shd w:val="clear" w:color="b2edb9" w:themeColor="accent3" w:themeTint="40" w:fill="b2edb9" w:themeFill="accent3" w:themeFillTint="40"/>
        <w:tcBorders/>
      </w:tcPr>
    </w:tblStylePr>
    <w:tblStylePr w:type="band1Vert">
      <w:pPr>
        <w:pBdr/>
        <w:spacing/>
        <w:ind/>
      </w:pPr>
      <w:tblPr>
        <w:tblBorders/>
      </w:tblPr>
      <w:tcPr>
        <w:shd w:val="clear" w:color="b2edb9" w:themeColor="accent3" w:themeTint="40" w:fill="b2edb9" w:themeFill="accent3" w:themeFillTint="40"/>
        <w:tcBorders/>
      </w:tcPr>
    </w:tblStylePr>
    <w:tblStylePr w:type="band2Horz">
      <w:rPr>
        <w:rFonts w:ascii="Arial" w:hAnsi="Arial"/>
        <w:color w:val="48d45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8d45b" w:themeColor="accent3" w:themeTint="98" w:themeShade="95"/>
      </w:rPr>
      <w:pPr>
        <w:pBdr/>
        <w:spacing/>
        <w:ind/>
      </w:pPr>
      <w:tblPr>
        <w:tblBorders/>
      </w:tblPr>
      <w:tcPr>
        <w:tcBorders/>
      </w:tcPr>
    </w:tblStylePr>
    <w:tblStylePr w:type="firstRow">
      <w:rPr>
        <w:b/>
        <w:color w:val="48d45b" w:themeColor="accent3" w:themeTint="98" w:themeShade="95"/>
      </w:rPr>
      <w:pPr>
        <w:pBdr/>
        <w:spacing/>
        <w:ind/>
      </w:pPr>
      <w:tblPr>
        <w:tblBorders/>
      </w:tblPr>
      <w:tcPr>
        <w:tcBorders>
          <w:bottom w:val="single" w:color="48d45b" w:themeColor="accent3" w:themeTint="98" w:sz="4" w:space="0"/>
        </w:tcBorders>
      </w:tcPr>
    </w:tblStylePr>
    <w:tblStylePr w:type="lastCol">
      <w:rPr>
        <w:b/>
        <w:color w:val="48d45b" w:themeColor="accent3" w:themeTint="98" w:themeShade="95"/>
      </w:rPr>
      <w:pPr>
        <w:pBdr/>
        <w:spacing/>
        <w:ind/>
      </w:pPr>
      <w:tblPr>
        <w:tblBorders/>
      </w:tblPr>
      <w:tcPr>
        <w:tcBorders/>
      </w:tcPr>
    </w:tblStylePr>
    <w:tblStylePr w:type="lastRow">
      <w:rPr>
        <w:b/>
        <w:color w:val="48d45b" w:themeColor="accent3" w:themeTint="98" w:themeShade="95"/>
      </w:rPr>
      <w:pPr>
        <w:pBdr/>
        <w:spacing/>
        <w:ind/>
      </w:pPr>
      <w:tblPr>
        <w:tblBorders/>
      </w:tblPr>
      <w:tcPr>
        <w:tcBorders>
          <w:top w:val="single" w:color="48d45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List Table 6 Colorful - Accent 4"/>
    <w:basedOn w:val="847"/>
    <w:uiPriority w:val="99"/>
    <w:pPr>
      <w:pBdr/>
      <w:spacing/>
      <w:ind/>
    </w:pPr>
    <w:tblPr>
      <w:tblStyleRowBandSize w:val="1"/>
      <w:tblStyleColBandSize w:val="1"/>
      <w:tblBorders>
        <w:top w:val="single" w:color="5fcaf3" w:themeColor="accent4" w:themeTint="9A" w:sz="4" w:space="0"/>
        <w:bottom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bce9fa" w:themeColor="accent4" w:themeTint="40" w:fill="bce9fa" w:themeFill="accent4" w:themeFillTint="40"/>
        <w:tcBorders/>
      </w:tcPr>
    </w:tblStylePr>
    <w:tblStylePr w:type="band1Vert">
      <w:pPr>
        <w:pBdr/>
        <w:spacing/>
        <w:ind/>
      </w:pPr>
      <w:tblPr>
        <w:tblBorders/>
      </w:tblPr>
      <w:tcPr>
        <w:shd w:val="clear" w:color="bce9fa" w:themeColor="accent4" w:themeTint="40" w:fill="bce9fa" w:themeFill="accent4" w:themeFillTint="40"/>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caf3" w:themeColor="accent4" w:themeTint="9A" w:themeShade="95"/>
      </w:rPr>
      <w:pPr>
        <w:pBdr/>
        <w:spacing/>
        <w:ind/>
      </w:pPr>
      <w:tblPr>
        <w:tblBorders/>
      </w:tblPr>
      <w:tcPr>
        <w:tcBorders/>
      </w:tcPr>
    </w:tblStylePr>
    <w:tblStylePr w:type="firstRow">
      <w:rPr>
        <w:b/>
        <w:color w:val="5fcaf3" w:themeColor="accent4" w:themeTint="9A" w:themeShade="95"/>
      </w:rPr>
      <w:pPr>
        <w:pBdr/>
        <w:spacing/>
        <w:ind/>
      </w:pPr>
      <w:tblPr>
        <w:tblBorders/>
      </w:tblPr>
      <w:tcPr>
        <w:tcBorders>
          <w:bottom w:val="single" w:color="5fcaf3" w:themeColor="accent4" w:themeTint="9A" w:sz="4" w:space="0"/>
        </w:tcBorders>
      </w:tcPr>
    </w:tblStylePr>
    <w:tblStylePr w:type="lastCol">
      <w:rPr>
        <w:b/>
        <w:color w:val="5fcaf3" w:themeColor="accent4" w:themeTint="9A" w:themeShade="95"/>
      </w:rPr>
      <w:pPr>
        <w:pBdr/>
        <w:spacing/>
        <w:ind/>
      </w:pPr>
      <w:tblPr>
        <w:tblBorders/>
      </w:tblPr>
      <w:tcPr>
        <w:tcBorders/>
      </w:tcPr>
    </w:tblStylePr>
    <w:tblStylePr w:type="lastRow">
      <w:rPr>
        <w:b/>
        <w:color w:val="5fcaf3" w:themeColor="accent4" w:themeTint="9A" w:themeShade="95"/>
      </w:rPr>
      <w:pPr>
        <w:pBdr/>
        <w:spacing/>
        <w:ind/>
      </w:pPr>
      <w:tblPr>
        <w:tblBorders/>
      </w:tblPr>
      <w:tcPr>
        <w:tcBorders>
          <w:top w:val="single" w:color="5fcaf3"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List Table 6 Colorful - Accent 5"/>
    <w:basedOn w:val="847"/>
    <w:uiPriority w:val="99"/>
    <w:pPr>
      <w:pBdr/>
      <w:spacing/>
      <w:ind/>
    </w:pPr>
    <w:tblPr>
      <w:tblStyleRowBandSize w:val="1"/>
      <w:tblStyleColBandSize w:val="1"/>
      <w:tblBorders>
        <w:top w:val="single" w:color="d76ccb" w:themeColor="accent5" w:themeTint="9A" w:sz="4" w:space="0"/>
        <w:bottom w:val="single" w:color="d76ccb" w:themeColor="accent5" w:themeTint="9A" w:sz="4" w:space="0"/>
      </w:tblBorders>
    </w:tblPr>
    <w:tcPr>
      <w:tcBorders/>
    </w:tcPr>
    <w:tblStylePr w:type="band1Horz">
      <w:rPr>
        <w:rFonts w:ascii="Arial" w:hAnsi="Arial"/>
        <w:color w:val="d76ccb" w:themeColor="accent5" w:themeTint="9A" w:themeShade="95"/>
        <w:sz w:val="22"/>
      </w:rPr>
      <w:pPr>
        <w:pBdr/>
        <w:spacing/>
        <w:ind/>
      </w:pPr>
      <w:tblPr>
        <w:tblBorders/>
      </w:tblPr>
      <w:tcPr>
        <w:shd w:val="clear" w:color="eec2e9" w:themeColor="accent5" w:themeTint="40" w:fill="eec2e9" w:themeFill="accent5" w:themeFillTint="40"/>
        <w:tcBorders/>
      </w:tcPr>
    </w:tblStylePr>
    <w:tblStylePr w:type="band1Vert">
      <w:pPr>
        <w:pBdr/>
        <w:spacing/>
        <w:ind/>
      </w:pPr>
      <w:tblPr>
        <w:tblBorders/>
      </w:tblPr>
      <w:tcPr>
        <w:shd w:val="clear" w:color="eec2e9" w:themeColor="accent5" w:themeTint="40" w:fill="eec2e9" w:themeFill="accent5" w:themeFillTint="40"/>
        <w:tcBorders/>
      </w:tcPr>
    </w:tblStylePr>
    <w:tblStylePr w:type="band2Horz">
      <w:rPr>
        <w:rFonts w:ascii="Arial" w:hAnsi="Arial"/>
        <w:color w:val="d76cc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76ccb" w:themeColor="accent5" w:themeTint="9A" w:themeShade="95"/>
      </w:rPr>
      <w:pPr>
        <w:pBdr/>
        <w:spacing/>
        <w:ind/>
      </w:pPr>
      <w:tblPr>
        <w:tblBorders/>
      </w:tblPr>
      <w:tcPr>
        <w:tcBorders/>
      </w:tcPr>
    </w:tblStylePr>
    <w:tblStylePr w:type="firstRow">
      <w:rPr>
        <w:b/>
        <w:color w:val="d76ccb" w:themeColor="accent5" w:themeTint="9A" w:themeShade="95"/>
      </w:rPr>
      <w:pPr>
        <w:pBdr/>
        <w:spacing/>
        <w:ind/>
      </w:pPr>
      <w:tblPr>
        <w:tblBorders/>
      </w:tblPr>
      <w:tcPr>
        <w:tcBorders>
          <w:bottom w:val="single" w:color="d76ccb" w:themeColor="accent5" w:themeTint="9A" w:sz="4" w:space="0"/>
        </w:tcBorders>
      </w:tcPr>
    </w:tblStylePr>
    <w:tblStylePr w:type="lastCol">
      <w:rPr>
        <w:b/>
        <w:color w:val="d76ccb" w:themeColor="accent5" w:themeTint="9A" w:themeShade="95"/>
      </w:rPr>
      <w:pPr>
        <w:pBdr/>
        <w:spacing/>
        <w:ind/>
      </w:pPr>
      <w:tblPr>
        <w:tblBorders/>
      </w:tblPr>
      <w:tcPr>
        <w:tcBorders/>
      </w:tcPr>
    </w:tblStylePr>
    <w:tblStylePr w:type="lastRow">
      <w:rPr>
        <w:b/>
        <w:color w:val="d76ccb" w:themeColor="accent5" w:themeTint="9A" w:themeShade="95"/>
      </w:rPr>
      <w:pPr>
        <w:pBdr/>
        <w:spacing/>
        <w:ind/>
      </w:pPr>
      <w:tblPr>
        <w:tblBorders/>
      </w:tblPr>
      <w:tcPr>
        <w:tcBorders>
          <w:top w:val="single" w:color="d76cc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List Table 6 Colorful - Accent 6"/>
    <w:basedOn w:val="847"/>
    <w:uiPriority w:val="99"/>
    <w:pPr>
      <w:pBdr/>
      <w:spacing/>
      <w:ind/>
    </w:pPr>
    <w:tblPr>
      <w:tblStyleRowBandSize w:val="1"/>
      <w:tblStyleColBandSize w:val="1"/>
      <w:tblBorders>
        <w:top w:val="single" w:color="8ed873" w:themeColor="accent6" w:themeTint="98" w:sz="4" w:space="0"/>
        <w:bottom w:val="single" w:color="8ed873" w:themeColor="accent6" w:themeTint="98" w:sz="4" w:space="0"/>
      </w:tblBorders>
    </w:tblPr>
    <w:tcPr>
      <w:tcBorders/>
    </w:tcPr>
    <w:tblStylePr w:type="band1Horz">
      <w:rPr>
        <w:rFonts w:ascii="Arial" w:hAnsi="Arial"/>
        <w:color w:val="8ed873" w:themeColor="accent6" w:themeTint="98" w:themeShade="95"/>
        <w:sz w:val="22"/>
      </w:rPr>
      <w:pPr>
        <w:pBdr/>
        <w:spacing/>
        <w:ind/>
      </w:pPr>
      <w:tblPr>
        <w:tblBorders/>
      </w:tblPr>
      <w:tcPr>
        <w:shd w:val="clear" w:color="cfefc4" w:themeColor="accent6" w:themeTint="40" w:fill="cfefc4" w:themeFill="accent6" w:themeFillTint="40"/>
        <w:tcBorders/>
      </w:tcPr>
    </w:tblStylePr>
    <w:tblStylePr w:type="band1Vert">
      <w:pPr>
        <w:pBdr/>
        <w:spacing/>
        <w:ind/>
      </w:pPr>
      <w:tblPr>
        <w:tblBorders/>
      </w:tblPr>
      <w:tcPr>
        <w:shd w:val="clear" w:color="cfefc4" w:themeColor="accent6" w:themeTint="40" w:fill="cfefc4" w:themeFill="accent6" w:themeFillTint="40"/>
        <w:tcBorders/>
      </w:tcPr>
    </w:tblStylePr>
    <w:tblStylePr w:type="band2Horz">
      <w:rPr>
        <w:rFonts w:ascii="Arial" w:hAnsi="Arial"/>
        <w:color w:val="8ed873"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ed873" w:themeColor="accent6" w:themeTint="98" w:themeShade="95"/>
      </w:rPr>
      <w:pPr>
        <w:pBdr/>
        <w:spacing/>
        <w:ind/>
      </w:pPr>
      <w:tblPr>
        <w:tblBorders/>
      </w:tblPr>
      <w:tcPr>
        <w:tcBorders/>
      </w:tcPr>
    </w:tblStylePr>
    <w:tblStylePr w:type="firstRow">
      <w:rPr>
        <w:b/>
        <w:color w:val="8ed873" w:themeColor="accent6" w:themeTint="98" w:themeShade="95"/>
      </w:rPr>
      <w:pPr>
        <w:pBdr/>
        <w:spacing/>
        <w:ind/>
      </w:pPr>
      <w:tblPr>
        <w:tblBorders/>
      </w:tblPr>
      <w:tcPr>
        <w:tcBorders>
          <w:bottom w:val="single" w:color="8ed873" w:themeColor="accent6" w:themeTint="98" w:sz="4" w:space="0"/>
        </w:tcBorders>
      </w:tcPr>
    </w:tblStylePr>
    <w:tblStylePr w:type="lastCol">
      <w:rPr>
        <w:b/>
        <w:color w:val="8ed873" w:themeColor="accent6" w:themeTint="98" w:themeShade="95"/>
      </w:rPr>
      <w:pPr>
        <w:pBdr/>
        <w:spacing/>
        <w:ind/>
      </w:pPr>
      <w:tblPr>
        <w:tblBorders/>
      </w:tblPr>
      <w:tcPr>
        <w:tcBorders/>
      </w:tcPr>
    </w:tblStylePr>
    <w:tblStylePr w:type="lastRow">
      <w:rPr>
        <w:b/>
        <w:color w:val="8ed873" w:themeColor="accent6" w:themeTint="98" w:themeShade="95"/>
      </w:rPr>
      <w:pPr>
        <w:pBdr/>
        <w:spacing/>
        <w:ind/>
      </w:pPr>
      <w:tblPr>
        <w:tblBorders/>
      </w:tblPr>
      <w:tcPr>
        <w:tcBorders>
          <w:top w:val="single" w:color="8ed873"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7 Colorful"/>
    <w:basedOn w:val="847"/>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List Table 7 Colorful - Accent 1"/>
    <w:basedOn w:val="847"/>
    <w:uiPriority w:val="99"/>
    <w:pPr>
      <w:pBdr/>
      <w:spacing/>
      <w:ind/>
    </w:pPr>
    <w:tblPr>
      <w:tblStyleRowBandSize w:val="1"/>
      <w:tblStyleColBandSize w:val="1"/>
      <w:tblBorders>
        <w:right w:val="single" w:color="156082" w:themeColor="accent1" w:sz="4" w:space="0"/>
      </w:tblBorders>
    </w:tblPr>
    <w:tcPr>
      <w:tcBorders/>
    </w:tcPr>
    <w:tblStylePr w:type="band1Horz">
      <w:rPr>
        <w:rFonts w:ascii="Arial" w:hAnsi="Arial"/>
        <w:color w:val="0c374b" w:themeColor="accent1" w:themeShade="95"/>
        <w:sz w:val="22"/>
      </w:rPr>
      <w:pPr>
        <w:pBdr/>
        <w:spacing/>
        <w:ind/>
      </w:pPr>
      <w:tblPr>
        <w:tblBorders/>
      </w:tblPr>
      <w:tcPr>
        <w:shd w:val="clear" w:color="b1def2" w:themeColor="accent1" w:themeTint="40" w:fill="b1def2" w:themeFill="accent1" w:themeFillTint="40"/>
        <w:tcBorders/>
      </w:tcPr>
    </w:tblStylePr>
    <w:tblStylePr w:type="band1Vert">
      <w:pPr>
        <w:pBdr/>
        <w:spacing/>
        <w:ind/>
      </w:pPr>
      <w:tblPr>
        <w:tblBorders/>
      </w:tblPr>
      <w:tcPr>
        <w:shd w:val="clear" w:color="b1def2" w:themeColor="accent1" w:themeTint="40" w:fill="b1def2" w:themeFill="accent1" w:themeFillTint="40"/>
        <w:tcBorders/>
      </w:tcPr>
    </w:tblStylePr>
    <w:tblStylePr w:type="band2Horz">
      <w:rPr>
        <w:rFonts w:ascii="Arial" w:hAnsi="Arial"/>
        <w:color w:val="0c374b"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c374b"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156082" w:themeColor="accent1" w:sz="4" w:space="0"/>
        </w:tcBorders>
      </w:tcPr>
    </w:tblStylePr>
    <w:tblStylePr w:type="firstRow">
      <w:rPr>
        <w:rFonts w:ascii="Arial" w:hAnsi="Arial"/>
        <w:i/>
        <w:color w:val="0c374b"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156082" w:themeColor="accent1" w:sz="4" w:space="0"/>
          <w:right w:val="none" w:color="000000" w:sz="0" w:space="0"/>
        </w:tcBorders>
      </w:tcPr>
    </w:tblStylePr>
    <w:tblStylePr w:type="lastCol">
      <w:rPr>
        <w:rFonts w:ascii="Arial" w:hAnsi="Arial"/>
        <w:i/>
        <w:color w:val="0c374b" w:themeColor="accent1" w:themeShade="95"/>
        <w:sz w:val="22"/>
      </w:rPr>
      <w:pPr>
        <w:pBdr/>
        <w:spacing/>
        <w:ind/>
      </w:pPr>
      <w:tblPr>
        <w:tblBorders/>
      </w:tblPr>
      <w:tcPr>
        <w:shd w:val="clear" w:color="ffffff" w:fill="auto"/>
        <w:tcBorders>
          <w:top w:val="none" w:color="000000" w:sz="0" w:space="0"/>
          <w:left w:val="single" w:color="156082" w:themeColor="accent1" w:sz="4" w:space="0"/>
          <w:bottom w:val="none" w:color="000000" w:sz="0" w:space="0"/>
          <w:right w:val="none" w:color="000000" w:sz="0" w:space="0"/>
        </w:tcBorders>
      </w:tcPr>
    </w:tblStylePr>
    <w:tblStylePr w:type="lastRow">
      <w:rPr>
        <w:rFonts w:ascii="Arial" w:hAnsi="Arial"/>
        <w:i/>
        <w:color w:val="0c374b" w:themeColor="accent1" w:themeShade="95"/>
        <w:sz w:val="22"/>
      </w:rPr>
      <w:pPr>
        <w:pBdr/>
        <w:spacing/>
        <w:ind/>
      </w:pPr>
      <w:tblPr>
        <w:tblBorders/>
      </w:tblPr>
      <w:tcPr>
        <w:shd w:val="clear" w:color="ffffff" w:themeColor="light1" w:fill="ffffff" w:themeFill="light1"/>
        <w:tcBorders>
          <w:top w:val="single" w:color="156082"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List Table 7 Colorful - Accent 2"/>
    <w:basedOn w:val="847"/>
    <w:uiPriority w:val="99"/>
    <w:pPr>
      <w:pBdr/>
      <w:spacing/>
      <w:ind/>
    </w:pPr>
    <w:tblPr>
      <w:tblStyleRowBandSize w:val="1"/>
      <w:tblStyleColBandSize w:val="1"/>
      <w:tblBorders>
        <w:right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9dbcb" w:themeColor="accent2" w:themeTint="40" w:fill="f9dbcb" w:themeFill="accent2" w:themeFillTint="40"/>
        <w:tcBorders/>
      </w:tcPr>
    </w:tblStylePr>
    <w:tblStylePr w:type="band1Vert">
      <w:pPr>
        <w:pBdr/>
        <w:spacing/>
        <w:ind/>
      </w:pPr>
      <w:tblPr>
        <w:tblBorders/>
      </w:tblPr>
      <w:tcPr>
        <w:shd w:val="clear" w:color="f9dbcb" w:themeColor="accent2" w:themeTint="40" w:fill="f9dbcb" w:themeFill="accent2" w:themeFillTint="40"/>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2aa8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2aa85" w:themeColor="accent2" w:themeTint="97" w:sz="4" w:space="0"/>
        </w:tcBorders>
      </w:tcPr>
    </w:tblStylePr>
    <w:tblStylePr w:type="firstRow">
      <w:rPr>
        <w:rFonts w:ascii="Arial" w:hAnsi="Arial"/>
        <w:i/>
        <w:color w:val="f2aa8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2aa85" w:themeColor="accent2" w:themeTint="97" w:sz="4" w:space="0"/>
          <w:right w:val="none" w:color="000000" w:sz="0" w:space="0"/>
        </w:tcBorders>
      </w:tcPr>
    </w:tblStylePr>
    <w:tblStylePr w:type="lastCol">
      <w:rPr>
        <w:rFonts w:ascii="Arial" w:hAnsi="Arial"/>
        <w:i/>
        <w:color w:val="f2aa85" w:themeColor="accent2" w:themeTint="97" w:themeShade="95"/>
        <w:sz w:val="22"/>
      </w:rPr>
      <w:pPr>
        <w:pBdr/>
        <w:spacing/>
        <w:ind/>
      </w:pPr>
      <w:tblPr>
        <w:tblBorders/>
      </w:tblPr>
      <w:tcPr>
        <w:shd w:val="clear" w:color="ffffff" w:fill="auto"/>
        <w:tcBorders>
          <w:top w:val="none" w:color="000000" w:sz="0" w:space="0"/>
          <w:left w:val="single" w:color="f2aa85" w:themeColor="accent2" w:themeTint="97" w:sz="4" w:space="0"/>
          <w:bottom w:val="none" w:color="000000" w:sz="0" w:space="0"/>
          <w:right w:val="none" w:color="000000" w:sz="0" w:space="0"/>
        </w:tcBorders>
      </w:tcPr>
    </w:tblStylePr>
    <w:tblStylePr w:type="lastRow">
      <w:rPr>
        <w:rFonts w:ascii="Arial" w:hAnsi="Arial"/>
        <w:i/>
        <w:color w:val="f2aa85" w:themeColor="accent2" w:themeTint="97" w:themeShade="95"/>
        <w:sz w:val="22"/>
      </w:rPr>
      <w:pPr>
        <w:pBdr/>
        <w:spacing/>
        <w:ind/>
      </w:pPr>
      <w:tblPr>
        <w:tblBorders/>
      </w:tblPr>
      <w:tcPr>
        <w:shd w:val="clear" w:color="ffffff" w:themeColor="light1" w:fill="ffffff" w:themeFill="light1"/>
        <w:tcBorders>
          <w:top w:val="single" w:color="f2aa8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List Table 7 Colorful - Accent 3"/>
    <w:basedOn w:val="847"/>
    <w:uiPriority w:val="99"/>
    <w:pPr>
      <w:pBdr/>
      <w:spacing/>
      <w:ind/>
    </w:pPr>
    <w:tblPr>
      <w:tblStyleRowBandSize w:val="1"/>
      <w:tblStyleColBandSize w:val="1"/>
      <w:tblBorders>
        <w:right w:val="single" w:color="48d45b" w:themeColor="accent3" w:themeTint="98" w:sz="4" w:space="0"/>
      </w:tblBorders>
    </w:tblPr>
    <w:tcPr>
      <w:tcBorders/>
    </w:tcPr>
    <w:tblStylePr w:type="band1Horz">
      <w:rPr>
        <w:rFonts w:ascii="Arial" w:hAnsi="Arial"/>
        <w:color w:val="48d45b" w:themeColor="accent3" w:themeTint="98" w:themeShade="95"/>
        <w:sz w:val="22"/>
      </w:rPr>
      <w:pPr>
        <w:pBdr/>
        <w:spacing/>
        <w:ind/>
      </w:pPr>
      <w:tblPr>
        <w:tblBorders/>
      </w:tblPr>
      <w:tcPr>
        <w:shd w:val="clear" w:color="b2edb9" w:themeColor="accent3" w:themeTint="40" w:fill="b2edb9" w:themeFill="accent3" w:themeFillTint="40"/>
        <w:tcBorders/>
      </w:tcPr>
    </w:tblStylePr>
    <w:tblStylePr w:type="band1Vert">
      <w:pPr>
        <w:pBdr/>
        <w:spacing/>
        <w:ind/>
      </w:pPr>
      <w:tblPr>
        <w:tblBorders/>
      </w:tblPr>
      <w:tcPr>
        <w:shd w:val="clear" w:color="b2edb9" w:themeColor="accent3" w:themeTint="40" w:fill="b2edb9" w:themeFill="accent3" w:themeFillTint="40"/>
        <w:tcBorders/>
      </w:tcPr>
    </w:tblStylePr>
    <w:tblStylePr w:type="band2Horz">
      <w:rPr>
        <w:rFonts w:ascii="Arial" w:hAnsi="Arial"/>
        <w:color w:val="48d45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8d45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8d45b" w:themeColor="accent3" w:themeTint="98" w:sz="4" w:space="0"/>
        </w:tcBorders>
      </w:tcPr>
    </w:tblStylePr>
    <w:tblStylePr w:type="firstRow">
      <w:rPr>
        <w:rFonts w:ascii="Arial" w:hAnsi="Arial"/>
        <w:i/>
        <w:color w:val="48d45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8d45b" w:themeColor="accent3" w:themeTint="98" w:sz="4" w:space="0"/>
          <w:right w:val="none" w:color="000000" w:sz="0" w:space="0"/>
        </w:tcBorders>
      </w:tcPr>
    </w:tblStylePr>
    <w:tblStylePr w:type="lastCol">
      <w:rPr>
        <w:rFonts w:ascii="Arial" w:hAnsi="Arial"/>
        <w:i/>
        <w:color w:val="48d45b" w:themeColor="accent3" w:themeTint="98" w:themeShade="95"/>
        <w:sz w:val="22"/>
      </w:rPr>
      <w:pPr>
        <w:pBdr/>
        <w:spacing/>
        <w:ind/>
      </w:pPr>
      <w:tblPr>
        <w:tblBorders/>
      </w:tblPr>
      <w:tcPr>
        <w:shd w:val="clear" w:color="ffffff" w:fill="auto"/>
        <w:tcBorders>
          <w:top w:val="none" w:color="000000" w:sz="0" w:space="0"/>
          <w:left w:val="single" w:color="48d45b" w:themeColor="accent3" w:themeTint="98" w:sz="4" w:space="0"/>
          <w:bottom w:val="none" w:color="000000" w:sz="0" w:space="0"/>
          <w:right w:val="none" w:color="000000" w:sz="0" w:space="0"/>
        </w:tcBorders>
      </w:tcPr>
    </w:tblStylePr>
    <w:tblStylePr w:type="lastRow">
      <w:rPr>
        <w:rFonts w:ascii="Arial" w:hAnsi="Arial"/>
        <w:i/>
        <w:color w:val="48d45b" w:themeColor="accent3" w:themeTint="98" w:themeShade="95"/>
        <w:sz w:val="22"/>
      </w:rPr>
      <w:pPr>
        <w:pBdr/>
        <w:spacing/>
        <w:ind/>
      </w:pPr>
      <w:tblPr>
        <w:tblBorders/>
      </w:tblPr>
      <w:tcPr>
        <w:shd w:val="clear" w:color="ffffff" w:themeColor="light1" w:fill="ffffff" w:themeFill="light1"/>
        <w:tcBorders>
          <w:top w:val="single" w:color="48d45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List Table 7 Colorful - Accent 4"/>
    <w:basedOn w:val="847"/>
    <w:uiPriority w:val="99"/>
    <w:pPr>
      <w:pBdr/>
      <w:spacing/>
      <w:ind/>
    </w:pPr>
    <w:tblPr>
      <w:tblStyleRowBandSize w:val="1"/>
      <w:tblStyleColBandSize w:val="1"/>
      <w:tblBorders>
        <w:right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bce9fa" w:themeColor="accent4" w:themeTint="40" w:fill="bce9fa" w:themeFill="accent4" w:themeFillTint="40"/>
        <w:tcBorders/>
      </w:tcPr>
    </w:tblStylePr>
    <w:tblStylePr w:type="band1Vert">
      <w:pPr>
        <w:pBdr/>
        <w:spacing/>
        <w:ind/>
      </w:pPr>
      <w:tblPr>
        <w:tblBorders/>
      </w:tblPr>
      <w:tcPr>
        <w:shd w:val="clear" w:color="bce9fa" w:themeColor="accent4" w:themeTint="40" w:fill="bce9fa" w:themeFill="accent4" w:themeFillTint="40"/>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caf3"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fcaf3" w:themeColor="accent4" w:themeTint="9A" w:sz="4" w:space="0"/>
        </w:tcBorders>
      </w:tcPr>
    </w:tblStylePr>
    <w:tblStylePr w:type="firstRow">
      <w:rPr>
        <w:rFonts w:ascii="Arial" w:hAnsi="Arial"/>
        <w:i/>
        <w:color w:val="5fcaf3"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fcaf3" w:themeColor="accent4" w:themeTint="9A" w:sz="4" w:space="0"/>
          <w:right w:val="none" w:color="000000" w:sz="0" w:space="0"/>
        </w:tcBorders>
      </w:tcPr>
    </w:tblStylePr>
    <w:tblStylePr w:type="lastCol">
      <w:rPr>
        <w:rFonts w:ascii="Arial" w:hAnsi="Arial"/>
        <w:i/>
        <w:color w:val="5fcaf3" w:themeColor="accent4" w:themeTint="9A" w:themeShade="95"/>
        <w:sz w:val="22"/>
      </w:rPr>
      <w:pPr>
        <w:pBdr/>
        <w:spacing/>
        <w:ind/>
      </w:pPr>
      <w:tblPr>
        <w:tblBorders/>
      </w:tblPr>
      <w:tcPr>
        <w:shd w:val="clear" w:color="ffffff" w:fill="auto"/>
        <w:tcBorders>
          <w:top w:val="none" w:color="000000" w:sz="0" w:space="0"/>
          <w:left w:val="single" w:color="5fcaf3" w:themeColor="accent4" w:themeTint="9A" w:sz="4" w:space="0"/>
          <w:bottom w:val="none" w:color="000000" w:sz="0" w:space="0"/>
          <w:right w:val="none" w:color="000000" w:sz="0" w:space="0"/>
        </w:tcBorders>
      </w:tcPr>
    </w:tblStylePr>
    <w:tblStylePr w:type="lastRow">
      <w:rPr>
        <w:rFonts w:ascii="Arial" w:hAnsi="Arial"/>
        <w:i/>
        <w:color w:val="5fcaf3" w:themeColor="accent4" w:themeTint="9A" w:themeShade="95"/>
        <w:sz w:val="22"/>
      </w:rPr>
      <w:pPr>
        <w:pBdr/>
        <w:spacing/>
        <w:ind/>
      </w:pPr>
      <w:tblPr>
        <w:tblBorders/>
      </w:tblPr>
      <w:tcPr>
        <w:shd w:val="clear" w:color="ffffff" w:themeColor="light1" w:fill="ffffff" w:themeFill="light1"/>
        <w:tcBorders>
          <w:top w:val="single" w:color="5fcaf3"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List Table 7 Colorful - Accent 5"/>
    <w:basedOn w:val="847"/>
    <w:uiPriority w:val="99"/>
    <w:pPr>
      <w:pBdr/>
      <w:spacing/>
      <w:ind/>
    </w:pPr>
    <w:tblPr>
      <w:tblStyleRowBandSize w:val="1"/>
      <w:tblStyleColBandSize w:val="1"/>
      <w:tblBorders>
        <w:right w:val="single" w:color="d76ccb" w:themeColor="accent5" w:themeTint="9A" w:sz="4" w:space="0"/>
      </w:tblBorders>
    </w:tblPr>
    <w:tcPr>
      <w:tcBorders/>
    </w:tcPr>
    <w:tblStylePr w:type="band1Horz">
      <w:rPr>
        <w:rFonts w:ascii="Arial" w:hAnsi="Arial"/>
        <w:color w:val="d76ccb" w:themeColor="accent5" w:themeTint="9A" w:themeShade="95"/>
        <w:sz w:val="22"/>
      </w:rPr>
      <w:pPr>
        <w:pBdr/>
        <w:spacing/>
        <w:ind/>
      </w:pPr>
      <w:tblPr>
        <w:tblBorders/>
      </w:tblPr>
      <w:tcPr>
        <w:shd w:val="clear" w:color="eec2e9" w:themeColor="accent5" w:themeTint="40" w:fill="eec2e9" w:themeFill="accent5" w:themeFillTint="40"/>
        <w:tcBorders/>
      </w:tcPr>
    </w:tblStylePr>
    <w:tblStylePr w:type="band1Vert">
      <w:pPr>
        <w:pBdr/>
        <w:spacing/>
        <w:ind/>
      </w:pPr>
      <w:tblPr>
        <w:tblBorders/>
      </w:tblPr>
      <w:tcPr>
        <w:shd w:val="clear" w:color="eec2e9" w:themeColor="accent5" w:themeTint="40" w:fill="eec2e9" w:themeFill="accent5" w:themeFillTint="40"/>
        <w:tcBorders/>
      </w:tcPr>
    </w:tblStylePr>
    <w:tblStylePr w:type="band2Horz">
      <w:rPr>
        <w:rFonts w:ascii="Arial" w:hAnsi="Arial"/>
        <w:color w:val="d76cc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76cc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76ccb" w:themeColor="accent5" w:themeTint="9A" w:sz="4" w:space="0"/>
        </w:tcBorders>
      </w:tcPr>
    </w:tblStylePr>
    <w:tblStylePr w:type="firstRow">
      <w:rPr>
        <w:rFonts w:ascii="Arial" w:hAnsi="Arial"/>
        <w:i/>
        <w:color w:val="d76cc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76ccb" w:themeColor="accent5" w:themeTint="9A" w:sz="4" w:space="0"/>
          <w:right w:val="none" w:color="000000" w:sz="0" w:space="0"/>
        </w:tcBorders>
      </w:tcPr>
    </w:tblStylePr>
    <w:tblStylePr w:type="lastCol">
      <w:rPr>
        <w:rFonts w:ascii="Arial" w:hAnsi="Arial"/>
        <w:i/>
        <w:color w:val="d76ccb" w:themeColor="accent5" w:themeTint="9A" w:themeShade="95"/>
        <w:sz w:val="22"/>
      </w:rPr>
      <w:pPr>
        <w:pBdr/>
        <w:spacing/>
        <w:ind/>
      </w:pPr>
      <w:tblPr>
        <w:tblBorders/>
      </w:tblPr>
      <w:tcPr>
        <w:shd w:val="clear" w:color="ffffff" w:fill="auto"/>
        <w:tcBorders>
          <w:top w:val="none" w:color="000000" w:sz="0" w:space="0"/>
          <w:left w:val="single" w:color="d76ccb" w:themeColor="accent5" w:themeTint="9A" w:sz="4" w:space="0"/>
          <w:bottom w:val="none" w:color="000000" w:sz="0" w:space="0"/>
          <w:right w:val="none" w:color="000000" w:sz="0" w:space="0"/>
        </w:tcBorders>
      </w:tcPr>
    </w:tblStylePr>
    <w:tblStylePr w:type="lastRow">
      <w:rPr>
        <w:rFonts w:ascii="Arial" w:hAnsi="Arial"/>
        <w:i/>
        <w:color w:val="d76ccb" w:themeColor="accent5" w:themeTint="9A" w:themeShade="95"/>
        <w:sz w:val="22"/>
      </w:rPr>
      <w:pPr>
        <w:pBdr/>
        <w:spacing/>
        <w:ind/>
      </w:pPr>
      <w:tblPr>
        <w:tblBorders/>
      </w:tblPr>
      <w:tcPr>
        <w:shd w:val="clear" w:color="ffffff" w:themeColor="light1" w:fill="ffffff" w:themeFill="light1"/>
        <w:tcBorders>
          <w:top w:val="single" w:color="d76cc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List Table 7 Colorful - Accent 6"/>
    <w:basedOn w:val="847"/>
    <w:uiPriority w:val="99"/>
    <w:pPr>
      <w:pBdr/>
      <w:spacing/>
      <w:ind/>
    </w:pPr>
    <w:tblPr>
      <w:tblStyleRowBandSize w:val="1"/>
      <w:tblStyleColBandSize w:val="1"/>
      <w:tblBorders>
        <w:right w:val="single" w:color="8ed873" w:themeColor="accent6" w:themeTint="98" w:sz="4" w:space="0"/>
      </w:tblBorders>
    </w:tblPr>
    <w:tcPr>
      <w:tcBorders/>
    </w:tcPr>
    <w:tblStylePr w:type="band1Horz">
      <w:rPr>
        <w:rFonts w:ascii="Arial" w:hAnsi="Arial"/>
        <w:color w:val="8ed873" w:themeColor="accent6" w:themeTint="98" w:themeShade="95"/>
        <w:sz w:val="22"/>
      </w:rPr>
      <w:pPr>
        <w:pBdr/>
        <w:spacing/>
        <w:ind/>
      </w:pPr>
      <w:tblPr>
        <w:tblBorders/>
      </w:tblPr>
      <w:tcPr>
        <w:shd w:val="clear" w:color="cfefc4" w:themeColor="accent6" w:themeTint="40" w:fill="cfefc4" w:themeFill="accent6" w:themeFillTint="40"/>
        <w:tcBorders/>
      </w:tcPr>
    </w:tblStylePr>
    <w:tblStylePr w:type="band1Vert">
      <w:pPr>
        <w:pBdr/>
        <w:spacing/>
        <w:ind/>
      </w:pPr>
      <w:tblPr>
        <w:tblBorders/>
      </w:tblPr>
      <w:tcPr>
        <w:shd w:val="clear" w:color="cfefc4" w:themeColor="accent6" w:themeTint="40" w:fill="cfefc4" w:themeFill="accent6" w:themeFillTint="40"/>
        <w:tcBorders/>
      </w:tcPr>
    </w:tblStylePr>
    <w:tblStylePr w:type="band2Horz">
      <w:rPr>
        <w:rFonts w:ascii="Arial" w:hAnsi="Arial"/>
        <w:color w:val="8ed873"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ed873"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ed873" w:themeColor="accent6" w:themeTint="98" w:sz="4" w:space="0"/>
        </w:tcBorders>
      </w:tcPr>
    </w:tblStylePr>
    <w:tblStylePr w:type="firstRow">
      <w:rPr>
        <w:rFonts w:ascii="Arial" w:hAnsi="Arial"/>
        <w:i/>
        <w:color w:val="8ed873"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ed873" w:themeColor="accent6" w:themeTint="98" w:sz="4" w:space="0"/>
          <w:right w:val="none" w:color="000000" w:sz="0" w:space="0"/>
        </w:tcBorders>
      </w:tcPr>
    </w:tblStylePr>
    <w:tblStylePr w:type="lastCol">
      <w:rPr>
        <w:rFonts w:ascii="Arial" w:hAnsi="Arial"/>
        <w:i/>
        <w:color w:val="8ed873" w:themeColor="accent6" w:themeTint="98" w:themeShade="95"/>
        <w:sz w:val="22"/>
      </w:rPr>
      <w:pPr>
        <w:pBdr/>
        <w:spacing/>
        <w:ind/>
      </w:pPr>
      <w:tblPr>
        <w:tblBorders/>
      </w:tblPr>
      <w:tcPr>
        <w:shd w:val="clear" w:color="ffffff" w:fill="auto"/>
        <w:tcBorders>
          <w:top w:val="none" w:color="000000" w:sz="0" w:space="0"/>
          <w:left w:val="single" w:color="8ed873" w:themeColor="accent6" w:themeTint="98" w:sz="4" w:space="0"/>
          <w:bottom w:val="none" w:color="000000" w:sz="0" w:space="0"/>
          <w:right w:val="none" w:color="000000" w:sz="0" w:space="0"/>
        </w:tcBorders>
      </w:tcPr>
    </w:tblStylePr>
    <w:tblStylePr w:type="lastRow">
      <w:rPr>
        <w:rFonts w:ascii="Arial" w:hAnsi="Arial"/>
        <w:i/>
        <w:color w:val="8ed873" w:themeColor="accent6" w:themeTint="98" w:themeShade="95"/>
        <w:sz w:val="22"/>
      </w:rPr>
      <w:pPr>
        <w:pBdr/>
        <w:spacing/>
        <w:ind/>
      </w:pPr>
      <w:tblPr>
        <w:tblBorders/>
      </w:tblPr>
      <w:tcPr>
        <w:shd w:val="clear" w:color="ffffff" w:themeColor="light1" w:fill="ffffff" w:themeFill="light1"/>
        <w:tcBorders>
          <w:top w:val="single" w:color="8ed873"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Lined - Accent"/>
    <w:basedOn w:val="847"/>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Lined - Accent 1"/>
    <w:basedOn w:val="847"/>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band2Vert">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fir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fir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Lined - Accent 2"/>
    <w:basedOn w:val="847"/>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fir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fir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Lined - Accent 3"/>
    <w:basedOn w:val="847"/>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fir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Lined - Accent 4"/>
    <w:basedOn w:val="847"/>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fir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Lined - Accent 5"/>
    <w:basedOn w:val="847"/>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firstCol">
      <w:rPr>
        <w:rFonts w:ascii="Arial" w:hAnsi="Arial"/>
        <w:color w:val="f2f2f2"/>
        <w:sz w:val="22"/>
      </w:rPr>
      <w:pPr>
        <w:pBdr/>
        <w:spacing/>
        <w:ind/>
      </w:pPr>
      <w:tblPr>
        <w:tblBorders/>
      </w:tblPr>
      <w:tcPr>
        <w:shd w:val="clear" w:color="a02b93" w:themeColor="accent5" w:fill="a02b93" w:themeFill="accent5"/>
        <w:tcBorders/>
      </w:tcPr>
    </w:tblStylePr>
    <w:tblStylePr w:type="firstRow">
      <w:rPr>
        <w:rFonts w:ascii="Arial" w:hAnsi="Arial"/>
        <w:color w:val="f2f2f2"/>
        <w:sz w:val="22"/>
      </w:rPr>
      <w:pPr>
        <w:pBdr/>
        <w:spacing/>
        <w:ind/>
      </w:pPr>
      <w:tblPr>
        <w:tblBorders/>
      </w:tblPr>
      <w:tcPr>
        <w:shd w:val="clear" w:color="a02b93" w:themeColor="accent5" w:fill="a02b93" w:themeFill="accent5"/>
        <w:tcBorders/>
      </w:tcPr>
    </w:tblStylePr>
    <w:tblStylePr w:type="lastCol">
      <w:rPr>
        <w:rFonts w:ascii="Arial" w:hAnsi="Arial"/>
        <w:color w:val="f2f2f2"/>
        <w:sz w:val="22"/>
      </w:rPr>
      <w:pPr>
        <w:pBdr/>
        <w:spacing/>
        <w:ind/>
      </w:pPr>
      <w:tblPr>
        <w:tblBorders/>
      </w:tblPr>
      <w:tcPr>
        <w:shd w:val="clear" w:color="a02b93" w:themeColor="accent5" w:fill="a02b93" w:themeFill="accent5"/>
        <w:tcBorders/>
      </w:tcPr>
    </w:tblStylePr>
    <w:tblStylePr w:type="lastRow">
      <w:rPr>
        <w:rFonts w:ascii="Arial" w:hAnsi="Arial"/>
        <w:color w:val="f2f2f2"/>
        <w:sz w:val="22"/>
      </w:rPr>
      <w:pPr>
        <w:pBdr/>
        <w:spacing/>
        <w:ind/>
      </w:pPr>
      <w:tblPr>
        <w:tblBorders/>
      </w:tblPr>
      <w:tcPr>
        <w:shd w:val="clear" w:color="a02b93"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Lined - Accent 6"/>
    <w:basedOn w:val="847"/>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firstCol">
      <w:rPr>
        <w:rFonts w:ascii="Arial" w:hAnsi="Arial"/>
        <w:color w:val="f2f2f2"/>
        <w:sz w:val="22"/>
      </w:rPr>
      <w:pPr>
        <w:pBdr/>
        <w:spacing/>
        <w:ind/>
      </w:pPr>
      <w:tblPr>
        <w:tblBorders/>
      </w:tblPr>
      <w:tcPr>
        <w:shd w:val="clear" w:color="4ea72e" w:themeColor="accent6" w:fill="4ea72e" w:themeFill="accent6"/>
        <w:tcBorders/>
      </w:tcPr>
    </w:tblStylePr>
    <w:tblStylePr w:type="firstRow">
      <w:rPr>
        <w:rFonts w:ascii="Arial" w:hAnsi="Arial"/>
        <w:color w:val="f2f2f2"/>
        <w:sz w:val="22"/>
      </w:rPr>
      <w:pPr>
        <w:pBdr/>
        <w:spacing/>
        <w:ind/>
      </w:pPr>
      <w:tblPr>
        <w:tblBorders/>
      </w:tblPr>
      <w:tcPr>
        <w:shd w:val="clear" w:color="4ea72e" w:themeColor="accent6" w:fill="4ea72e" w:themeFill="accent6"/>
        <w:tcBorders/>
      </w:tcPr>
    </w:tblStylePr>
    <w:tblStylePr w:type="lastCol">
      <w:rPr>
        <w:rFonts w:ascii="Arial" w:hAnsi="Arial"/>
        <w:color w:val="f2f2f2"/>
        <w:sz w:val="22"/>
      </w:rPr>
      <w:pPr>
        <w:pBdr/>
        <w:spacing/>
        <w:ind/>
      </w:pPr>
      <w:tblPr>
        <w:tblBorders/>
      </w:tblPr>
      <w:tcPr>
        <w:shd w:val="clear" w:color="4ea72e" w:themeColor="accent6" w:fill="4ea72e" w:themeFill="accent6"/>
        <w:tcBorders/>
      </w:tcPr>
    </w:tblStylePr>
    <w:tblStylePr w:type="lastRow">
      <w:rPr>
        <w:rFonts w:ascii="Arial" w:hAnsi="Arial"/>
        <w:color w:val="f2f2f2"/>
        <w:sz w:val="22"/>
      </w:rPr>
      <w:pPr>
        <w:pBdr/>
        <w:spacing/>
        <w:ind/>
      </w:pPr>
      <w:tblPr>
        <w:tblBorders/>
      </w:tblPr>
      <w:tcPr>
        <w:shd w:val="clear" w:color="4ea72e"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Bordered &amp; Lined - Accent"/>
    <w:basedOn w:val="847"/>
    <w:uiPriority w:val="99"/>
    <w:pPr>
      <w:pBdr/>
      <w:spacing/>
      <w:ind/>
    </w:pPr>
    <w:rPr>
      <w:color w:val="404040"/>
      <w:sz w:val="20"/>
      <w:lang w:eastAsia="lt-LT"/>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Bordered &amp; Lined - Accent 1"/>
    <w:basedOn w:val="847"/>
    <w:uiPriority w:val="99"/>
    <w:pPr>
      <w:pBdr/>
      <w:spacing/>
      <w:ind/>
    </w:pPr>
    <w:rPr>
      <w:color w:val="404040"/>
      <w:sz w:val="20"/>
      <w:lang w:eastAsia="lt-LT"/>
    </w:rPr>
    <w:tblPr>
      <w:tblStyleRowBandSize w:val="1"/>
      <w:tblStyleColBandSize w:val="1"/>
      <w:tblBorders>
        <w:top w:val="single" w:color="0c374b" w:themeColor="accent1" w:themeShade="95" w:sz="4" w:space="0"/>
        <w:left w:val="single" w:color="0c374b" w:themeColor="accent1" w:themeShade="95" w:sz="4" w:space="0"/>
        <w:bottom w:val="single" w:color="0c374b" w:themeColor="accent1" w:themeShade="95" w:sz="4" w:space="0"/>
        <w:right w:val="single" w:color="0c374b" w:themeColor="accent1" w:themeShade="95" w:sz="4" w:space="0"/>
        <w:insideH w:val="single" w:color="0c374b" w:themeColor="accent1" w:themeShade="95" w:sz="4" w:space="0"/>
        <w:insideV w:val="single" w:color="0c374b"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band2Vert">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fir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fir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Bordered &amp; Lined - Accent 2"/>
    <w:basedOn w:val="847"/>
    <w:uiPriority w:val="99"/>
    <w:pPr>
      <w:pBdr/>
      <w:spacing/>
      <w:ind/>
    </w:pPr>
    <w:rPr>
      <w:color w:val="404040"/>
      <w:sz w:val="20"/>
      <w:lang w:eastAsia="lt-LT"/>
    </w:rPr>
    <w:tblPr>
      <w:tblStyleRowBandSize w:val="1"/>
      <w:tblStyleColBandSize w:val="1"/>
      <w:tblBorders>
        <w:top w:val="single" w:color="953d10" w:themeColor="accent2" w:themeShade="95" w:sz="4" w:space="0"/>
        <w:left w:val="single" w:color="953d10" w:themeColor="accent2" w:themeShade="95" w:sz="4" w:space="0"/>
        <w:bottom w:val="single" w:color="953d10" w:themeColor="accent2" w:themeShade="95" w:sz="4" w:space="0"/>
        <w:right w:val="single" w:color="953d10" w:themeColor="accent2" w:themeShade="95" w:sz="4" w:space="0"/>
        <w:insideH w:val="single" w:color="953d10" w:themeColor="accent2" w:themeShade="95" w:sz="4" w:space="0"/>
        <w:insideV w:val="single" w:color="953d1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fir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fir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Bordered &amp; Lined - Accent 3"/>
    <w:basedOn w:val="847"/>
    <w:uiPriority w:val="99"/>
    <w:pPr>
      <w:pBdr/>
      <w:spacing/>
      <w:ind/>
    </w:pPr>
    <w:rPr>
      <w:color w:val="404040"/>
      <w:sz w:val="20"/>
      <w:lang w:eastAsia="lt-LT"/>
    </w:rPr>
    <w:tblPr>
      <w:tblStyleRowBandSize w:val="1"/>
      <w:tblStyleColBandSize w:val="1"/>
      <w:tblBorders>
        <w:top w:val="single" w:color="0e3e15" w:themeColor="accent3" w:themeShade="95" w:sz="4" w:space="0"/>
        <w:left w:val="single" w:color="0e3e15" w:themeColor="accent3" w:themeShade="95" w:sz="4" w:space="0"/>
        <w:bottom w:val="single" w:color="0e3e15" w:themeColor="accent3" w:themeShade="95" w:sz="4" w:space="0"/>
        <w:right w:val="single" w:color="0e3e15" w:themeColor="accent3" w:themeShade="95" w:sz="4" w:space="0"/>
        <w:insideH w:val="single" w:color="0e3e15" w:themeColor="accent3" w:themeShade="95" w:sz="4" w:space="0"/>
        <w:insideV w:val="single" w:color="0e3e15"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fir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Bordered &amp; Lined - Accent 4"/>
    <w:basedOn w:val="847"/>
    <w:uiPriority w:val="99"/>
    <w:pPr>
      <w:pBdr/>
      <w:spacing/>
      <w:ind/>
    </w:pPr>
    <w:rPr>
      <w:color w:val="404040"/>
      <w:sz w:val="20"/>
      <w:lang w:eastAsia="lt-LT"/>
    </w:rPr>
    <w:tblPr>
      <w:tblStyleRowBandSize w:val="1"/>
      <w:tblStyleColBandSize w:val="1"/>
      <w:tblBorders>
        <w:top w:val="single" w:color="085c7c" w:themeColor="accent4" w:themeShade="95" w:sz="4" w:space="0"/>
        <w:left w:val="single" w:color="085c7c" w:themeColor="accent4" w:themeShade="95" w:sz="4" w:space="0"/>
        <w:bottom w:val="single" w:color="085c7c" w:themeColor="accent4" w:themeShade="95" w:sz="4" w:space="0"/>
        <w:right w:val="single" w:color="085c7c" w:themeColor="accent4" w:themeShade="95" w:sz="4" w:space="0"/>
        <w:insideH w:val="single" w:color="085c7c" w:themeColor="accent4" w:themeShade="95" w:sz="4" w:space="0"/>
        <w:insideV w:val="single" w:color="085c7c"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fir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Bordered &amp; Lined - Accent 5"/>
    <w:basedOn w:val="847"/>
    <w:uiPriority w:val="99"/>
    <w:pPr>
      <w:pBdr/>
      <w:spacing/>
      <w:ind/>
    </w:pPr>
    <w:rPr>
      <w:color w:val="404040"/>
      <w:sz w:val="20"/>
      <w:lang w:eastAsia="lt-LT"/>
    </w:rPr>
    <w:tblPr>
      <w:tblStyleRowBandSize w:val="1"/>
      <w:tblStyleColBandSize w:val="1"/>
      <w:tblBorders>
        <w:top w:val="single" w:color="5d1955" w:themeColor="accent5" w:themeShade="95" w:sz="4" w:space="0"/>
        <w:left w:val="single" w:color="5d1955" w:themeColor="accent5" w:themeShade="95" w:sz="4" w:space="0"/>
        <w:bottom w:val="single" w:color="5d1955" w:themeColor="accent5" w:themeShade="95" w:sz="4" w:space="0"/>
        <w:right w:val="single" w:color="5d1955" w:themeColor="accent5" w:themeShade="95" w:sz="4" w:space="0"/>
        <w:insideH w:val="single" w:color="5d1955" w:themeColor="accent5" w:themeShade="95" w:sz="4" w:space="0"/>
        <w:insideV w:val="single" w:color="5d195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firstCol">
      <w:rPr>
        <w:rFonts w:ascii="Arial" w:hAnsi="Arial"/>
        <w:color w:val="f2f2f2"/>
        <w:sz w:val="22"/>
      </w:rPr>
      <w:pPr>
        <w:pBdr/>
        <w:spacing/>
        <w:ind/>
      </w:pPr>
      <w:tblPr>
        <w:tblBorders/>
      </w:tblPr>
      <w:tcPr>
        <w:shd w:val="clear" w:color="a02b93" w:themeColor="accent5" w:fill="a02b93" w:themeFill="accent5"/>
        <w:tcBorders/>
      </w:tcPr>
    </w:tblStylePr>
    <w:tblStylePr w:type="firstRow">
      <w:rPr>
        <w:rFonts w:ascii="Arial" w:hAnsi="Arial"/>
        <w:color w:val="f2f2f2"/>
        <w:sz w:val="22"/>
      </w:rPr>
      <w:pPr>
        <w:pBdr/>
        <w:spacing/>
        <w:ind/>
      </w:pPr>
      <w:tblPr>
        <w:tblBorders/>
      </w:tblPr>
      <w:tcPr>
        <w:shd w:val="clear" w:color="a02b93" w:themeColor="accent5" w:fill="a02b93" w:themeFill="accent5"/>
        <w:tcBorders/>
      </w:tcPr>
    </w:tblStylePr>
    <w:tblStylePr w:type="lastCol">
      <w:rPr>
        <w:rFonts w:ascii="Arial" w:hAnsi="Arial"/>
        <w:color w:val="f2f2f2"/>
        <w:sz w:val="22"/>
      </w:rPr>
      <w:pPr>
        <w:pBdr/>
        <w:spacing/>
        <w:ind/>
      </w:pPr>
      <w:tblPr>
        <w:tblBorders/>
      </w:tblPr>
      <w:tcPr>
        <w:shd w:val="clear" w:color="a02b93" w:themeColor="accent5" w:fill="a02b93" w:themeFill="accent5"/>
        <w:tcBorders/>
      </w:tcPr>
    </w:tblStylePr>
    <w:tblStylePr w:type="lastRow">
      <w:rPr>
        <w:rFonts w:ascii="Arial" w:hAnsi="Arial"/>
        <w:color w:val="f2f2f2"/>
        <w:sz w:val="22"/>
      </w:rPr>
      <w:pPr>
        <w:pBdr/>
        <w:spacing/>
        <w:ind/>
      </w:pPr>
      <w:tblPr>
        <w:tblBorders/>
      </w:tblPr>
      <w:tcPr>
        <w:shd w:val="clear" w:color="a02b93"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customStyle="1">
    <w:name w:val="Bordered &amp; Lined - Accent 6"/>
    <w:basedOn w:val="847"/>
    <w:uiPriority w:val="99"/>
    <w:pPr>
      <w:pBdr/>
      <w:spacing/>
      <w:ind/>
    </w:pPr>
    <w:rPr>
      <w:color w:val="404040"/>
      <w:sz w:val="20"/>
      <w:lang w:eastAsia="lt-LT"/>
    </w:rPr>
    <w:tblPr>
      <w:tblStyleRowBandSize w:val="1"/>
      <w:tblStyleColBandSize w:val="1"/>
      <w:tblBorders>
        <w:top w:val="single" w:color="2d611b" w:themeColor="accent6" w:themeShade="95" w:sz="4" w:space="0"/>
        <w:left w:val="single" w:color="2d611b" w:themeColor="accent6" w:themeShade="95" w:sz="4" w:space="0"/>
        <w:bottom w:val="single" w:color="2d611b" w:themeColor="accent6" w:themeShade="95" w:sz="4" w:space="0"/>
        <w:right w:val="single" w:color="2d611b" w:themeColor="accent6" w:themeShade="95" w:sz="4" w:space="0"/>
        <w:insideH w:val="single" w:color="2d611b" w:themeColor="accent6" w:themeShade="95" w:sz="4" w:space="0"/>
        <w:insideV w:val="single" w:color="2d611b"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firstCol">
      <w:rPr>
        <w:rFonts w:ascii="Arial" w:hAnsi="Arial"/>
        <w:color w:val="f2f2f2"/>
        <w:sz w:val="22"/>
      </w:rPr>
      <w:pPr>
        <w:pBdr/>
        <w:spacing/>
        <w:ind/>
      </w:pPr>
      <w:tblPr>
        <w:tblBorders/>
      </w:tblPr>
      <w:tcPr>
        <w:shd w:val="clear" w:color="4ea72e" w:themeColor="accent6" w:fill="4ea72e" w:themeFill="accent6"/>
        <w:tcBorders/>
      </w:tcPr>
    </w:tblStylePr>
    <w:tblStylePr w:type="firstRow">
      <w:rPr>
        <w:rFonts w:ascii="Arial" w:hAnsi="Arial"/>
        <w:color w:val="f2f2f2"/>
        <w:sz w:val="22"/>
      </w:rPr>
      <w:pPr>
        <w:pBdr/>
        <w:spacing/>
        <w:ind/>
      </w:pPr>
      <w:tblPr>
        <w:tblBorders/>
      </w:tblPr>
      <w:tcPr>
        <w:shd w:val="clear" w:color="4ea72e" w:themeColor="accent6" w:fill="4ea72e" w:themeFill="accent6"/>
        <w:tcBorders/>
      </w:tcPr>
    </w:tblStylePr>
    <w:tblStylePr w:type="lastCol">
      <w:rPr>
        <w:rFonts w:ascii="Arial" w:hAnsi="Arial"/>
        <w:color w:val="f2f2f2"/>
        <w:sz w:val="22"/>
      </w:rPr>
      <w:pPr>
        <w:pBdr/>
        <w:spacing/>
        <w:ind/>
      </w:pPr>
      <w:tblPr>
        <w:tblBorders/>
      </w:tblPr>
      <w:tcPr>
        <w:shd w:val="clear" w:color="4ea72e" w:themeColor="accent6" w:fill="4ea72e" w:themeFill="accent6"/>
        <w:tcBorders/>
      </w:tcPr>
    </w:tblStylePr>
    <w:tblStylePr w:type="lastRow">
      <w:rPr>
        <w:rFonts w:ascii="Arial" w:hAnsi="Arial"/>
        <w:color w:val="f2f2f2"/>
        <w:sz w:val="22"/>
      </w:rPr>
      <w:pPr>
        <w:pBdr/>
        <w:spacing/>
        <w:ind/>
      </w:pPr>
      <w:tblPr>
        <w:tblBorders/>
      </w:tblPr>
      <w:tcPr>
        <w:shd w:val="clear" w:color="4ea72e"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customStyle="1">
    <w:name w:val="Bordered"/>
    <w:basedOn w:val="847"/>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customStyle="1">
    <w:name w:val="Bordered - Accent 1"/>
    <w:basedOn w:val="847"/>
    <w:uiPriority w:val="99"/>
    <w:pPr>
      <w:pBdr/>
      <w:spacing/>
      <w:ind/>
    </w:pPr>
    <w:tblPr>
      <w:tblStyleRowBandSize w:val="1"/>
      <w:tblStyleColBandSize w:val="1"/>
      <w:tbl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insideH w:val="single" w:color="81c9ea" w:themeColor="accent1" w:themeTint="67" w:sz="4" w:space="0"/>
        <w:insideV w:val="single" w:color="81c9ea"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156082" w:themeColor="accent1" w:sz="12" w:space="0"/>
        </w:tcBorders>
      </w:tcPr>
    </w:tblStylePr>
    <w:tblStylePr w:type="lastCol">
      <w:rPr>
        <w:rFonts w:ascii="Arial" w:hAnsi="Arial"/>
        <w:color w:val="404040"/>
        <w:sz w:val="22"/>
      </w:rPr>
      <w:pPr>
        <w:pBdr/>
        <w:spacing/>
        <w:ind/>
      </w:pPr>
      <w:tblPr>
        <w:tblBorders/>
      </w:tblPr>
      <w:tcPr>
        <w:tcBorders>
          <w:left w:val="single" w:color="156082" w:themeColor="accent1" w:sz="12" w:space="0"/>
        </w:tcBorders>
      </w:tcPr>
    </w:tblStylePr>
    <w:tblStylePr w:type="lastRow">
      <w:rPr>
        <w:rFonts w:ascii="Arial" w:hAnsi="Arial"/>
        <w:color w:val="404040"/>
        <w:sz w:val="22"/>
      </w:rPr>
      <w:pPr>
        <w:pBdr/>
        <w:spacing/>
        <w:ind/>
      </w:pPr>
      <w:tblPr>
        <w:tblBorders/>
      </w:tblPr>
      <w:tcPr>
        <w:tcBorders>
          <w:top w:val="single" w:color="156082"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customStyle="1">
    <w:name w:val="Bordered - Accent 2"/>
    <w:basedOn w:val="847"/>
    <w:uiPriority w:val="99"/>
    <w:pPr>
      <w:pBdr/>
      <w:spacing/>
      <w:ind/>
    </w:pPr>
    <w:tblPr>
      <w:tblStyleRowBandSize w:val="1"/>
      <w:tblStyleColBandSize w:val="1"/>
      <w:tbl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insideH w:val="single" w:color="f6c5ab" w:themeColor="accent2" w:themeTint="67" w:sz="4" w:space="0"/>
        <w:insideV w:val="single" w:color="f6c5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2aa85" w:themeColor="accent2" w:themeTint="97" w:sz="12" w:space="0"/>
        </w:tcBorders>
      </w:tcPr>
    </w:tblStylePr>
    <w:tblStylePr w:type="lastCol">
      <w:rPr>
        <w:rFonts w:ascii="Arial" w:hAnsi="Arial"/>
        <w:color w:val="404040"/>
        <w:sz w:val="22"/>
      </w:rPr>
      <w:pPr>
        <w:pBdr/>
        <w:spacing/>
        <w:ind/>
      </w:pPr>
      <w:tblPr>
        <w:tblBorders/>
      </w:tblPr>
      <w:tcPr>
        <w:tcBorders>
          <w:left w:val="single" w:color="f2aa85" w:themeColor="accent2" w:themeTint="97" w:sz="12" w:space="0"/>
        </w:tcBorders>
      </w:tcPr>
    </w:tblStylePr>
    <w:tblStylePr w:type="lastRow">
      <w:rPr>
        <w:rFonts w:ascii="Arial" w:hAnsi="Arial"/>
        <w:color w:val="404040"/>
        <w:sz w:val="22"/>
      </w:rPr>
      <w:pPr>
        <w:pBdr/>
        <w:spacing/>
        <w:ind/>
      </w:pPr>
      <w:tblPr>
        <w:tblBorders/>
      </w:tblPr>
      <w:tcPr>
        <w:tcBorders>
          <w:top w:val="single" w:color="f2aa8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customStyle="1">
    <w:name w:val="Bordered - Accent 3"/>
    <w:basedOn w:val="847"/>
    <w:uiPriority w:val="99"/>
    <w:pPr>
      <w:pBdr/>
      <w:spacing/>
      <w:ind/>
    </w:pPr>
    <w:tblPr>
      <w:tblStyleRowBandSize w:val="1"/>
      <w:tblStyleColBandSize w:val="1"/>
      <w:tbl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insideH w:val="single" w:color="83e28f" w:themeColor="accent3" w:themeTint="67" w:sz="4" w:space="0"/>
        <w:insideV w:val="single" w:color="83e28f"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8d45b" w:themeColor="accent3" w:themeTint="98" w:sz="12" w:space="0"/>
        </w:tcBorders>
      </w:tcPr>
    </w:tblStylePr>
    <w:tblStylePr w:type="lastCol">
      <w:rPr>
        <w:rFonts w:ascii="Arial" w:hAnsi="Arial"/>
        <w:color w:val="404040"/>
        <w:sz w:val="22"/>
      </w:rPr>
      <w:pPr>
        <w:pBdr/>
        <w:spacing/>
        <w:ind/>
      </w:pPr>
      <w:tblPr>
        <w:tblBorders/>
      </w:tblPr>
      <w:tcPr>
        <w:tcBorders>
          <w:left w:val="single" w:color="48d45b" w:themeColor="accent3" w:themeTint="98" w:sz="12" w:space="0"/>
        </w:tcBorders>
      </w:tcPr>
    </w:tblStylePr>
    <w:tblStylePr w:type="lastRow">
      <w:rPr>
        <w:rFonts w:ascii="Arial" w:hAnsi="Arial"/>
        <w:color w:val="404040"/>
        <w:sz w:val="22"/>
      </w:rPr>
      <w:pPr>
        <w:pBdr/>
        <w:spacing/>
        <w:ind/>
      </w:pPr>
      <w:tblPr>
        <w:tblBorders/>
      </w:tblPr>
      <w:tcPr>
        <w:tcBorders>
          <w:top w:val="single" w:color="48d45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customStyle="1">
    <w:name w:val="Bordered - Accent 4"/>
    <w:basedOn w:val="847"/>
    <w:uiPriority w:val="99"/>
    <w:pPr>
      <w:pBdr/>
      <w:spacing/>
      <w:ind/>
    </w:pPr>
    <w:tblPr>
      <w:tblStyleRowBandSize w:val="1"/>
      <w:tblStyleColBandSize w:val="1"/>
      <w:tbl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insideH w:val="single" w:color="94dbf7" w:themeColor="accent4" w:themeTint="67" w:sz="4" w:space="0"/>
        <w:insideV w:val="single" w:color="94dbf7"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fcaf3" w:themeColor="accent4" w:themeTint="9A" w:sz="12" w:space="0"/>
        </w:tcBorders>
      </w:tcPr>
    </w:tblStylePr>
    <w:tblStylePr w:type="lastCol">
      <w:rPr>
        <w:rFonts w:ascii="Arial" w:hAnsi="Arial"/>
        <w:color w:val="404040"/>
        <w:sz w:val="22"/>
      </w:rPr>
      <w:pPr>
        <w:pBdr/>
        <w:spacing/>
        <w:ind/>
      </w:pPr>
      <w:tblPr>
        <w:tblBorders/>
      </w:tblPr>
      <w:tcPr>
        <w:tcBorders>
          <w:left w:val="single" w:color="5fcaf3" w:themeColor="accent4" w:themeTint="9A" w:sz="12" w:space="0"/>
        </w:tcBorders>
      </w:tcPr>
    </w:tblStylePr>
    <w:tblStylePr w:type="lastRow">
      <w:rPr>
        <w:rFonts w:ascii="Arial" w:hAnsi="Arial"/>
        <w:color w:val="404040"/>
        <w:sz w:val="22"/>
      </w:rPr>
      <w:pPr>
        <w:pBdr/>
        <w:spacing/>
        <w:ind/>
      </w:pPr>
      <w:tblPr>
        <w:tblBorders/>
      </w:tblPr>
      <w:tcPr>
        <w:tcBorders>
          <w:top w:val="single" w:color="5fcaf3"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customStyle="1">
    <w:name w:val="Bordered - Accent 5"/>
    <w:basedOn w:val="847"/>
    <w:uiPriority w:val="99"/>
    <w:pPr>
      <w:pBdr/>
      <w:spacing/>
      <w:ind/>
    </w:pPr>
    <w:tblPr>
      <w:tblStyleRowBandSize w:val="1"/>
      <w:tblStyleColBandSize w:val="1"/>
      <w:tbl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insideH w:val="single" w:color="e49ddc" w:themeColor="accent5" w:themeTint="67" w:sz="4" w:space="0"/>
        <w:insideV w:val="single" w:color="e49ddc"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76ccb" w:themeColor="accent5" w:themeTint="9A" w:sz="12" w:space="0"/>
        </w:tcBorders>
      </w:tcPr>
    </w:tblStylePr>
    <w:tblStylePr w:type="lastCol">
      <w:rPr>
        <w:rFonts w:ascii="Arial" w:hAnsi="Arial"/>
        <w:color w:val="404040"/>
        <w:sz w:val="22"/>
      </w:rPr>
      <w:pPr>
        <w:pBdr/>
        <w:spacing/>
        <w:ind/>
      </w:pPr>
      <w:tblPr>
        <w:tblBorders/>
      </w:tblPr>
      <w:tcPr>
        <w:tcBorders>
          <w:left w:val="single" w:color="d76ccb" w:themeColor="accent5" w:themeTint="9A" w:sz="12" w:space="0"/>
        </w:tcBorders>
      </w:tcPr>
    </w:tblStylePr>
    <w:tblStylePr w:type="lastRow">
      <w:rPr>
        <w:rFonts w:ascii="Arial" w:hAnsi="Arial"/>
        <w:color w:val="404040"/>
        <w:sz w:val="22"/>
      </w:rPr>
      <w:pPr>
        <w:pBdr/>
        <w:spacing/>
        <w:ind/>
      </w:pPr>
      <w:tblPr>
        <w:tblBorders/>
      </w:tblPr>
      <w:tcPr>
        <w:tcBorders>
          <w:top w:val="single" w:color="d76cc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customStyle="1">
    <w:name w:val="Bordered - Accent 6"/>
    <w:basedOn w:val="847"/>
    <w:uiPriority w:val="99"/>
    <w:pPr>
      <w:pBdr/>
      <w:spacing/>
      <w:ind/>
    </w:pPr>
    <w:tblPr>
      <w:tblStyleRowBandSize w:val="1"/>
      <w:tblStyleColBandSize w:val="1"/>
      <w:tbl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insideH w:val="single" w:color="b2e5a0" w:themeColor="accent6" w:themeTint="67" w:sz="4" w:space="0"/>
        <w:insideV w:val="single" w:color="b2e5a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ed873" w:themeColor="accent6" w:themeTint="98" w:sz="12" w:space="0"/>
        </w:tcBorders>
      </w:tcPr>
    </w:tblStylePr>
    <w:tblStylePr w:type="lastCol">
      <w:rPr>
        <w:rFonts w:ascii="Arial" w:hAnsi="Arial"/>
        <w:color w:val="404040"/>
        <w:sz w:val="22"/>
      </w:rPr>
      <w:pPr>
        <w:pBdr/>
        <w:spacing/>
        <w:ind/>
      </w:pPr>
      <w:tblPr>
        <w:tblBorders/>
      </w:tblPr>
      <w:tcPr>
        <w:tcBorders>
          <w:left w:val="single" w:color="8ed873" w:themeColor="accent6" w:themeTint="98" w:sz="12" w:space="0"/>
        </w:tcBorders>
      </w:tcPr>
    </w:tblStylePr>
    <w:tblStylePr w:type="lastRow">
      <w:rPr>
        <w:rFonts w:ascii="Arial" w:hAnsi="Arial"/>
        <w:color w:val="404040"/>
        <w:sz w:val="22"/>
      </w:rPr>
      <w:pPr>
        <w:pBdr/>
        <w:spacing/>
        <w:ind/>
      </w:pPr>
      <w:tblPr>
        <w:tblBorders/>
      </w:tblPr>
      <w:tcPr>
        <w:tcBorders>
          <w:top w:val="single" w:color="8ed873"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75" w:customStyle="1">
    <w:name w:val="Antraštė 1 Diagrama"/>
    <w:basedOn w:val="846"/>
    <w:link w:val="837"/>
    <w:uiPriority w:val="9"/>
    <w:pPr>
      <w:pBdr/>
      <w:spacing/>
      <w:ind/>
    </w:pPr>
    <w:rPr>
      <w:rFonts w:ascii="Arial" w:hAnsi="Arial" w:eastAsia="Arial" w:cs="Arial"/>
      <w:color w:val="0f4761" w:themeColor="accent1" w:themeShade="BF"/>
      <w:sz w:val="40"/>
      <w:szCs w:val="40"/>
    </w:rPr>
  </w:style>
  <w:style w:type="character" w:styleId="976" w:customStyle="1">
    <w:name w:val="Antraštė 2 Diagrama"/>
    <w:basedOn w:val="846"/>
    <w:link w:val="838"/>
    <w:uiPriority w:val="9"/>
    <w:pPr>
      <w:pBdr/>
      <w:spacing/>
      <w:ind/>
    </w:pPr>
    <w:rPr>
      <w:rFonts w:ascii="Arial" w:hAnsi="Arial" w:eastAsia="Arial" w:cs="Arial"/>
      <w:color w:val="0f4761" w:themeColor="accent1" w:themeShade="BF"/>
      <w:sz w:val="32"/>
      <w:szCs w:val="32"/>
    </w:rPr>
  </w:style>
  <w:style w:type="character" w:styleId="977" w:customStyle="1">
    <w:name w:val="Antraštė 3 Diagrama"/>
    <w:basedOn w:val="846"/>
    <w:link w:val="839"/>
    <w:uiPriority w:val="9"/>
    <w:pPr>
      <w:pBdr/>
      <w:spacing/>
      <w:ind/>
    </w:pPr>
    <w:rPr>
      <w:rFonts w:ascii="Arial" w:hAnsi="Arial" w:eastAsia="Arial" w:cs="Arial"/>
      <w:color w:val="0f4761" w:themeColor="accent1" w:themeShade="BF"/>
      <w:sz w:val="28"/>
      <w:szCs w:val="28"/>
    </w:rPr>
  </w:style>
  <w:style w:type="character" w:styleId="978" w:customStyle="1">
    <w:name w:val="Antraštė 4 Diagrama"/>
    <w:basedOn w:val="846"/>
    <w:link w:val="840"/>
    <w:uiPriority w:val="9"/>
    <w:pPr>
      <w:pBdr/>
      <w:spacing/>
      <w:ind/>
    </w:pPr>
    <w:rPr>
      <w:rFonts w:ascii="Arial" w:hAnsi="Arial" w:eastAsia="Arial" w:cs="Arial"/>
      <w:i/>
      <w:iCs/>
      <w:color w:val="0f4761" w:themeColor="accent1" w:themeShade="BF"/>
    </w:rPr>
  </w:style>
  <w:style w:type="character" w:styleId="979" w:customStyle="1">
    <w:name w:val="Antraštė 5 Diagrama"/>
    <w:basedOn w:val="846"/>
    <w:link w:val="841"/>
    <w:uiPriority w:val="9"/>
    <w:pPr>
      <w:pBdr/>
      <w:spacing/>
      <w:ind/>
    </w:pPr>
    <w:rPr>
      <w:rFonts w:ascii="Arial" w:hAnsi="Arial" w:eastAsia="Arial" w:cs="Arial"/>
      <w:color w:val="0f4761" w:themeColor="accent1" w:themeShade="BF"/>
    </w:rPr>
  </w:style>
  <w:style w:type="character" w:styleId="980" w:customStyle="1">
    <w:name w:val="Antraštė 6 Diagrama"/>
    <w:basedOn w:val="846"/>
    <w:link w:val="842"/>
    <w:uiPriority w:val="9"/>
    <w:pPr>
      <w:pBdr/>
      <w:spacing/>
      <w:ind/>
    </w:pPr>
    <w:rPr>
      <w:rFonts w:ascii="Arial" w:hAnsi="Arial" w:eastAsia="Arial" w:cs="Arial"/>
      <w:i/>
      <w:iCs/>
      <w:color w:val="595959" w:themeColor="text1" w:themeTint="A6"/>
    </w:rPr>
  </w:style>
  <w:style w:type="character" w:styleId="981" w:customStyle="1">
    <w:name w:val="Antraštė 7 Diagrama"/>
    <w:basedOn w:val="846"/>
    <w:link w:val="843"/>
    <w:uiPriority w:val="9"/>
    <w:pPr>
      <w:pBdr/>
      <w:spacing/>
      <w:ind/>
    </w:pPr>
    <w:rPr>
      <w:rFonts w:ascii="Arial" w:hAnsi="Arial" w:eastAsia="Arial" w:cs="Arial"/>
      <w:color w:val="595959" w:themeColor="text1" w:themeTint="A6"/>
    </w:rPr>
  </w:style>
  <w:style w:type="character" w:styleId="982" w:customStyle="1">
    <w:name w:val="Antraštė 8 Diagrama"/>
    <w:basedOn w:val="846"/>
    <w:link w:val="844"/>
    <w:uiPriority w:val="9"/>
    <w:pPr>
      <w:pBdr/>
      <w:spacing/>
      <w:ind/>
    </w:pPr>
    <w:rPr>
      <w:rFonts w:ascii="Arial" w:hAnsi="Arial" w:eastAsia="Arial" w:cs="Arial"/>
      <w:i/>
      <w:iCs/>
      <w:color w:val="272727" w:themeColor="text1" w:themeTint="D8"/>
    </w:rPr>
  </w:style>
  <w:style w:type="character" w:styleId="983" w:customStyle="1">
    <w:name w:val="Antraštė 9 Diagrama"/>
    <w:basedOn w:val="846"/>
    <w:link w:val="845"/>
    <w:uiPriority w:val="9"/>
    <w:pPr>
      <w:pBdr/>
      <w:spacing/>
      <w:ind/>
    </w:pPr>
    <w:rPr>
      <w:rFonts w:ascii="Arial" w:hAnsi="Arial" w:eastAsia="Arial" w:cs="Arial"/>
      <w:i/>
      <w:iCs/>
      <w:color w:val="272727" w:themeColor="text1" w:themeTint="D8"/>
    </w:rPr>
  </w:style>
  <w:style w:type="paragraph" w:styleId="984">
    <w:name w:val="Title"/>
    <w:basedOn w:val="836"/>
    <w:next w:val="836"/>
    <w:link w:val="985"/>
    <w:uiPriority w:val="10"/>
    <w:qFormat/>
    <w:pPr>
      <w:pBdr/>
      <w:spacing w:after="80"/>
      <w:ind/>
      <w:contextualSpacing w:val="true"/>
    </w:pPr>
    <w:rPr>
      <w:rFonts w:ascii="Arial" w:hAnsi="Arial" w:eastAsia="Arial" w:cs="Arial"/>
      <w:spacing w:val="-10"/>
      <w:sz w:val="56"/>
      <w:szCs w:val="56"/>
    </w:rPr>
  </w:style>
  <w:style w:type="character" w:styleId="985" w:customStyle="1">
    <w:name w:val="Pavadinimas Diagrama"/>
    <w:basedOn w:val="846"/>
    <w:link w:val="984"/>
    <w:uiPriority w:val="10"/>
    <w:pPr>
      <w:pBdr/>
      <w:spacing/>
      <w:ind/>
    </w:pPr>
    <w:rPr>
      <w:rFonts w:ascii="Arial" w:hAnsi="Arial" w:eastAsia="Arial" w:cs="Arial"/>
      <w:spacing w:val="-10"/>
      <w:sz w:val="56"/>
      <w:szCs w:val="56"/>
    </w:rPr>
  </w:style>
  <w:style w:type="paragraph" w:styleId="986">
    <w:name w:val="Subtitle"/>
    <w:basedOn w:val="836"/>
    <w:next w:val="836"/>
    <w:link w:val="987"/>
    <w:uiPriority w:val="11"/>
    <w:qFormat/>
    <w:pPr>
      <w:numPr>
        <w:ilvl w:val="1"/>
      </w:numPr>
      <w:pBdr/>
      <w:spacing/>
      <w:ind/>
    </w:pPr>
    <w:rPr>
      <w:color w:val="595959" w:themeColor="text1" w:themeTint="A6"/>
      <w:spacing w:val="15"/>
      <w:sz w:val="28"/>
      <w:szCs w:val="28"/>
    </w:rPr>
  </w:style>
  <w:style w:type="character" w:styleId="987" w:customStyle="1">
    <w:name w:val="Paantraštė Diagrama"/>
    <w:basedOn w:val="846"/>
    <w:link w:val="986"/>
    <w:uiPriority w:val="11"/>
    <w:pPr>
      <w:pBdr/>
      <w:spacing/>
      <w:ind/>
    </w:pPr>
    <w:rPr>
      <w:color w:val="595959" w:themeColor="text1" w:themeTint="A6"/>
      <w:spacing w:val="15"/>
      <w:sz w:val="28"/>
      <w:szCs w:val="28"/>
    </w:rPr>
  </w:style>
  <w:style w:type="paragraph" w:styleId="988">
    <w:name w:val="Quote"/>
    <w:basedOn w:val="836"/>
    <w:next w:val="836"/>
    <w:link w:val="989"/>
    <w:uiPriority w:val="29"/>
    <w:qFormat/>
    <w:pPr>
      <w:pBdr/>
      <w:spacing w:before="160"/>
      <w:ind/>
      <w:jc w:val="center"/>
    </w:pPr>
    <w:rPr>
      <w:i/>
      <w:iCs/>
      <w:color w:val="404040" w:themeColor="text1" w:themeTint="BF"/>
    </w:rPr>
  </w:style>
  <w:style w:type="character" w:styleId="989" w:customStyle="1">
    <w:name w:val="Citata Diagrama"/>
    <w:basedOn w:val="846"/>
    <w:link w:val="988"/>
    <w:uiPriority w:val="29"/>
    <w:pPr>
      <w:pBdr/>
      <w:spacing/>
      <w:ind/>
    </w:pPr>
    <w:rPr>
      <w:i/>
      <w:iCs/>
      <w:color w:val="404040" w:themeColor="text1" w:themeTint="BF"/>
    </w:rPr>
  </w:style>
  <w:style w:type="paragraph" w:styleId="990">
    <w:name w:val="List Paragraph"/>
    <w:basedOn w:val="836"/>
    <w:uiPriority w:val="34"/>
    <w:qFormat/>
    <w:pPr>
      <w:pBdr/>
      <w:spacing/>
      <w:ind w:left="720"/>
      <w:contextualSpacing w:val="true"/>
    </w:pPr>
  </w:style>
  <w:style w:type="character" w:styleId="991">
    <w:name w:val="Intense Emphasis"/>
    <w:basedOn w:val="846"/>
    <w:uiPriority w:val="21"/>
    <w:qFormat/>
    <w:pPr>
      <w:pBdr/>
      <w:spacing/>
      <w:ind/>
    </w:pPr>
    <w:rPr>
      <w:i/>
      <w:iCs/>
      <w:color w:val="0f4761" w:themeColor="accent1" w:themeShade="BF"/>
    </w:rPr>
  </w:style>
  <w:style w:type="paragraph" w:styleId="992">
    <w:name w:val="Intense Quote"/>
    <w:basedOn w:val="836"/>
    <w:next w:val="836"/>
    <w:link w:val="993"/>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993" w:customStyle="1">
    <w:name w:val="Išskirta citata Diagrama"/>
    <w:basedOn w:val="846"/>
    <w:link w:val="992"/>
    <w:uiPriority w:val="30"/>
    <w:pPr>
      <w:pBdr/>
      <w:spacing/>
      <w:ind/>
    </w:pPr>
    <w:rPr>
      <w:i/>
      <w:iCs/>
      <w:color w:val="0f4761" w:themeColor="accent1" w:themeShade="BF"/>
    </w:rPr>
  </w:style>
  <w:style w:type="character" w:styleId="994">
    <w:name w:val="Intense Reference"/>
    <w:basedOn w:val="846"/>
    <w:uiPriority w:val="32"/>
    <w:qFormat/>
    <w:pPr>
      <w:pBdr/>
      <w:spacing/>
      <w:ind/>
    </w:pPr>
    <w:rPr>
      <w:b/>
      <w:bCs/>
      <w:smallCaps/>
      <w:color w:val="0f4761" w:themeColor="accent1" w:themeShade="BF"/>
      <w:spacing w:val="5"/>
    </w:rPr>
  </w:style>
  <w:style w:type="paragraph" w:styleId="995">
    <w:name w:val="No Spacing"/>
    <w:basedOn w:val="836"/>
    <w:uiPriority w:val="1"/>
    <w:qFormat/>
    <w:pPr>
      <w:pBdr/>
      <w:spacing/>
      <w:ind/>
    </w:pPr>
  </w:style>
  <w:style w:type="character" w:styleId="996">
    <w:name w:val="Subtle Emphasis"/>
    <w:basedOn w:val="846"/>
    <w:uiPriority w:val="19"/>
    <w:qFormat/>
    <w:pPr>
      <w:pBdr/>
      <w:spacing/>
      <w:ind/>
    </w:pPr>
    <w:rPr>
      <w:i/>
      <w:iCs/>
      <w:color w:val="404040" w:themeColor="text1" w:themeTint="BF"/>
    </w:rPr>
  </w:style>
  <w:style w:type="character" w:styleId="997">
    <w:name w:val="Emphasis"/>
    <w:basedOn w:val="846"/>
    <w:uiPriority w:val="20"/>
    <w:qFormat/>
    <w:pPr>
      <w:pBdr/>
      <w:spacing/>
      <w:ind/>
    </w:pPr>
    <w:rPr>
      <w:i/>
      <w:iCs/>
    </w:rPr>
  </w:style>
  <w:style w:type="character" w:styleId="998">
    <w:name w:val="Strong"/>
    <w:basedOn w:val="846"/>
    <w:uiPriority w:val="22"/>
    <w:qFormat/>
    <w:pPr>
      <w:pBdr/>
      <w:spacing/>
      <w:ind/>
    </w:pPr>
    <w:rPr>
      <w:b/>
      <w:bCs/>
    </w:rPr>
  </w:style>
  <w:style w:type="character" w:styleId="999">
    <w:name w:val="Subtle Reference"/>
    <w:basedOn w:val="846"/>
    <w:uiPriority w:val="31"/>
    <w:qFormat/>
    <w:pPr>
      <w:pBdr/>
      <w:spacing/>
      <w:ind/>
    </w:pPr>
    <w:rPr>
      <w:smallCaps/>
      <w:color w:val="5a5a5a" w:themeColor="text1" w:themeTint="A5"/>
    </w:rPr>
  </w:style>
  <w:style w:type="character" w:styleId="1000">
    <w:name w:val="Book Title"/>
    <w:basedOn w:val="846"/>
    <w:uiPriority w:val="33"/>
    <w:qFormat/>
    <w:pPr>
      <w:pBdr/>
      <w:spacing/>
      <w:ind/>
    </w:pPr>
    <w:rPr>
      <w:b/>
      <w:bCs/>
      <w:i/>
      <w:iCs/>
      <w:spacing w:val="5"/>
    </w:rPr>
  </w:style>
  <w:style w:type="paragraph" w:styleId="1001">
    <w:name w:val="Header"/>
    <w:basedOn w:val="836"/>
    <w:link w:val="1002"/>
    <w:uiPriority w:val="99"/>
    <w:unhideWhenUsed/>
    <w:pPr>
      <w:pBdr/>
      <w:tabs>
        <w:tab w:val="center" w:leader="none" w:pos="4844"/>
        <w:tab w:val="right" w:leader="none" w:pos="9689"/>
      </w:tabs>
      <w:spacing/>
      <w:ind/>
    </w:pPr>
  </w:style>
  <w:style w:type="character" w:styleId="1002" w:customStyle="1">
    <w:name w:val="Antraštės Diagrama"/>
    <w:basedOn w:val="846"/>
    <w:link w:val="1001"/>
    <w:uiPriority w:val="99"/>
    <w:pPr>
      <w:pBdr/>
      <w:spacing/>
      <w:ind/>
    </w:pPr>
  </w:style>
  <w:style w:type="paragraph" w:styleId="1003">
    <w:name w:val="Footer"/>
    <w:basedOn w:val="836"/>
    <w:link w:val="1004"/>
    <w:uiPriority w:val="99"/>
    <w:unhideWhenUsed/>
    <w:pPr>
      <w:pBdr/>
      <w:tabs>
        <w:tab w:val="center" w:leader="none" w:pos="4844"/>
        <w:tab w:val="right" w:leader="none" w:pos="9689"/>
      </w:tabs>
      <w:spacing/>
      <w:ind/>
    </w:pPr>
  </w:style>
  <w:style w:type="character" w:styleId="1004" w:customStyle="1">
    <w:name w:val="Poraštė Diagrama"/>
    <w:basedOn w:val="846"/>
    <w:link w:val="1003"/>
    <w:uiPriority w:val="99"/>
    <w:pPr>
      <w:pBdr/>
      <w:spacing/>
      <w:ind/>
    </w:pPr>
  </w:style>
  <w:style w:type="paragraph" w:styleId="1005">
    <w:name w:val="Caption"/>
    <w:basedOn w:val="836"/>
    <w:next w:val="836"/>
    <w:uiPriority w:val="35"/>
    <w:unhideWhenUsed/>
    <w:qFormat/>
    <w:pPr>
      <w:pBdr/>
      <w:spacing w:after="200"/>
      <w:ind/>
    </w:pPr>
    <w:rPr>
      <w:i/>
      <w:iCs/>
      <w:color w:val="0e2841" w:themeColor="text2"/>
      <w:sz w:val="18"/>
      <w:szCs w:val="18"/>
    </w:rPr>
  </w:style>
  <w:style w:type="paragraph" w:styleId="1006">
    <w:name w:val="footnote text"/>
    <w:basedOn w:val="836"/>
    <w:link w:val="1007"/>
    <w:uiPriority w:val="99"/>
    <w:semiHidden/>
    <w:unhideWhenUsed/>
    <w:pPr>
      <w:pBdr/>
      <w:spacing/>
      <w:ind/>
    </w:pPr>
    <w:rPr>
      <w:sz w:val="20"/>
    </w:rPr>
  </w:style>
  <w:style w:type="character" w:styleId="1007" w:customStyle="1">
    <w:name w:val="Puslapio išnašos tekstas Diagrama"/>
    <w:basedOn w:val="846"/>
    <w:link w:val="1006"/>
    <w:uiPriority w:val="99"/>
    <w:semiHidden/>
    <w:pPr>
      <w:pBdr/>
      <w:spacing/>
      <w:ind/>
    </w:pPr>
    <w:rPr>
      <w:sz w:val="20"/>
      <w:szCs w:val="20"/>
    </w:rPr>
  </w:style>
  <w:style w:type="character" w:styleId="1008">
    <w:name w:val="footnote reference"/>
    <w:basedOn w:val="846"/>
    <w:uiPriority w:val="99"/>
    <w:semiHidden/>
    <w:unhideWhenUsed/>
    <w:pPr>
      <w:pBdr/>
      <w:spacing/>
      <w:ind/>
    </w:pPr>
    <w:rPr>
      <w:vertAlign w:val="superscript"/>
    </w:rPr>
  </w:style>
  <w:style w:type="paragraph" w:styleId="1009">
    <w:name w:val="endnote text"/>
    <w:basedOn w:val="836"/>
    <w:link w:val="1010"/>
    <w:uiPriority w:val="99"/>
    <w:semiHidden/>
    <w:unhideWhenUsed/>
    <w:pPr>
      <w:pBdr/>
      <w:spacing/>
      <w:ind/>
    </w:pPr>
    <w:rPr>
      <w:sz w:val="20"/>
    </w:rPr>
  </w:style>
  <w:style w:type="character" w:styleId="1010" w:customStyle="1">
    <w:name w:val="Dokumento išnašos tekstas Diagrama"/>
    <w:basedOn w:val="846"/>
    <w:link w:val="1009"/>
    <w:uiPriority w:val="99"/>
    <w:semiHidden/>
    <w:pPr>
      <w:pBdr/>
      <w:spacing/>
      <w:ind/>
    </w:pPr>
    <w:rPr>
      <w:sz w:val="20"/>
      <w:szCs w:val="20"/>
    </w:rPr>
  </w:style>
  <w:style w:type="character" w:styleId="1011">
    <w:name w:val="endnote reference"/>
    <w:basedOn w:val="846"/>
    <w:uiPriority w:val="99"/>
    <w:semiHidden/>
    <w:unhideWhenUsed/>
    <w:pPr>
      <w:pBdr/>
      <w:spacing/>
      <w:ind/>
    </w:pPr>
    <w:rPr>
      <w:vertAlign w:val="superscript"/>
    </w:rPr>
  </w:style>
  <w:style w:type="character" w:styleId="1012">
    <w:name w:val="FollowedHyperlink"/>
    <w:basedOn w:val="846"/>
    <w:uiPriority w:val="99"/>
    <w:semiHidden/>
    <w:unhideWhenUsed/>
    <w:pPr>
      <w:pBdr/>
      <w:spacing/>
      <w:ind/>
    </w:pPr>
    <w:rPr>
      <w:color w:val="96607d" w:themeColor="followedHyperlink"/>
      <w:u w:val="single"/>
    </w:rPr>
  </w:style>
  <w:style w:type="paragraph" w:styleId="1013">
    <w:name w:val="toc 1"/>
    <w:basedOn w:val="836"/>
    <w:next w:val="836"/>
    <w:uiPriority w:val="39"/>
    <w:unhideWhenUsed/>
    <w:pPr>
      <w:pBdr/>
      <w:spacing w:after="100"/>
      <w:ind/>
    </w:pPr>
  </w:style>
  <w:style w:type="paragraph" w:styleId="1014">
    <w:name w:val="toc 2"/>
    <w:basedOn w:val="836"/>
    <w:next w:val="836"/>
    <w:uiPriority w:val="39"/>
    <w:unhideWhenUsed/>
    <w:pPr>
      <w:pBdr/>
      <w:spacing w:after="100"/>
      <w:ind w:left="220"/>
    </w:pPr>
  </w:style>
  <w:style w:type="paragraph" w:styleId="1015">
    <w:name w:val="toc 3"/>
    <w:basedOn w:val="836"/>
    <w:next w:val="836"/>
    <w:uiPriority w:val="39"/>
    <w:unhideWhenUsed/>
    <w:pPr>
      <w:pBdr/>
      <w:spacing w:after="100"/>
      <w:ind w:left="440"/>
    </w:pPr>
  </w:style>
  <w:style w:type="paragraph" w:styleId="1016">
    <w:name w:val="toc 4"/>
    <w:basedOn w:val="836"/>
    <w:next w:val="836"/>
    <w:uiPriority w:val="39"/>
    <w:unhideWhenUsed/>
    <w:pPr>
      <w:pBdr/>
      <w:spacing w:after="100"/>
      <w:ind w:left="660"/>
    </w:pPr>
  </w:style>
  <w:style w:type="paragraph" w:styleId="1017">
    <w:name w:val="toc 5"/>
    <w:basedOn w:val="836"/>
    <w:next w:val="836"/>
    <w:uiPriority w:val="39"/>
    <w:unhideWhenUsed/>
    <w:pPr>
      <w:pBdr/>
      <w:spacing w:after="100"/>
      <w:ind w:left="880"/>
    </w:pPr>
  </w:style>
  <w:style w:type="paragraph" w:styleId="1018">
    <w:name w:val="toc 6"/>
    <w:basedOn w:val="836"/>
    <w:next w:val="836"/>
    <w:uiPriority w:val="39"/>
    <w:unhideWhenUsed/>
    <w:pPr>
      <w:pBdr/>
      <w:spacing w:after="100"/>
      <w:ind w:left="1100"/>
    </w:pPr>
  </w:style>
  <w:style w:type="paragraph" w:styleId="1019">
    <w:name w:val="toc 7"/>
    <w:basedOn w:val="836"/>
    <w:next w:val="836"/>
    <w:uiPriority w:val="39"/>
    <w:unhideWhenUsed/>
    <w:pPr>
      <w:pBdr/>
      <w:spacing w:after="100"/>
      <w:ind w:left="1320"/>
    </w:pPr>
  </w:style>
  <w:style w:type="paragraph" w:styleId="1020">
    <w:name w:val="toc 8"/>
    <w:basedOn w:val="836"/>
    <w:next w:val="836"/>
    <w:uiPriority w:val="39"/>
    <w:unhideWhenUsed/>
    <w:pPr>
      <w:pBdr/>
      <w:spacing w:after="100"/>
      <w:ind w:left="1540"/>
    </w:pPr>
  </w:style>
  <w:style w:type="paragraph" w:styleId="1021">
    <w:name w:val="toc 9"/>
    <w:basedOn w:val="836"/>
    <w:next w:val="836"/>
    <w:uiPriority w:val="39"/>
    <w:unhideWhenUsed/>
    <w:pPr>
      <w:pBdr/>
      <w:spacing w:after="100"/>
      <w:ind w:left="1760"/>
    </w:pPr>
  </w:style>
  <w:style w:type="paragraph" w:styleId="1022">
    <w:name w:val="TOC Heading"/>
    <w:uiPriority w:val="39"/>
    <w:unhideWhenUsed/>
    <w:pPr>
      <w:pBdr/>
      <w:spacing/>
      <w:ind/>
    </w:pPr>
  </w:style>
  <w:style w:type="paragraph" w:styleId="1023">
    <w:name w:val="table of figures"/>
    <w:basedOn w:val="836"/>
    <w:next w:val="836"/>
    <w:uiPriority w:val="99"/>
    <w:unhideWhenUsed/>
    <w:pPr>
      <w:pBdr/>
      <w:spacing/>
      <w:ind/>
    </w:pPr>
  </w:style>
  <w:style w:type="character" w:styleId="1024">
    <w:name w:val="Placeholder Text"/>
    <w:basedOn w:val="846"/>
    <w:pPr>
      <w:pBdr/>
      <w:spacing/>
      <w:ind/>
    </w:pPr>
    <w:rPr>
      <w:color w:val="808080"/>
    </w:rPr>
  </w:style>
  <w:style w:type="character" w:styleId="1025">
    <w:name w:val="Hyperlink"/>
    <w:basedOn w:val="846"/>
    <w:unhideWhenUsed/>
    <w:pPr>
      <w:pBdr/>
      <w:spacing/>
      <w:ind/>
    </w:pPr>
    <w:rPr>
      <w:color w:val="467886" w:themeColor="hyperlink"/>
      <w:u w:val="single"/>
    </w:rPr>
  </w:style>
  <w:style w:type="character" w:styleId="1026">
    <w:name w:val="Unresolved Mention"/>
    <w:basedOn w:val="846"/>
    <w:uiPriority w:val="99"/>
    <w:semiHidden/>
    <w:unhideWhenUsed/>
    <w:pPr>
      <w:pBdr/>
      <w:spacing/>
      <w:ind/>
    </w:pPr>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customXml" Target="../customXml/item1.xml" /><Relationship Id="rId16" Type="http://schemas.openxmlformats.org/officeDocument/2006/relationships/customXml" Target="../customXml/item2.xml" /><Relationship Id="rId17" Type="http://schemas.openxmlformats.org/officeDocument/2006/relationships/customXml" Target="../customXml/item3.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517B45-0488-4A3F-BC89-CF1E057A475A">
  <ds:schemaRefs>
    <ds:schemaRef ds:uri="http://schemas.microsoft.com/sharepoint/v3/contenttype/forms"/>
  </ds:schemaRefs>
</ds:datastoreItem>
</file>

<file path=customXml/itemProps2.xml><?xml version="1.0" encoding="utf-8"?>
<ds:datastoreItem xmlns:ds="http://schemas.openxmlformats.org/officeDocument/2006/customXml" ds:itemID="9E569954-7E9F-4467-9C61-C24E1AB16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3.xml><?xml version="1.0" encoding="utf-8"?>
<ds:datastoreItem xmlns:ds="http://schemas.openxmlformats.org/officeDocument/2006/customXml" ds:itemID="4DA63CFE-689B-4B8F-B7A3-DA6475E9EDFF">
  <ds:schemaRefs>
    <ds:schemaRef ds:uri="http://schemas.microsoft.com/office/2006/metadata/properties"/>
    <ds:schemaRef ds:uri="http://schemas.microsoft.com/office/infopath/2007/PartnerControls"/>
    <ds:schemaRef ds:uri="9f7bfde5-fec1-41b1-af96-d0ead4fdf1a4"/>
    <ds:schemaRef ds:uri="e58d86aa-8fe5-4539-8203-03c44674af5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Base/>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 Bakanov</dc:creator>
  <cp:revision>11</cp:revision>
  <dcterms:created xsi:type="dcterms:W3CDTF">2025-11-21T07:24:00Z</dcterms:created>
  <dcterms:modified xsi:type="dcterms:W3CDTF">2026-05-12T06:01:18Z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