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123B59F1" w:rsidR="009065CF" w:rsidRPr="00ED088B" w:rsidRDefault="0010444D"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(SPS)</w:t>
      </w:r>
      <w:r w:rsidR="009065CF" w:rsidRPr="00ED088B">
        <w:rPr>
          <w:rFonts w:ascii="Arial" w:eastAsia="Times New Roman" w:hAnsi="Arial" w:cs="Arial"/>
          <w:noProof/>
          <w:sz w:val="20"/>
          <w:szCs w:val="20"/>
          <w:lang w:val="lt-LT"/>
        </w:rPr>
        <w:t xml:space="preserve"> Priedas Nr. </w:t>
      </w:r>
      <w:r w:rsidR="00CF05EE">
        <w:rPr>
          <w:rFonts w:ascii="Arial" w:eastAsia="Times New Roman" w:hAnsi="Arial" w:cs="Arial"/>
          <w:noProof/>
          <w:sz w:val="20"/>
          <w:szCs w:val="20"/>
          <w:lang w:val="lt-LT"/>
        </w:rPr>
        <w:t>6</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65FA01ED" w:rsidR="009065CF" w:rsidRPr="00ED088B" w:rsidRDefault="00CF05EE" w:rsidP="009065CF">
      <w:pPr>
        <w:spacing w:after="0" w:line="240" w:lineRule="auto"/>
        <w:jc w:val="center"/>
        <w:textAlignment w:val="baseline"/>
        <w:rPr>
          <w:rFonts w:ascii="Arial" w:eastAsia="Times New Roman" w:hAnsi="Arial" w:cs="Arial"/>
          <w:noProof/>
          <w:sz w:val="20"/>
          <w:szCs w:val="20"/>
          <w:lang w:val="lt-LT"/>
        </w:rPr>
      </w:pPr>
      <w:r w:rsidRPr="00CF05EE">
        <w:rPr>
          <w:rFonts w:ascii="Arial" w:eastAsia="Times New Roman" w:hAnsi="Arial" w:cs="Arial"/>
          <w:b/>
          <w:bCs/>
          <w:caps/>
          <w:noProof/>
          <w:sz w:val="20"/>
          <w:szCs w:val="20"/>
          <w:lang w:val="lt-LT"/>
        </w:rPr>
        <w:t xml:space="preserve">TRUMPŲJŲ ŽINUČIŲ SIUNTIMO SAVITARNOS SVETAINĖS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ListParagraph"/>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ListParagraph"/>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ListParagraph"/>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0BE1A0B5" w14:textId="77777777" w:rsidR="009065CF"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p w14:paraId="1EB4346D" w14:textId="77777777" w:rsidR="0010444D" w:rsidRPr="00ED088B" w:rsidRDefault="0010444D" w:rsidP="009065CF">
            <w:pPr>
              <w:spacing w:after="0" w:line="240" w:lineRule="auto"/>
              <w:jc w:val="both"/>
              <w:textAlignment w:val="baseline"/>
              <w:rPr>
                <w:rFonts w:ascii="Arial" w:eastAsia="Times New Roman" w:hAnsi="Arial" w:cs="Arial"/>
                <w:noProof/>
                <w:sz w:val="20"/>
                <w:szCs w:val="20"/>
                <w:lang w:val="lt-LT"/>
              </w:rPr>
            </w:pP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0EA870BF" w:rsidR="009065CF" w:rsidRPr="0010444D" w:rsidRDefault="0010444D" w:rsidP="009065CF">
            <w:pPr>
              <w:spacing w:after="0" w:line="240" w:lineRule="auto"/>
              <w:jc w:val="both"/>
              <w:textAlignment w:val="baseline"/>
              <w:rPr>
                <w:rFonts w:ascii="Arial" w:eastAsia="Times New Roman" w:hAnsi="Arial" w:cs="Arial"/>
                <w:noProof/>
                <w:sz w:val="20"/>
                <w:szCs w:val="20"/>
                <w:u w:val="single"/>
                <w:lang w:val="lt-LT"/>
              </w:rPr>
            </w:pPr>
            <w:permStart w:id="636242926" w:edGrp="everyone"/>
            <w:permEnd w:id="1243573994"/>
            <w:r w:rsidRPr="0010444D">
              <w:rPr>
                <w:rFonts w:ascii="Arial" w:eastAsia="Times New Roman" w:hAnsi="Arial" w:cs="Arial"/>
                <w:noProof/>
                <w:sz w:val="20"/>
                <w:szCs w:val="20"/>
                <w:u w:val="single"/>
                <w:lang w:val="lt-LT"/>
              </w:rPr>
              <w:t>Tomas Garasimavičius, generalinis direktorius</w:t>
            </w:r>
            <w:r w:rsidR="009065CF" w:rsidRPr="0010444D">
              <w:rPr>
                <w:rFonts w:ascii="Arial" w:eastAsia="Times New Roman" w:hAnsi="Arial" w:cs="Arial"/>
                <w:noProof/>
                <w:sz w:val="20"/>
                <w:szCs w:val="20"/>
                <w:u w:val="single"/>
                <w:lang w:val="lt-LT"/>
              </w:rPr>
              <w:t>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E6E6" w14:textId="77777777" w:rsidR="00B45742" w:rsidRDefault="00B45742" w:rsidP="005008F9">
      <w:pPr>
        <w:spacing w:after="0" w:line="240" w:lineRule="auto"/>
      </w:pPr>
      <w:r>
        <w:separator/>
      </w:r>
    </w:p>
  </w:endnote>
  <w:endnote w:type="continuationSeparator" w:id="0">
    <w:p w14:paraId="76FEA160" w14:textId="77777777" w:rsidR="00B45742" w:rsidRDefault="00B45742" w:rsidP="005008F9">
      <w:pPr>
        <w:spacing w:after="0" w:line="240" w:lineRule="auto"/>
      </w:pPr>
      <w:r>
        <w:continuationSeparator/>
      </w:r>
    </w:p>
  </w:endnote>
  <w:endnote w:type="continuationNotice" w:id="1">
    <w:p w14:paraId="0CEBC31F" w14:textId="77777777" w:rsidR="00B45742" w:rsidRDefault="00B45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D905" w14:textId="77777777" w:rsidR="00B45742" w:rsidRDefault="00B45742" w:rsidP="005008F9">
      <w:pPr>
        <w:spacing w:after="0" w:line="240" w:lineRule="auto"/>
      </w:pPr>
      <w:r>
        <w:separator/>
      </w:r>
    </w:p>
  </w:footnote>
  <w:footnote w:type="continuationSeparator" w:id="0">
    <w:p w14:paraId="10F86F04" w14:textId="77777777" w:rsidR="00B45742" w:rsidRDefault="00B45742" w:rsidP="005008F9">
      <w:pPr>
        <w:spacing w:after="0" w:line="240" w:lineRule="auto"/>
      </w:pPr>
      <w:r>
        <w:continuationSeparator/>
      </w:r>
    </w:p>
  </w:footnote>
  <w:footnote w:type="continuationNotice" w:id="1">
    <w:p w14:paraId="77D62D8B" w14:textId="77777777" w:rsidR="00B45742" w:rsidRDefault="00B457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6F2D"/>
    <w:rsid w:val="000C7ACC"/>
    <w:rsid w:val="000D7001"/>
    <w:rsid w:val="00100218"/>
    <w:rsid w:val="0010444D"/>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07951"/>
    <w:rsid w:val="0023110C"/>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253A"/>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4D8"/>
    <w:rsid w:val="00592E7C"/>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D5D1E"/>
    <w:rsid w:val="008E5314"/>
    <w:rsid w:val="00905C49"/>
    <w:rsid w:val="009065CF"/>
    <w:rsid w:val="00915A9C"/>
    <w:rsid w:val="00934CE1"/>
    <w:rsid w:val="00950D4C"/>
    <w:rsid w:val="00956AAB"/>
    <w:rsid w:val="00987098"/>
    <w:rsid w:val="009A28DE"/>
    <w:rsid w:val="009A3359"/>
    <w:rsid w:val="009B6A9E"/>
    <w:rsid w:val="009E2C74"/>
    <w:rsid w:val="009F3D77"/>
    <w:rsid w:val="00A02A9A"/>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45742"/>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CF05EE"/>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67CCD"/>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4900</Words>
  <Characters>35040</Characters>
  <Application>Microsoft Office Word</Application>
  <DocSecurity>8</DocSecurity>
  <Lines>486</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2</cp:revision>
  <cp:lastPrinted>2022-07-13T10:23:00Z</cp:lastPrinted>
  <dcterms:created xsi:type="dcterms:W3CDTF">2026-05-11T11:43:00Z</dcterms:created>
  <dcterms:modified xsi:type="dcterms:W3CDTF">2026-05-11T11:43:00Z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