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C20C94">
        <w:rPr>
          <w:rFonts w:ascii="Cambria" w:eastAsia="Times New Roman" w:hAnsi="Cambria"/>
          <w:b/>
          <w:kern w:val="2"/>
          <w:sz w:val="22"/>
          <w:szCs w:val="22"/>
          <w:bdr w:val="none" w:sz="0" w:space="0" w:color="auto"/>
          <w:lang w:val="lt-LT"/>
        </w:rPr>
        <w:t>NEURONAVIGACINIŲ BIOPSINIŲ ADATŲ</w:t>
      </w:r>
      <w:r w:rsidR="00C20C94" w:rsidRPr="00C20C94">
        <w:rPr>
          <w:rFonts w:ascii="Cambria" w:eastAsia="Times New Roman" w:hAnsi="Cambria"/>
          <w:b/>
          <w:kern w:val="2"/>
          <w:sz w:val="22"/>
          <w:szCs w:val="22"/>
          <w:bdr w:val="none" w:sz="0" w:space="0" w:color="auto"/>
          <w:lang w:val="lt-LT"/>
        </w:rPr>
        <w:t xml:space="preserve"> SU PRIEDAIS</w:t>
      </w:r>
      <w:r w:rsidR="00C20C94" w:rsidRPr="0074771F">
        <w:rPr>
          <w:rFonts w:ascii="Cambria" w:hAnsi="Cambria"/>
          <w:b/>
          <w:bCs/>
          <w:sz w:val="22"/>
          <w:szCs w:val="22"/>
        </w:rPr>
        <w:t xml:space="preserve">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2049"/>
        <w:gridCol w:w="1872"/>
        <w:gridCol w:w="882"/>
        <w:gridCol w:w="842"/>
        <w:gridCol w:w="1092"/>
        <w:gridCol w:w="1243"/>
        <w:gridCol w:w="1234"/>
      </w:tblGrid>
      <w:tr w:rsidR="00005799" w:rsidRPr="0074771F" w:rsidTr="00E007FC"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05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843" w:type="dxa"/>
            <w:vAlign w:val="center"/>
          </w:tcPr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1099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0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</w:t>
            </w:r>
          </w:p>
        </w:tc>
      </w:tr>
      <w:tr w:rsidR="00005799" w:rsidRPr="0074771F" w:rsidTr="00E007FC">
        <w:trPr>
          <w:trHeight w:val="578"/>
        </w:trPr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058" w:type="dxa"/>
            <w:vAlign w:val="center"/>
          </w:tcPr>
          <w:p w:rsidR="00005799" w:rsidRPr="0074771F" w:rsidRDefault="00306113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Neuronavigacinė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biopsinė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adata</w:t>
            </w:r>
            <w:proofErr w:type="spellEnd"/>
            <w:r w:rsidRPr="0030611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06113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306113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06113">
              <w:rPr>
                <w:rFonts w:ascii="Cambria" w:hAnsi="Cambria"/>
                <w:sz w:val="22"/>
                <w:szCs w:val="22"/>
              </w:rPr>
              <w:t>priedais</w:t>
            </w:r>
            <w:proofErr w:type="spellEnd"/>
          </w:p>
        </w:tc>
        <w:tc>
          <w:tcPr>
            <w:tcW w:w="187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005799" w:rsidRPr="0074771F" w:rsidRDefault="00306113" w:rsidP="003061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Kompl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43" w:type="dxa"/>
            <w:vAlign w:val="center"/>
          </w:tcPr>
          <w:p w:rsidR="00005799" w:rsidRPr="0074771F" w:rsidRDefault="00306113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1099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8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6C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0611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0C94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DF7404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D1C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B325F-6537-472A-A61B-9F2B3DD4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1889</Words>
  <Characters>1078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15</cp:revision>
  <cp:lastPrinted>2026-04-03T07:06:00Z</cp:lastPrinted>
  <dcterms:created xsi:type="dcterms:W3CDTF">2026-04-22T08:00:00Z</dcterms:created>
  <dcterms:modified xsi:type="dcterms:W3CDTF">2026-05-11T08:49:00Z</dcterms:modified>
</cp:coreProperties>
</file>