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2" w:type="dxa"/>
        <w:tblCellMar>
          <w:left w:w="10" w:type="dxa"/>
          <w:right w:w="10" w:type="dxa"/>
        </w:tblCellMar>
        <w:tblLook w:val="0000" w:firstRow="0" w:lastRow="0" w:firstColumn="0" w:lastColumn="0" w:noHBand="0" w:noVBand="0"/>
      </w:tblPr>
      <w:tblGrid>
        <w:gridCol w:w="1342"/>
        <w:gridCol w:w="75"/>
        <w:gridCol w:w="4046"/>
        <w:gridCol w:w="691"/>
        <w:gridCol w:w="3312"/>
        <w:gridCol w:w="46"/>
      </w:tblGrid>
      <w:tr w:rsidR="00437CAA" w:rsidRPr="00E87F90" w14:paraId="6351952A" w14:textId="77777777" w:rsidTr="00BF1715">
        <w:trPr>
          <w:trHeight w:val="236"/>
        </w:trPr>
        <w:tc>
          <w:tcPr>
            <w:tcW w:w="13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C4D0A" w14:textId="77777777" w:rsidR="00437CAA" w:rsidRPr="00E87F90" w:rsidRDefault="00437CAA" w:rsidP="00BF1715">
            <w:pPr>
              <w:jc w:val="center"/>
              <w:rPr>
                <w:szCs w:val="24"/>
              </w:rPr>
            </w:pPr>
            <w:r w:rsidRPr="00E87F90">
              <w:rPr>
                <w:szCs w:val="24"/>
              </w:rPr>
              <w:t xml:space="preserve">Eil. Nr. </w:t>
            </w:r>
          </w:p>
        </w:tc>
        <w:tc>
          <w:tcPr>
            <w:tcW w:w="81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444D5" w14:textId="77777777" w:rsidR="00437CAA" w:rsidRPr="00E87F90" w:rsidRDefault="00437CAA" w:rsidP="00BF1715">
            <w:pPr>
              <w:jc w:val="center"/>
              <w:rPr>
                <w:szCs w:val="24"/>
              </w:rPr>
            </w:pPr>
            <w:r w:rsidRPr="00E87F90">
              <w:rPr>
                <w:szCs w:val="24"/>
              </w:rPr>
              <w:t>Minimalūs tiekėjų kvalifikacijos reikalavimai ir juos įrodantys dokumentai</w:t>
            </w:r>
          </w:p>
        </w:tc>
      </w:tr>
      <w:tr w:rsidR="00437CAA" w:rsidRPr="00E87F90" w14:paraId="28F79A0E" w14:textId="77777777" w:rsidTr="00BF1715">
        <w:trPr>
          <w:trHeight w:val="300"/>
        </w:trPr>
        <w:tc>
          <w:tcPr>
            <w:tcW w:w="13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45AC7" w14:textId="77777777" w:rsidR="00437CAA" w:rsidRPr="00E87F90" w:rsidRDefault="00437CAA" w:rsidP="00BF1715">
            <w:pPr>
              <w:jc w:val="center"/>
              <w:rPr>
                <w:szCs w:val="24"/>
              </w:rPr>
            </w:pPr>
          </w:p>
        </w:tc>
        <w:tc>
          <w:tcPr>
            <w:tcW w:w="48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B5B10" w14:textId="77777777" w:rsidR="00437CAA" w:rsidRPr="00E87F90" w:rsidRDefault="00437CAA" w:rsidP="00BF1715">
            <w:pPr>
              <w:tabs>
                <w:tab w:val="left" w:pos="1155"/>
              </w:tabs>
              <w:jc w:val="center"/>
              <w:rPr>
                <w:szCs w:val="24"/>
              </w:rPr>
            </w:pPr>
            <w:r w:rsidRPr="00E87F90">
              <w:rPr>
                <w:szCs w:val="24"/>
              </w:rPr>
              <w:t>Kvalifikaciniai reikalavimai</w:t>
            </w:r>
          </w:p>
        </w:tc>
        <w:tc>
          <w:tcPr>
            <w:tcW w:w="33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13553" w14:textId="77777777" w:rsidR="00437CAA" w:rsidRPr="00E87F90" w:rsidRDefault="00437CAA" w:rsidP="00BF1715">
            <w:pPr>
              <w:jc w:val="center"/>
              <w:rPr>
                <w:szCs w:val="24"/>
              </w:rPr>
            </w:pPr>
            <w:r w:rsidRPr="00E87F90">
              <w:rPr>
                <w:szCs w:val="24"/>
              </w:rPr>
              <w:t>Kvalifikacinius reikalavimus įrodantys dokumentai</w:t>
            </w:r>
          </w:p>
        </w:tc>
      </w:tr>
      <w:tr w:rsidR="00437CAA" w:rsidRPr="00E87F90" w14:paraId="6388BDD9" w14:textId="77777777" w:rsidTr="00BF1715">
        <w:tc>
          <w:tcPr>
            <w:tcW w:w="951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2133D" w14:textId="77777777" w:rsidR="00437CAA" w:rsidRPr="00E87F90" w:rsidRDefault="00437CAA" w:rsidP="00BF1715">
            <w:pPr>
              <w:jc w:val="both"/>
              <w:rPr>
                <w:szCs w:val="24"/>
              </w:rPr>
            </w:pPr>
            <w:r w:rsidRPr="00E87F90">
              <w:rPr>
                <w:b/>
                <w:szCs w:val="24"/>
              </w:rPr>
              <w:t xml:space="preserve">Ekonominės ir finansinės būklės, techninio ir profesinio pajėgumo reikalavimai </w:t>
            </w:r>
          </w:p>
        </w:tc>
      </w:tr>
      <w:tr w:rsidR="00437CAA" w:rsidRPr="00E87F90" w14:paraId="12BCDB17" w14:textId="77777777" w:rsidTr="00BF1715">
        <w:tblPrEx>
          <w:tblLook w:val="04A0" w:firstRow="1" w:lastRow="0" w:firstColumn="1" w:lastColumn="0" w:noHBand="0" w:noVBand="1"/>
        </w:tblPrEx>
        <w:trPr>
          <w:gridAfter w:val="1"/>
          <w:wAfter w:w="46" w:type="dxa"/>
          <w:trHeight w:val="1305"/>
        </w:trPr>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8163F" w14:textId="77777777" w:rsidR="00437CAA" w:rsidRPr="00E87F90" w:rsidRDefault="00437CAA" w:rsidP="00BF1715">
            <w:pPr>
              <w:jc w:val="center"/>
              <w:rPr>
                <w:szCs w:val="24"/>
              </w:rPr>
            </w:pPr>
            <w:r w:rsidRPr="00E87F90">
              <w:rPr>
                <w:szCs w:val="24"/>
              </w:rPr>
              <w:t xml:space="preserve">3.7.1. </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A39F7" w14:textId="6BD0D6A2" w:rsidR="00437CAA" w:rsidRPr="00E87F90" w:rsidRDefault="00437CAA" w:rsidP="00BF1715">
            <w:pPr>
              <w:jc w:val="both"/>
              <w:rPr>
                <w:szCs w:val="24"/>
                <w:highlight w:val="yellow"/>
              </w:rPr>
            </w:pPr>
            <w:r w:rsidRPr="00E87F90">
              <w:rPr>
                <w:szCs w:val="24"/>
              </w:rPr>
              <w:t>Tiekėjas per paskutinius 3 (trejus) metus arba per laiką nuo tiekėjo įregistravimo dienos (jeigu tiekėjas vykdė veiklą trumpiau nei 3 (trejus) metus):</w:t>
            </w:r>
          </w:p>
        </w:tc>
        <w:tc>
          <w:tcPr>
            <w:tcW w:w="4003"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7E7E92B7" w14:textId="77777777" w:rsidR="00437CAA" w:rsidRPr="00E87F90" w:rsidRDefault="00437CAA" w:rsidP="00BF1715">
            <w:pPr>
              <w:jc w:val="both"/>
              <w:rPr>
                <w:iCs/>
                <w:szCs w:val="24"/>
              </w:rPr>
            </w:pPr>
            <w:r w:rsidRPr="00E87F90">
              <w:rPr>
                <w:iCs/>
                <w:szCs w:val="24"/>
              </w:rPr>
              <w:t>Pateikiama su pasiūlymu: EBVPD</w:t>
            </w:r>
          </w:p>
          <w:p w14:paraId="58CF7C73" w14:textId="77777777" w:rsidR="00437CAA" w:rsidRPr="00E87F90" w:rsidRDefault="00437CAA" w:rsidP="00BF1715">
            <w:pPr>
              <w:jc w:val="both"/>
              <w:rPr>
                <w:szCs w:val="24"/>
              </w:rPr>
            </w:pPr>
          </w:p>
          <w:p w14:paraId="2AE63F4A" w14:textId="77777777" w:rsidR="00437CAA" w:rsidRPr="00E87F90" w:rsidRDefault="00437CAA" w:rsidP="00BF1715">
            <w:pPr>
              <w:jc w:val="both"/>
              <w:rPr>
                <w:szCs w:val="24"/>
              </w:rPr>
            </w:pPr>
            <w:r w:rsidRPr="00E87F90">
              <w:rPr>
                <w:iCs/>
                <w:szCs w:val="24"/>
              </w:rPr>
              <w:t>Perkančiajai organizacijai atlikus EBVPD patikrinimo procedūrą, patikrinus pasiūlymus ir išrinkus galimą laimėtoją, tik jo yra prašomi dokumentai patvirtinantys atitiktį kvalifikaciniams reikalavimams:</w:t>
            </w:r>
          </w:p>
          <w:p w14:paraId="5E16C8DB" w14:textId="77777777" w:rsidR="00437CAA" w:rsidRPr="00E87F90" w:rsidRDefault="00437CAA" w:rsidP="00BF1715">
            <w:pPr>
              <w:jc w:val="both"/>
              <w:rPr>
                <w:szCs w:val="24"/>
              </w:rPr>
            </w:pPr>
          </w:p>
          <w:p w14:paraId="672BF586" w14:textId="77777777" w:rsidR="00AB1458" w:rsidRPr="00E87F90" w:rsidRDefault="00AB1458" w:rsidP="00AB1458">
            <w:pPr>
              <w:pStyle w:val="prastasiniatinklio"/>
              <w:jc w:val="both"/>
              <w:textAlignment w:val="baseline"/>
            </w:pPr>
            <w:r w:rsidRPr="00E87F90">
              <w:t>Tiekėjas turi pateikti tinkamą paslaugų įvykdymą patvirtinančius dokumentus:</w:t>
            </w:r>
          </w:p>
          <w:p w14:paraId="1C76F8BD" w14:textId="70F530E0" w:rsidR="00AB1458" w:rsidRPr="00E87F90" w:rsidRDefault="00AB1458" w:rsidP="00AB1458">
            <w:pPr>
              <w:pStyle w:val="prastasiniatinklio"/>
              <w:jc w:val="both"/>
              <w:textAlignment w:val="baseline"/>
            </w:pPr>
            <w:r w:rsidRPr="00E87F90">
              <w:t xml:space="preserve">per pastaruosius 3 (tris) metus arba per laiką nuo tiekėjo įregistravimo dienos (jeigu tiekėjas vykdė veiklą mažiau nei 3 (tris) metus) suteiktų paslaugų sąrašas, kuriame būtų nurodytos paslaugų bendros sumos, datos ir paslaugų gavėjai (tiek viešieji, tiek privatieji), užsakovai (su kuriais buvo sudarytos sutartys) kartu su užsakovų, o nesant galimybės jų pateikti - su paslaugų gavėjų pažymomis apie tinkamai įvykdytas arba vykdomas sutartis. </w:t>
            </w:r>
          </w:p>
          <w:p w14:paraId="1B312315" w14:textId="6AEC2B50" w:rsidR="00AB1458" w:rsidRPr="00E87F90" w:rsidRDefault="00AB1458" w:rsidP="00AB1458">
            <w:pPr>
              <w:pStyle w:val="prastasiniatinklio"/>
              <w:jc w:val="both"/>
              <w:textAlignment w:val="baseline"/>
            </w:pPr>
            <w:r w:rsidRPr="00E87F90">
              <w:t>Užsakovų pažymose turi būti nurodytos suteikt</w:t>
            </w:r>
            <w:r w:rsidR="006817F1" w:rsidRPr="00E87F90">
              <w:t>ų</w:t>
            </w:r>
            <w:r w:rsidRPr="00E87F90">
              <w:t xml:space="preserve"> paslaugų bendros sumos, datos, paslaugų gavėjai, ar paslaugos buvo suteiktos pagal pirkimo sutarties reikalavimus.</w:t>
            </w:r>
          </w:p>
          <w:p w14:paraId="471BADDA" w14:textId="77777777" w:rsidR="00AB1458" w:rsidRPr="00E87F90" w:rsidRDefault="00AB1458" w:rsidP="00AB1458">
            <w:pPr>
              <w:pStyle w:val="prastasiniatinklio"/>
              <w:jc w:val="both"/>
              <w:textAlignment w:val="baseline"/>
            </w:pPr>
            <w:r w:rsidRPr="00E87F90">
              <w:t>Pažymėtina, jog pateikiama informacija turi būti išsami, kad perkančioji organizacija galėtų įsitikinti, jog tiekėjas atitinka visus keliamus reikalavimus.</w:t>
            </w:r>
          </w:p>
          <w:p w14:paraId="0BE95A24" w14:textId="77777777" w:rsidR="00AB1458" w:rsidRPr="00E87F90" w:rsidRDefault="00AB1458" w:rsidP="00AB1458">
            <w:pPr>
              <w:pStyle w:val="prastasiniatinklio"/>
              <w:jc w:val="both"/>
              <w:textAlignment w:val="baseline"/>
            </w:pPr>
            <w:r w:rsidRPr="00E87F90">
              <w:t>Patirties įgijimo terminai skaičiuojami iki pasiūlymų pateikimo termino datos.</w:t>
            </w:r>
          </w:p>
          <w:p w14:paraId="1233D7AB" w14:textId="77777777" w:rsidR="00AB1458" w:rsidRPr="00E87F90" w:rsidRDefault="00AB1458" w:rsidP="00AB1458">
            <w:pPr>
              <w:pStyle w:val="prastasiniatinklio"/>
              <w:jc w:val="both"/>
              <w:textAlignment w:val="baseline"/>
            </w:pPr>
            <w:r w:rsidRPr="00E87F90">
              <w:t xml:space="preserve">Jeigu pasiūlymą teikia ūkio subjektų grupė – reikalavimą turi atitikti visi ūkio subjektų grupės nariai kartu (ūkio subjektų grupės narių turima patirtis </w:t>
            </w:r>
            <w:r w:rsidRPr="00E87F90">
              <w:lastRenderedPageBreak/>
              <w:t>sumuojama), atsižvelgiant į jų prisiimamus įsipareigojimus.</w:t>
            </w:r>
          </w:p>
          <w:p w14:paraId="1C702EEB" w14:textId="601B3B18" w:rsidR="00437CAA" w:rsidRPr="00283786" w:rsidRDefault="00AB1458" w:rsidP="00283786">
            <w:pPr>
              <w:jc w:val="both"/>
              <w:rPr>
                <w:szCs w:val="24"/>
                <w:lang w:val="en-US"/>
              </w:rPr>
            </w:pPr>
            <w:r w:rsidRPr="00E87F90">
              <w:rPr>
                <w:szCs w:val="24"/>
              </w:rPr>
              <w:t>Tiekėjas gali remtis kitų ūkio subjektų pajėgumais tik tuo atveju, jeigu tie subjektai patys vykdys tą pirkimo sutarties dalį, kuriai reikia jų turimų pajėgumų.</w:t>
            </w:r>
            <w:r w:rsidRPr="00E87F90">
              <w:rPr>
                <w:szCs w:val="24"/>
                <w:lang w:val="en-US"/>
              </w:rPr>
              <w:t xml:space="preserve"> </w:t>
            </w:r>
          </w:p>
          <w:p w14:paraId="16C4B0BC" w14:textId="2AD0E0EE" w:rsidR="00437CAA" w:rsidRPr="00E87F90" w:rsidRDefault="00437CAA" w:rsidP="00BF1715">
            <w:pPr>
              <w:jc w:val="both"/>
              <w:rPr>
                <w:szCs w:val="24"/>
                <w:highlight w:val="yellow"/>
              </w:rPr>
            </w:pPr>
          </w:p>
        </w:tc>
      </w:tr>
      <w:tr w:rsidR="00437CAA" w:rsidRPr="00E87F90" w14:paraId="06CA520A" w14:textId="77777777" w:rsidTr="00BF1715">
        <w:tblPrEx>
          <w:tblLook w:val="04A0" w:firstRow="1" w:lastRow="0" w:firstColumn="1" w:lastColumn="0" w:noHBand="0" w:noVBand="1"/>
        </w:tblPrEx>
        <w:trPr>
          <w:gridAfter w:val="1"/>
          <w:wAfter w:w="46" w:type="dxa"/>
          <w:trHeight w:val="4950"/>
        </w:trPr>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DBD12" w14:textId="77777777" w:rsidR="00437CAA" w:rsidRPr="00E87F90" w:rsidRDefault="00437CAA" w:rsidP="00BF1715">
            <w:pPr>
              <w:jc w:val="center"/>
              <w:rPr>
                <w:szCs w:val="24"/>
              </w:rPr>
            </w:pPr>
            <w:r w:rsidRPr="00E87F90">
              <w:rPr>
                <w:szCs w:val="24"/>
              </w:rPr>
              <w:t>3.7.1.1.</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4FEFA" w14:textId="446353A5" w:rsidR="00397B2C" w:rsidRPr="00E87F90" w:rsidRDefault="00397B2C" w:rsidP="00397B2C">
            <w:pPr>
              <w:jc w:val="both"/>
              <w:rPr>
                <w:rFonts w:eastAsia="Times New Roman"/>
                <w:szCs w:val="24"/>
              </w:rPr>
            </w:pPr>
            <w:r w:rsidRPr="00E87F90">
              <w:rPr>
                <w:szCs w:val="24"/>
              </w:rPr>
              <w:t xml:space="preserve">savo jėgomis suteikęs informacinių sistemų palaikymo/priežiūros paslaugų, kurių vertė yra ne mažesnė kaip </w:t>
            </w:r>
            <w:r w:rsidRPr="00E87F90">
              <w:rPr>
                <w:szCs w:val="24"/>
                <w:lang w:val="en-US"/>
              </w:rPr>
              <w:t>25</w:t>
            </w:r>
            <w:r w:rsidRPr="00E87F90">
              <w:rPr>
                <w:szCs w:val="24"/>
              </w:rPr>
              <w:t xml:space="preserve"> 000 (dvidešimt penki tūkstančiai) Eur be PVM*.</w:t>
            </w:r>
          </w:p>
          <w:p w14:paraId="0A267E9C" w14:textId="77777777" w:rsidR="00397B2C" w:rsidRPr="00E87F90" w:rsidRDefault="00397B2C" w:rsidP="00397B2C">
            <w:pPr>
              <w:jc w:val="both"/>
              <w:rPr>
                <w:szCs w:val="24"/>
              </w:rPr>
            </w:pPr>
          </w:p>
          <w:p w14:paraId="01D3EC96" w14:textId="5732C79E" w:rsidR="00397B2C" w:rsidRPr="00E87F90" w:rsidRDefault="00397B2C" w:rsidP="00397B2C">
            <w:pPr>
              <w:pStyle w:val="prastasiniatinklio"/>
              <w:jc w:val="both"/>
              <w:rPr>
                <w:i/>
                <w:iCs/>
              </w:rPr>
            </w:pPr>
            <w:r w:rsidRPr="00E87F90">
              <w:rPr>
                <w:i/>
                <w:iCs/>
              </w:rPr>
              <w:t xml:space="preserve">* Šį rezultatą tiekėjas gali būti pasiekęs pagal vieną ar kelias sutartis, sudarytas dėl tos pačios </w:t>
            </w:r>
            <w:r w:rsidR="000E5EA8" w:rsidRPr="00E87F90">
              <w:rPr>
                <w:i/>
                <w:iCs/>
              </w:rPr>
              <w:t>informacinės sistemos.</w:t>
            </w:r>
          </w:p>
          <w:p w14:paraId="3A27D5AA" w14:textId="39D39B41" w:rsidR="00397B2C" w:rsidRPr="00E87F90" w:rsidRDefault="00397B2C" w:rsidP="00397B2C">
            <w:pPr>
              <w:jc w:val="both"/>
              <w:rPr>
                <w:i/>
                <w:iCs/>
                <w:szCs w:val="24"/>
              </w:rPr>
            </w:pPr>
            <w:r w:rsidRPr="00E87F90">
              <w:rPr>
                <w:i/>
                <w:iCs/>
                <w:szCs w:val="24"/>
              </w:rPr>
              <w:t xml:space="preserve">Jei informacija teikiama pagal tebevykdomas sutartis, laikoma, kad patirtis yra įgyta, jei iki pasiūlymo pateikimo datos jau yra </w:t>
            </w:r>
            <w:r w:rsidR="00592117" w:rsidRPr="00E87F90">
              <w:rPr>
                <w:i/>
                <w:iCs/>
                <w:szCs w:val="24"/>
              </w:rPr>
              <w:t>su</w:t>
            </w:r>
            <w:r w:rsidRPr="00E87F90">
              <w:rPr>
                <w:i/>
                <w:iCs/>
                <w:szCs w:val="24"/>
              </w:rPr>
              <w:t xml:space="preserve">teikta </w:t>
            </w:r>
            <w:r w:rsidR="00592117" w:rsidRPr="00E87F90">
              <w:rPr>
                <w:i/>
                <w:iCs/>
                <w:szCs w:val="24"/>
              </w:rPr>
              <w:t xml:space="preserve">informacinių sistemų palaikymo/priežiūros paslaugų </w:t>
            </w:r>
            <w:r w:rsidRPr="00E87F90">
              <w:rPr>
                <w:i/>
                <w:iCs/>
                <w:szCs w:val="24"/>
              </w:rPr>
              <w:t xml:space="preserve">suteikta už ne mažesnę kaip </w:t>
            </w:r>
            <w:r w:rsidR="00592117" w:rsidRPr="00E87F90">
              <w:rPr>
                <w:i/>
                <w:iCs/>
                <w:szCs w:val="24"/>
              </w:rPr>
              <w:t>25 000 (dvidešimt penki tūkstančiai)</w:t>
            </w:r>
            <w:r w:rsidRPr="00E87F90">
              <w:rPr>
                <w:i/>
                <w:iCs/>
                <w:szCs w:val="24"/>
              </w:rPr>
              <w:t xml:space="preserve"> be PVM vertę ir šios</w:t>
            </w:r>
            <w:r w:rsidR="00592117" w:rsidRPr="00E87F90">
              <w:rPr>
                <w:i/>
                <w:iCs/>
                <w:szCs w:val="24"/>
              </w:rPr>
              <w:t xml:space="preserve"> </w:t>
            </w:r>
            <w:r w:rsidRPr="00E87F90">
              <w:rPr>
                <w:i/>
                <w:iCs/>
                <w:szCs w:val="24"/>
              </w:rPr>
              <w:t>paslaugos yra priimtos užsakovo kaip tinkamos.</w:t>
            </w:r>
          </w:p>
          <w:p w14:paraId="253CA3D1" w14:textId="77777777" w:rsidR="00397B2C" w:rsidRPr="00E87F90" w:rsidRDefault="00397B2C" w:rsidP="00397B2C">
            <w:pPr>
              <w:jc w:val="both"/>
              <w:rPr>
                <w:color w:val="00B050"/>
                <w:szCs w:val="24"/>
              </w:rPr>
            </w:pPr>
          </w:p>
          <w:p w14:paraId="00344111" w14:textId="77777777" w:rsidR="00397B2C" w:rsidRPr="00E87F90" w:rsidRDefault="00397B2C" w:rsidP="00BF1715">
            <w:pPr>
              <w:jc w:val="both"/>
              <w:rPr>
                <w:szCs w:val="24"/>
              </w:rPr>
            </w:pPr>
          </w:p>
          <w:p w14:paraId="2A80FDF3" w14:textId="77777777" w:rsidR="00397B2C" w:rsidRPr="00E87F90" w:rsidRDefault="00397B2C" w:rsidP="00BF1715">
            <w:pPr>
              <w:jc w:val="both"/>
              <w:rPr>
                <w:szCs w:val="24"/>
              </w:rPr>
            </w:pPr>
          </w:p>
          <w:p w14:paraId="11A32E2F" w14:textId="77777777" w:rsidR="00437CAA" w:rsidRPr="00E87F90" w:rsidRDefault="00437CAA" w:rsidP="00596F42">
            <w:pPr>
              <w:jc w:val="both"/>
              <w:rPr>
                <w:szCs w:val="24"/>
                <w:highlight w:val="yellow"/>
              </w:rPr>
            </w:pPr>
          </w:p>
        </w:tc>
        <w:tc>
          <w:tcPr>
            <w:tcW w:w="0" w:type="auto"/>
            <w:gridSpan w:val="2"/>
            <w:vMerge/>
            <w:tcBorders>
              <w:left w:val="single" w:sz="4" w:space="0" w:color="000000"/>
              <w:right w:val="single" w:sz="4" w:space="0" w:color="000000"/>
            </w:tcBorders>
            <w:vAlign w:val="center"/>
            <w:hideMark/>
          </w:tcPr>
          <w:p w14:paraId="3C2F89E8" w14:textId="77777777" w:rsidR="00437CAA" w:rsidRPr="00E87F90" w:rsidRDefault="00437CAA" w:rsidP="00BF1715">
            <w:pPr>
              <w:rPr>
                <w:szCs w:val="24"/>
                <w:highlight w:val="yellow"/>
              </w:rPr>
            </w:pPr>
          </w:p>
        </w:tc>
      </w:tr>
      <w:tr w:rsidR="00437CAA" w:rsidRPr="00E87F90" w14:paraId="09AADD7C" w14:textId="77777777" w:rsidTr="00BF1715">
        <w:tblPrEx>
          <w:tblLook w:val="04A0" w:firstRow="1" w:lastRow="0" w:firstColumn="1" w:lastColumn="0" w:noHBand="0" w:noVBand="1"/>
        </w:tblPrEx>
        <w:trPr>
          <w:gridAfter w:val="1"/>
          <w:wAfter w:w="46" w:type="dxa"/>
          <w:trHeight w:val="4095"/>
        </w:trPr>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A0B6C" w14:textId="77777777" w:rsidR="00437CAA" w:rsidRPr="00E87F90" w:rsidRDefault="00437CAA" w:rsidP="00BF1715">
            <w:pPr>
              <w:jc w:val="center"/>
              <w:rPr>
                <w:szCs w:val="24"/>
                <w:highlight w:val="yellow"/>
              </w:rPr>
            </w:pPr>
            <w:r w:rsidRPr="00E87F90">
              <w:rPr>
                <w:szCs w:val="24"/>
              </w:rPr>
              <w:t>3.7.1.2.</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01F42" w14:textId="7F5AEFA6" w:rsidR="00100D48" w:rsidRPr="00E87F90" w:rsidRDefault="00100D48" w:rsidP="00BF1715">
            <w:pPr>
              <w:jc w:val="both"/>
              <w:rPr>
                <w:szCs w:val="24"/>
              </w:rPr>
            </w:pPr>
            <w:r w:rsidRPr="00E87F90">
              <w:rPr>
                <w:szCs w:val="24"/>
              </w:rPr>
              <w:t xml:space="preserve">savo jėgomis suteikęs paslaugas, kurių metu atliekami programinės įrangos, skirtos personalo ir darbo užmokesčio apskaitai, kūrimo ir (ar) modernizavimo </w:t>
            </w:r>
            <w:r w:rsidR="00590DB2">
              <w:rPr>
                <w:szCs w:val="24"/>
              </w:rPr>
              <w:t xml:space="preserve">ir (ar) palaikymo </w:t>
            </w:r>
            <w:r w:rsidRPr="00E87F90">
              <w:rPr>
                <w:szCs w:val="24"/>
              </w:rPr>
              <w:t>darbai, įskaitant, bet neapsiribojant projektavimo, programavimo darbus*.</w:t>
            </w:r>
          </w:p>
          <w:p w14:paraId="0907A218" w14:textId="77777777" w:rsidR="00100D48" w:rsidRPr="00E87F90" w:rsidRDefault="00100D48" w:rsidP="00BF1715">
            <w:pPr>
              <w:jc w:val="both"/>
              <w:rPr>
                <w:szCs w:val="24"/>
              </w:rPr>
            </w:pPr>
          </w:p>
          <w:p w14:paraId="4867DE38" w14:textId="6084BE77" w:rsidR="00100D48" w:rsidRPr="00E87F90" w:rsidRDefault="00100D48" w:rsidP="00BF1715">
            <w:pPr>
              <w:jc w:val="both"/>
              <w:rPr>
                <w:szCs w:val="24"/>
              </w:rPr>
            </w:pPr>
            <w:r w:rsidRPr="00E87F90">
              <w:rPr>
                <w:i/>
                <w:iCs/>
                <w:szCs w:val="24"/>
              </w:rPr>
              <w:t>* Šį rezultatą tiekėjas gali būti pasiekęs pagal vieną ar kelias sutartis, sudarytas dėl tos pačios informacinės sistemos.</w:t>
            </w:r>
          </w:p>
          <w:p w14:paraId="6972FEE3" w14:textId="77777777" w:rsidR="00100D48" w:rsidRPr="00E87F90" w:rsidRDefault="00100D48" w:rsidP="00BF1715">
            <w:pPr>
              <w:jc w:val="both"/>
              <w:rPr>
                <w:szCs w:val="24"/>
              </w:rPr>
            </w:pPr>
          </w:p>
          <w:p w14:paraId="6E54F424" w14:textId="155E0CCF" w:rsidR="00437CAA" w:rsidRPr="00E87F90" w:rsidRDefault="00437CAA" w:rsidP="00BF1715">
            <w:pPr>
              <w:jc w:val="both"/>
              <w:rPr>
                <w:szCs w:val="24"/>
              </w:rPr>
            </w:pPr>
          </w:p>
          <w:p w14:paraId="4C26F4F9" w14:textId="3A193409" w:rsidR="00437CAA" w:rsidRPr="00E87F90" w:rsidRDefault="00437CAA" w:rsidP="00BF1715">
            <w:pPr>
              <w:jc w:val="both"/>
              <w:rPr>
                <w:szCs w:val="24"/>
              </w:rPr>
            </w:pPr>
            <w:r w:rsidRPr="00E87F90">
              <w:rPr>
                <w:szCs w:val="24"/>
              </w:rPr>
              <w:t>Jei informacija pateikiama apie tebevykdo</w:t>
            </w:r>
            <w:r w:rsidR="007C50F5" w:rsidRPr="00E87F90">
              <w:rPr>
                <w:szCs w:val="24"/>
              </w:rPr>
              <w:t>m</w:t>
            </w:r>
            <w:r w:rsidR="0027087A" w:rsidRPr="00E87F90">
              <w:rPr>
                <w:szCs w:val="24"/>
              </w:rPr>
              <w:t>as</w:t>
            </w:r>
            <w:r w:rsidRPr="00E87F90">
              <w:rPr>
                <w:szCs w:val="24"/>
              </w:rPr>
              <w:t xml:space="preserve"> sutart</w:t>
            </w:r>
            <w:r w:rsidR="0027087A" w:rsidRPr="00E87F90">
              <w:rPr>
                <w:szCs w:val="24"/>
              </w:rPr>
              <w:t>is</w:t>
            </w:r>
            <w:r w:rsidRPr="00E87F90">
              <w:rPr>
                <w:szCs w:val="24"/>
              </w:rPr>
              <w:t>, laikoma, kad teikėjo patirtis atitinka keliamą reikalavimą, jei vykdant sutart</w:t>
            </w:r>
            <w:r w:rsidR="0027087A" w:rsidRPr="00E87F90">
              <w:rPr>
                <w:szCs w:val="24"/>
              </w:rPr>
              <w:t>is</w:t>
            </w:r>
            <w:r w:rsidRPr="00E87F90">
              <w:rPr>
                <w:szCs w:val="24"/>
              </w:rPr>
              <w:t xml:space="preserve"> jau yra pradėta bandomoji sistemos eksploatacija.</w:t>
            </w:r>
          </w:p>
          <w:p w14:paraId="0D90E3E1" w14:textId="77777777" w:rsidR="00437CAA" w:rsidRPr="00E87F90" w:rsidRDefault="00437CAA" w:rsidP="00BF1715">
            <w:pPr>
              <w:jc w:val="both"/>
              <w:rPr>
                <w:szCs w:val="24"/>
                <w:highlight w:val="yellow"/>
              </w:rPr>
            </w:pPr>
          </w:p>
          <w:p w14:paraId="0A82E60A" w14:textId="77777777" w:rsidR="00437CAA" w:rsidRPr="00E87F90" w:rsidRDefault="00437CAA" w:rsidP="00BF1715">
            <w:pPr>
              <w:jc w:val="both"/>
              <w:rPr>
                <w:szCs w:val="24"/>
                <w:highlight w:val="yellow"/>
              </w:rPr>
            </w:pPr>
          </w:p>
        </w:tc>
        <w:tc>
          <w:tcPr>
            <w:tcW w:w="0" w:type="auto"/>
            <w:gridSpan w:val="2"/>
            <w:vMerge/>
            <w:tcBorders>
              <w:left w:val="single" w:sz="4" w:space="0" w:color="000000"/>
              <w:right w:val="single" w:sz="4" w:space="0" w:color="000000"/>
            </w:tcBorders>
            <w:vAlign w:val="center"/>
          </w:tcPr>
          <w:p w14:paraId="5ABFC30E" w14:textId="77777777" w:rsidR="00437CAA" w:rsidRPr="00E87F90" w:rsidRDefault="00437CAA" w:rsidP="00BF1715">
            <w:pPr>
              <w:rPr>
                <w:szCs w:val="24"/>
                <w:highlight w:val="yellow"/>
              </w:rPr>
            </w:pPr>
          </w:p>
        </w:tc>
      </w:tr>
      <w:tr w:rsidR="00437CAA" w:rsidRPr="00E87F90" w14:paraId="48A83FA5" w14:textId="77777777" w:rsidTr="00BF1715">
        <w:tblPrEx>
          <w:tblLook w:val="04A0" w:firstRow="1" w:lastRow="0" w:firstColumn="1" w:lastColumn="0" w:noHBand="0" w:noVBand="1"/>
        </w:tblPrEx>
        <w:trPr>
          <w:gridAfter w:val="1"/>
          <w:wAfter w:w="46" w:type="dxa"/>
        </w:trPr>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F9903" w14:textId="77777777" w:rsidR="00437CAA" w:rsidRPr="00E87F90" w:rsidRDefault="00437CAA" w:rsidP="00BF1715">
            <w:pPr>
              <w:jc w:val="center"/>
              <w:rPr>
                <w:szCs w:val="24"/>
              </w:rPr>
            </w:pPr>
            <w:r w:rsidRPr="00E87F90">
              <w:rPr>
                <w:szCs w:val="24"/>
              </w:rPr>
              <w:t xml:space="preserve">3.7.2. </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E066B" w14:textId="77777777" w:rsidR="00437CAA" w:rsidRPr="00E87F90" w:rsidRDefault="00437CAA" w:rsidP="00BF1715">
            <w:pPr>
              <w:tabs>
                <w:tab w:val="left" w:pos="1980"/>
              </w:tabs>
              <w:jc w:val="both"/>
              <w:rPr>
                <w:szCs w:val="24"/>
              </w:rPr>
            </w:pPr>
            <w:r w:rsidRPr="00E87F90">
              <w:rPr>
                <w:szCs w:val="24"/>
              </w:rPr>
              <w:t xml:space="preserve">Tiekėjas, paslaugų teikimo sutarties vykdymui, privalo turėti kvalifikuotus specialistus, kurie turi atitikti žemiau nurodytus minimalius reikalavimus </w:t>
            </w:r>
            <w:r w:rsidRPr="00E87F90">
              <w:rPr>
                <w:b/>
                <w:bCs/>
                <w:szCs w:val="24"/>
              </w:rPr>
              <w:t>(</w:t>
            </w:r>
            <w:r w:rsidRPr="00E87F90">
              <w:rPr>
                <w:b/>
                <w:szCs w:val="24"/>
              </w:rPr>
              <w:t>vieno specialisto kandidatūra gali būti siūloma kelioms pozicijoms)</w:t>
            </w:r>
            <w:r w:rsidRPr="00E87F90">
              <w:rPr>
                <w:szCs w:val="24"/>
              </w:rPr>
              <w:t>:</w:t>
            </w:r>
          </w:p>
          <w:p w14:paraId="5B691A4D" w14:textId="77777777" w:rsidR="00437CAA" w:rsidRPr="00E87F90" w:rsidRDefault="00437CAA" w:rsidP="00BF1715">
            <w:pPr>
              <w:tabs>
                <w:tab w:val="left" w:pos="1980"/>
              </w:tabs>
              <w:jc w:val="both"/>
              <w:rPr>
                <w:szCs w:val="24"/>
              </w:rPr>
            </w:pPr>
          </w:p>
        </w:tc>
        <w:tc>
          <w:tcPr>
            <w:tcW w:w="4003"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6A22D73C" w14:textId="77777777" w:rsidR="00437CAA" w:rsidRPr="00E87F90" w:rsidRDefault="00437CAA" w:rsidP="00BF1715">
            <w:pPr>
              <w:jc w:val="both"/>
              <w:rPr>
                <w:iCs/>
                <w:szCs w:val="24"/>
              </w:rPr>
            </w:pPr>
            <w:r w:rsidRPr="00E87F90">
              <w:rPr>
                <w:iCs/>
                <w:szCs w:val="24"/>
              </w:rPr>
              <w:t>Pateikiama su pasiūlymu: EBVPD</w:t>
            </w:r>
          </w:p>
          <w:p w14:paraId="55A7FBC7" w14:textId="77777777" w:rsidR="00437CAA" w:rsidRPr="00E87F90" w:rsidRDefault="00437CAA" w:rsidP="00BF1715">
            <w:pPr>
              <w:jc w:val="both"/>
              <w:rPr>
                <w:iCs/>
                <w:szCs w:val="24"/>
              </w:rPr>
            </w:pPr>
          </w:p>
          <w:p w14:paraId="2872D91C" w14:textId="77777777" w:rsidR="00437CAA" w:rsidRPr="00E87F90" w:rsidRDefault="00437CAA" w:rsidP="00BF1715">
            <w:pPr>
              <w:jc w:val="both"/>
              <w:rPr>
                <w:szCs w:val="24"/>
              </w:rPr>
            </w:pPr>
            <w:r w:rsidRPr="00E87F90">
              <w:rPr>
                <w:iCs/>
                <w:szCs w:val="24"/>
              </w:rPr>
              <w:t>Perkančiajai organizacijai atlikus EBVPD patikrinimo procedūrą, patikrinus pasiūlymus ir išrinkus galimą laimėtoją, tik jo yra prašomi dokumentai patvirtinantys atitiktį kvalifikaciniams reikalavimams:</w:t>
            </w:r>
          </w:p>
          <w:p w14:paraId="58FFDC84" w14:textId="77777777" w:rsidR="00437CAA" w:rsidRPr="00E87F90" w:rsidRDefault="00437CAA" w:rsidP="00BF1715">
            <w:pPr>
              <w:jc w:val="both"/>
              <w:rPr>
                <w:szCs w:val="24"/>
              </w:rPr>
            </w:pPr>
          </w:p>
          <w:p w14:paraId="6ABB8985" w14:textId="77777777" w:rsidR="00437CAA" w:rsidRPr="00E87F90" w:rsidRDefault="00437CAA" w:rsidP="00BF1715">
            <w:pPr>
              <w:jc w:val="both"/>
              <w:rPr>
                <w:szCs w:val="24"/>
              </w:rPr>
            </w:pPr>
            <w:r w:rsidRPr="00E87F90">
              <w:rPr>
                <w:szCs w:val="24"/>
              </w:rPr>
              <w:t>Pateikiamas siūlomų specialistų išsilavinimo, profesinės kvalifikacijos apibūdinimas apie kiekvieną siūlomą specialistą: tiekėjo vadovo patvirtintas už tiekėjo pasiūlymo vykdymą atsakingų specialistų sąrašas (kuriame būtų aiškiai nurodyta, kaip siūlomas konkretus ekspertas atitinka kiekvieną reikalavimą), jų gyvenimo aprašymai (CV), išsilavinimą, kvalifikaciją ir darbo patirtį įrodantys dokumentai.</w:t>
            </w:r>
          </w:p>
          <w:p w14:paraId="37979DCA" w14:textId="77777777" w:rsidR="00437CAA" w:rsidRPr="00E87F90" w:rsidRDefault="00437CAA" w:rsidP="00BF1715">
            <w:pPr>
              <w:jc w:val="both"/>
              <w:rPr>
                <w:szCs w:val="24"/>
              </w:rPr>
            </w:pPr>
          </w:p>
          <w:p w14:paraId="4E8D2C7E" w14:textId="77777777" w:rsidR="00437CAA" w:rsidRPr="00E87F90" w:rsidRDefault="00437CAA" w:rsidP="00BF1715">
            <w:pPr>
              <w:jc w:val="both"/>
              <w:rPr>
                <w:szCs w:val="24"/>
              </w:rPr>
            </w:pPr>
            <w:r w:rsidRPr="00E87F90">
              <w:rPr>
                <w:szCs w:val="24"/>
              </w:rPr>
              <w:t xml:space="preserve">Pažymėtina, jog pateikiama informacija turi būti išsami, kad perkančioji organizacija galėtų įsitikinti, jog tiekėjas atitinka visus keliamus reikalavimus. </w:t>
            </w:r>
          </w:p>
          <w:p w14:paraId="18F0BD03" w14:textId="77777777" w:rsidR="00437CAA" w:rsidRPr="00E87F90" w:rsidRDefault="00437CAA" w:rsidP="00BF1715">
            <w:pPr>
              <w:jc w:val="both"/>
              <w:rPr>
                <w:szCs w:val="24"/>
              </w:rPr>
            </w:pPr>
          </w:p>
          <w:p w14:paraId="668FCA65" w14:textId="77777777" w:rsidR="00437CAA" w:rsidRPr="00E87F90" w:rsidRDefault="00437CAA" w:rsidP="00BF1715">
            <w:pPr>
              <w:pStyle w:val="Point1"/>
              <w:spacing w:before="0" w:after="0"/>
              <w:ind w:left="0" w:firstLine="0"/>
            </w:pPr>
            <w:r w:rsidRPr="00E87F90">
              <w:t>Teikiant informaciją apie darbo patirtį, turi būti nurodyta:</w:t>
            </w:r>
          </w:p>
          <w:p w14:paraId="35546846" w14:textId="77777777" w:rsidR="00437CAA" w:rsidRPr="00E87F90" w:rsidRDefault="00437CAA" w:rsidP="00BF1715">
            <w:pPr>
              <w:pStyle w:val="Point1"/>
              <w:spacing w:before="0" w:after="0"/>
              <w:ind w:left="0" w:firstLine="0"/>
            </w:pPr>
            <w:r w:rsidRPr="00E87F90">
              <w:t>- darbo pobūdis, trumpas aprašymas;</w:t>
            </w:r>
          </w:p>
          <w:p w14:paraId="02310845" w14:textId="73EE1755" w:rsidR="00437CAA" w:rsidRPr="00E87F90" w:rsidRDefault="00437CAA" w:rsidP="00BF1715">
            <w:pPr>
              <w:pStyle w:val="Point1"/>
              <w:spacing w:before="0" w:after="0"/>
              <w:ind w:left="0" w:firstLine="0"/>
            </w:pPr>
            <w:r w:rsidRPr="00E87F90">
              <w:t>- dirbtas laikotarpis;</w:t>
            </w:r>
          </w:p>
          <w:p w14:paraId="2E16F371" w14:textId="77777777" w:rsidR="00437CAA" w:rsidRPr="00E87F90" w:rsidRDefault="00437CAA" w:rsidP="00BF1715">
            <w:pPr>
              <w:pStyle w:val="Point1"/>
              <w:spacing w:before="0" w:after="0"/>
              <w:ind w:left="0" w:firstLine="0"/>
            </w:pPr>
            <w:r w:rsidRPr="00E87F90">
              <w:t>- užsakovai/darbdaviai ir jų kontaktai.</w:t>
            </w:r>
          </w:p>
          <w:p w14:paraId="41860E9E" w14:textId="77777777" w:rsidR="00437CAA" w:rsidRPr="00E87F90" w:rsidRDefault="00437CAA" w:rsidP="00BF1715">
            <w:pPr>
              <w:jc w:val="both"/>
              <w:rPr>
                <w:szCs w:val="24"/>
              </w:rPr>
            </w:pPr>
          </w:p>
          <w:p w14:paraId="4EEBA8B3" w14:textId="680158DF" w:rsidR="00437CAA" w:rsidRPr="00E87F90" w:rsidRDefault="00437CAA" w:rsidP="00BF1715">
            <w:pPr>
              <w:jc w:val="both"/>
              <w:rPr>
                <w:szCs w:val="24"/>
              </w:rPr>
            </w:pPr>
            <w:r w:rsidRPr="00E87F90">
              <w:rPr>
                <w:szCs w:val="24"/>
              </w:rPr>
              <w:t xml:space="preserve">Pažymėtina, jog patirties terminas skaičiuojamas </w:t>
            </w:r>
            <w:r w:rsidR="00D71CD6" w:rsidRPr="00E87F90">
              <w:rPr>
                <w:szCs w:val="24"/>
              </w:rPr>
              <w:t>iki pasiūlymų pateikimo termino datos.</w:t>
            </w:r>
          </w:p>
          <w:p w14:paraId="478AA110" w14:textId="3AAF4FCB" w:rsidR="00D71CD6" w:rsidRPr="00E87F90" w:rsidRDefault="00D71CD6" w:rsidP="00BF1715">
            <w:pPr>
              <w:jc w:val="both"/>
              <w:rPr>
                <w:szCs w:val="24"/>
              </w:rPr>
            </w:pPr>
            <w:r w:rsidRPr="00E87F90">
              <w:rPr>
                <w:szCs w:val="24"/>
              </w:rPr>
              <w:lastRenderedPageBreak/>
              <w:t>Jei pirkimo sąlygose nurodyta, kad specialistas turi turėti ne mažesnę kaip pvz., 3 (trejų) metų patirtį, tai reiškia, kad specialistas privalo būti įgijęs tokią patirtį dienų tikslumu (t. y. turi būti įgijęs ne mažiau kaip 1095 dienų patirtį).</w:t>
            </w:r>
          </w:p>
          <w:p w14:paraId="41B3CB0C" w14:textId="77777777" w:rsidR="00437CAA" w:rsidRPr="00E87F90" w:rsidRDefault="00437CAA" w:rsidP="00BF1715">
            <w:pPr>
              <w:jc w:val="both"/>
              <w:rPr>
                <w:szCs w:val="24"/>
              </w:rPr>
            </w:pPr>
          </w:p>
          <w:p w14:paraId="2981540B" w14:textId="77777777" w:rsidR="00437CAA" w:rsidRPr="00E87F90" w:rsidRDefault="00437CAA" w:rsidP="00BF1715">
            <w:pPr>
              <w:jc w:val="both"/>
              <w:rPr>
                <w:rFonts w:eastAsia="Times New Roman"/>
                <w:bCs/>
                <w:szCs w:val="24"/>
              </w:rPr>
            </w:pPr>
            <w:r w:rsidRPr="00E87F90">
              <w:rPr>
                <w:rFonts w:eastAsia="Times New Roman"/>
                <w:bCs/>
                <w:szCs w:val="24"/>
              </w:rPr>
              <w:t>Turi būti pateiktas siūlomo specialisto pasirašytas sutikimas, kad, tiekėjui teikiant pasiūlymą pirkime, specialisto asmens duomenys būtų pateikti perkančiajai organizacijai.</w:t>
            </w:r>
          </w:p>
          <w:p w14:paraId="6181E4D0" w14:textId="77777777" w:rsidR="00437CAA" w:rsidRPr="00E87F90" w:rsidRDefault="00437CAA" w:rsidP="00BF1715">
            <w:pPr>
              <w:jc w:val="both"/>
              <w:rPr>
                <w:szCs w:val="24"/>
              </w:rPr>
            </w:pPr>
          </w:p>
          <w:p w14:paraId="4F33EFF4" w14:textId="77777777" w:rsidR="00437CAA" w:rsidRPr="00E87F90" w:rsidRDefault="00437CAA" w:rsidP="00BF1715">
            <w:pPr>
              <w:jc w:val="both"/>
              <w:rPr>
                <w:szCs w:val="24"/>
              </w:rPr>
            </w:pPr>
            <w:r w:rsidRPr="00E87F90">
              <w:rPr>
                <w:szCs w:val="24"/>
              </w:rPr>
              <w:t>Jei siūlomas specialistas nėra tiekėjo darbuotojas, o jį ketinama įdarbinti – turi būti pateiktas tai patvirtinantis ketinimų protokolas/preliminarioji sutartis ir toks asmuo privalo būti išviešinamas ne teikiant dokumentus pagal EBVPD, o kartu su pasiūlymu (teikiant pasiūlymą).</w:t>
            </w:r>
          </w:p>
          <w:p w14:paraId="16894F2A" w14:textId="77777777" w:rsidR="00437CAA" w:rsidRPr="00E87F90" w:rsidRDefault="00437CAA" w:rsidP="00BF1715">
            <w:pPr>
              <w:jc w:val="both"/>
              <w:rPr>
                <w:szCs w:val="24"/>
                <w:highlight w:val="yellow"/>
              </w:rPr>
            </w:pPr>
          </w:p>
          <w:p w14:paraId="6164BB61" w14:textId="77777777" w:rsidR="00D71CD6" w:rsidRPr="00E87F90" w:rsidRDefault="00D71CD6" w:rsidP="00BF1715">
            <w:pPr>
              <w:jc w:val="both"/>
              <w:rPr>
                <w:szCs w:val="24"/>
                <w:highlight w:val="yellow"/>
              </w:rPr>
            </w:pPr>
          </w:p>
          <w:p w14:paraId="374CD35A" w14:textId="77777777" w:rsidR="00D71CD6" w:rsidRPr="00E87F90" w:rsidRDefault="00D71CD6" w:rsidP="00D71CD6">
            <w:pPr>
              <w:shd w:val="clear" w:color="auto" w:fill="FFFFFF"/>
              <w:jc w:val="both"/>
              <w:rPr>
                <w:szCs w:val="24"/>
              </w:rPr>
            </w:pPr>
            <w:r w:rsidRPr="00E87F90">
              <w:rPr>
                <w:szCs w:val="24"/>
              </w:rPr>
              <w:t>Jeigu pasiūlymą teikia ūkio subjektų grupė – reikalavimą turi atitikti ūkio subjektų grupės nario (-ių) specialistai, atsižvelgiant į jų prisiimamus įsipareigojimus pirkimo sutarčiai vykdyti.</w:t>
            </w:r>
          </w:p>
          <w:p w14:paraId="1954EEDA" w14:textId="77777777" w:rsidR="00D71CD6" w:rsidRPr="00E87F90" w:rsidRDefault="00D71CD6" w:rsidP="00D71CD6">
            <w:pPr>
              <w:shd w:val="clear" w:color="auto" w:fill="FFFFFF"/>
              <w:jc w:val="both"/>
              <w:rPr>
                <w:szCs w:val="24"/>
              </w:rPr>
            </w:pPr>
            <w:r w:rsidRPr="00E87F90">
              <w:rPr>
                <w:szCs w:val="24"/>
              </w:rPr>
              <w:t>Tiekėjas gali remtis kitų ūkio subjektų pajėgumais tik tuo atveju, jeigu tie subjektai (jų darbuotojai) patys vykdys tą pirkimo sutarties dalį, kuriai reikia jų turimų pajėgumų.</w:t>
            </w:r>
          </w:p>
          <w:p w14:paraId="57BDAF24" w14:textId="6A5BDBC9" w:rsidR="00D71CD6" w:rsidRPr="00E87F90" w:rsidRDefault="00D71CD6" w:rsidP="00D71CD6">
            <w:pPr>
              <w:jc w:val="both"/>
              <w:rPr>
                <w:szCs w:val="24"/>
                <w:highlight w:val="yellow"/>
              </w:rPr>
            </w:pPr>
            <w:r w:rsidRPr="00E87F90">
              <w:rPr>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CAECAD6" w14:textId="77777777" w:rsidR="00437CAA" w:rsidRPr="00E87F90" w:rsidRDefault="00437CAA" w:rsidP="00BF1715">
            <w:pPr>
              <w:jc w:val="both"/>
              <w:rPr>
                <w:szCs w:val="24"/>
                <w:highlight w:val="yellow"/>
              </w:rPr>
            </w:pPr>
            <w:r w:rsidRPr="00E87F90">
              <w:rPr>
                <w:szCs w:val="24"/>
                <w:highlight w:val="yellow"/>
              </w:rPr>
              <w:softHyphen/>
            </w:r>
            <w:r w:rsidRPr="00E87F90">
              <w:rPr>
                <w:szCs w:val="24"/>
                <w:highlight w:val="yellow"/>
              </w:rPr>
              <w:softHyphen/>
            </w:r>
          </w:p>
        </w:tc>
      </w:tr>
      <w:tr w:rsidR="00437CAA" w:rsidRPr="00E87F90" w14:paraId="646CB94C" w14:textId="77777777" w:rsidTr="00BF1715">
        <w:tblPrEx>
          <w:tblLook w:val="04A0" w:firstRow="1" w:lastRow="0" w:firstColumn="1" w:lastColumn="0" w:noHBand="0" w:noVBand="1"/>
        </w:tblPrEx>
        <w:trPr>
          <w:gridAfter w:val="1"/>
          <w:wAfter w:w="46" w:type="dxa"/>
        </w:trPr>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E76DA" w14:textId="77777777" w:rsidR="00437CAA" w:rsidRPr="00E87F90" w:rsidRDefault="00437CAA" w:rsidP="00BF1715">
            <w:pPr>
              <w:jc w:val="center"/>
              <w:rPr>
                <w:szCs w:val="24"/>
                <w:highlight w:val="yellow"/>
              </w:rPr>
            </w:pPr>
            <w:r w:rsidRPr="00E87F90">
              <w:rPr>
                <w:szCs w:val="24"/>
              </w:rPr>
              <w:t>3.7.2.1.</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28833" w14:textId="77777777" w:rsidR="00437CAA" w:rsidRPr="00E87F90" w:rsidRDefault="00437CAA" w:rsidP="00BF1715">
            <w:pPr>
              <w:jc w:val="both"/>
              <w:rPr>
                <w:szCs w:val="24"/>
              </w:rPr>
            </w:pPr>
            <w:r w:rsidRPr="00E87F90">
              <w:rPr>
                <w:rStyle w:val="Grietas"/>
                <w:szCs w:val="24"/>
              </w:rPr>
              <w:t>Programinės įrangos ekspertas privalo turėti</w:t>
            </w:r>
            <w:r w:rsidRPr="00E87F90">
              <w:rPr>
                <w:szCs w:val="24"/>
              </w:rPr>
              <w:t xml:space="preserve"> :</w:t>
            </w:r>
          </w:p>
          <w:p w14:paraId="466FE1DF" w14:textId="77777777" w:rsidR="00437CAA" w:rsidRPr="00E87F90" w:rsidRDefault="00437CAA" w:rsidP="00BF1715">
            <w:pPr>
              <w:jc w:val="both"/>
              <w:rPr>
                <w:szCs w:val="24"/>
              </w:rPr>
            </w:pPr>
            <w:r w:rsidRPr="00E87F90">
              <w:rPr>
                <w:szCs w:val="24"/>
              </w:rPr>
              <w:t>a) aukštąjį universitetinį ar jam prilygintą informatikos arba informatikos inžinerijos krypčių išsilavinimą;</w:t>
            </w:r>
          </w:p>
          <w:p w14:paraId="4D38FD94" w14:textId="203BE718" w:rsidR="00437CAA" w:rsidRPr="00E87F90" w:rsidRDefault="00437CAA" w:rsidP="00BF1715">
            <w:pPr>
              <w:jc w:val="both"/>
              <w:rPr>
                <w:szCs w:val="24"/>
              </w:rPr>
            </w:pPr>
            <w:r w:rsidRPr="00E87F90">
              <w:rPr>
                <w:szCs w:val="24"/>
              </w:rPr>
              <w:t>b) ne mažesnę nei 3 metų darbo patirtį programinės įrangos, sukurtos  naudojant Borland duomenų bazių valdymo  arba lygiavertes technologijas, kūrimo ir (ar) modernizavimo projektuose (iki bandomosios eksploatacijos su realiais duomenimis)</w:t>
            </w:r>
            <w:r w:rsidR="00590DB2">
              <w:rPr>
                <w:szCs w:val="24"/>
              </w:rPr>
              <w:t xml:space="preserve"> ir (ar) sistemų palaikymo teikime</w:t>
            </w:r>
            <w:r w:rsidRPr="00E87F90">
              <w:rPr>
                <w:szCs w:val="24"/>
              </w:rPr>
              <w:t>.</w:t>
            </w:r>
          </w:p>
          <w:p w14:paraId="1E65013E" w14:textId="77777777" w:rsidR="00437CAA" w:rsidRPr="00E87F90" w:rsidRDefault="00437CAA" w:rsidP="00BF1715">
            <w:pPr>
              <w:jc w:val="both"/>
              <w:rPr>
                <w:szCs w:val="24"/>
                <w:highlight w:val="yellow"/>
              </w:rPr>
            </w:pPr>
          </w:p>
        </w:tc>
        <w:tc>
          <w:tcPr>
            <w:tcW w:w="4003" w:type="dxa"/>
            <w:gridSpan w:val="2"/>
            <w:vMerge/>
            <w:tcBorders>
              <w:left w:val="single" w:sz="4" w:space="0" w:color="000000"/>
              <w:right w:val="single" w:sz="4" w:space="0" w:color="000000"/>
            </w:tcBorders>
            <w:tcMar>
              <w:top w:w="0" w:type="dxa"/>
              <w:left w:w="108" w:type="dxa"/>
              <w:bottom w:w="0" w:type="dxa"/>
              <w:right w:w="108" w:type="dxa"/>
            </w:tcMar>
          </w:tcPr>
          <w:p w14:paraId="23ED5F46" w14:textId="77777777" w:rsidR="00437CAA" w:rsidRPr="00E87F90" w:rsidRDefault="00437CAA" w:rsidP="00BF1715">
            <w:pPr>
              <w:jc w:val="both"/>
              <w:rPr>
                <w:iCs/>
                <w:szCs w:val="24"/>
                <w:highlight w:val="yellow"/>
              </w:rPr>
            </w:pPr>
          </w:p>
        </w:tc>
      </w:tr>
      <w:tr w:rsidR="00437CAA" w:rsidRPr="00E87F90" w14:paraId="41FB2506" w14:textId="77777777" w:rsidTr="00BF1715">
        <w:tblPrEx>
          <w:tblLook w:val="04A0" w:firstRow="1" w:lastRow="0" w:firstColumn="1" w:lastColumn="0" w:noHBand="0" w:noVBand="1"/>
        </w:tblPrEx>
        <w:trPr>
          <w:gridAfter w:val="1"/>
          <w:wAfter w:w="46" w:type="dxa"/>
        </w:trPr>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D93A4" w14:textId="77777777" w:rsidR="00437CAA" w:rsidRPr="00E87F90" w:rsidRDefault="00437CAA" w:rsidP="00BF1715">
            <w:pPr>
              <w:jc w:val="center"/>
              <w:rPr>
                <w:szCs w:val="24"/>
                <w:highlight w:val="yellow"/>
              </w:rPr>
            </w:pPr>
            <w:r w:rsidRPr="00E87F90">
              <w:rPr>
                <w:szCs w:val="24"/>
              </w:rPr>
              <w:t>3.7.2.2.</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5DE29" w14:textId="77777777" w:rsidR="00437CAA" w:rsidRPr="00E87F90" w:rsidRDefault="00437CAA" w:rsidP="00BF1715">
            <w:pPr>
              <w:jc w:val="both"/>
              <w:rPr>
                <w:szCs w:val="24"/>
              </w:rPr>
            </w:pPr>
            <w:r w:rsidRPr="00E87F90">
              <w:rPr>
                <w:rStyle w:val="Grietas"/>
                <w:szCs w:val="24"/>
              </w:rPr>
              <w:t>Personalo ir darbo užmokesčio modulio sistemos konsultantas privalo turėti:</w:t>
            </w:r>
          </w:p>
          <w:p w14:paraId="4E888DBB" w14:textId="77777777" w:rsidR="00437CAA" w:rsidRPr="00E87F90" w:rsidRDefault="00437CAA" w:rsidP="00BF1715">
            <w:pPr>
              <w:jc w:val="both"/>
              <w:rPr>
                <w:szCs w:val="24"/>
              </w:rPr>
            </w:pPr>
            <w:r w:rsidRPr="00E87F90">
              <w:rPr>
                <w:szCs w:val="24"/>
              </w:rPr>
              <w:t>a) aukštąjį universitetinį arba jam prilygintą išsilavinimą fizinių ar technologinių mokslų studijų srityse;</w:t>
            </w:r>
          </w:p>
          <w:p w14:paraId="67B219AB" w14:textId="77777777" w:rsidR="00437CAA" w:rsidRPr="00E87F90" w:rsidRDefault="00437CAA" w:rsidP="00BF1715">
            <w:pPr>
              <w:tabs>
                <w:tab w:val="left" w:pos="1980"/>
              </w:tabs>
              <w:jc w:val="both"/>
              <w:rPr>
                <w:szCs w:val="24"/>
                <w:highlight w:val="yellow"/>
              </w:rPr>
            </w:pPr>
            <w:r w:rsidRPr="00E87F90">
              <w:rPr>
                <w:szCs w:val="24"/>
              </w:rPr>
              <w:t>b) ne mažesnę nei 2 metų darbo patirtį diegiant ir/ar palaikant/prižiūrint programinę įrangą, skirtą personalo ir darbo užmokesčio apskaitos duomenų tvarkymui.  </w:t>
            </w:r>
          </w:p>
        </w:tc>
        <w:tc>
          <w:tcPr>
            <w:tcW w:w="4003"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14:paraId="368FB40D" w14:textId="77777777" w:rsidR="00437CAA" w:rsidRPr="00E87F90" w:rsidRDefault="00437CAA" w:rsidP="00BF1715">
            <w:pPr>
              <w:jc w:val="both"/>
              <w:rPr>
                <w:iCs/>
                <w:szCs w:val="24"/>
                <w:highlight w:val="yellow"/>
              </w:rPr>
            </w:pPr>
          </w:p>
        </w:tc>
      </w:tr>
    </w:tbl>
    <w:p w14:paraId="6E1A81D4" w14:textId="77777777" w:rsidR="00EC2523" w:rsidRPr="00E87F90" w:rsidRDefault="00EC2523" w:rsidP="00975C9E">
      <w:pPr>
        <w:ind w:right="103"/>
        <w:jc w:val="both"/>
        <w:rPr>
          <w:bCs/>
          <w:szCs w:val="24"/>
        </w:rPr>
      </w:pPr>
    </w:p>
    <w:p w14:paraId="000DB8D7" w14:textId="1EC10CDB" w:rsidR="000F4B6E" w:rsidRPr="00E87F90" w:rsidRDefault="000F4B6E" w:rsidP="00975C9E">
      <w:pPr>
        <w:pStyle w:val="Sraopastraipa"/>
        <w:spacing w:after="0" w:line="240" w:lineRule="auto"/>
        <w:ind w:left="37" w:right="103"/>
        <w:jc w:val="both"/>
        <w:rPr>
          <w:szCs w:val="24"/>
        </w:rPr>
      </w:pPr>
    </w:p>
    <w:sectPr w:rsidR="000F4B6E" w:rsidRPr="00E87F90" w:rsidSect="00590DB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A6"/>
    <w:rsid w:val="00044947"/>
    <w:rsid w:val="00094F0D"/>
    <w:rsid w:val="000E5EA8"/>
    <w:rsid w:val="000F4B6E"/>
    <w:rsid w:val="00100D48"/>
    <w:rsid w:val="0027087A"/>
    <w:rsid w:val="00283786"/>
    <w:rsid w:val="0030436A"/>
    <w:rsid w:val="00397B2C"/>
    <w:rsid w:val="00432422"/>
    <w:rsid w:val="00437CAA"/>
    <w:rsid w:val="00590DB2"/>
    <w:rsid w:val="00592117"/>
    <w:rsid w:val="00596F42"/>
    <w:rsid w:val="00617915"/>
    <w:rsid w:val="006817F1"/>
    <w:rsid w:val="007819A6"/>
    <w:rsid w:val="007C50F5"/>
    <w:rsid w:val="00825E78"/>
    <w:rsid w:val="00975C9E"/>
    <w:rsid w:val="00AB1458"/>
    <w:rsid w:val="00AB1B51"/>
    <w:rsid w:val="00D71CD6"/>
    <w:rsid w:val="00E87F90"/>
    <w:rsid w:val="00EC25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EA1E"/>
  <w15:chartTrackingRefBased/>
  <w15:docId w15:val="{9C959894-84ED-4DE3-9F70-CD7F9AD9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37CAA"/>
    <w:pPr>
      <w:spacing w:after="0" w:line="240"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1">
    <w:name w:val="Point 1"/>
    <w:basedOn w:val="prastasis"/>
    <w:rsid w:val="00437CAA"/>
    <w:pPr>
      <w:spacing w:before="120" w:after="120"/>
      <w:ind w:left="1418" w:hanging="567"/>
      <w:jc w:val="both"/>
    </w:pPr>
    <w:rPr>
      <w:szCs w:val="24"/>
      <w:lang w:eastAsia="lt-LT"/>
    </w:rPr>
  </w:style>
  <w:style w:type="paragraph" w:customStyle="1" w:styleId="Pagrindinistekstas1">
    <w:name w:val="Pagrindinis tekstas1"/>
    <w:basedOn w:val="prastasis"/>
    <w:rsid w:val="00437CAA"/>
    <w:pPr>
      <w:suppressAutoHyphens/>
      <w:autoSpaceDN w:val="0"/>
      <w:spacing w:after="120" w:line="276" w:lineRule="auto"/>
    </w:pPr>
    <w:rPr>
      <w:lang w:val="en-US"/>
    </w:rPr>
  </w:style>
  <w:style w:type="character" w:styleId="Grietas">
    <w:name w:val="Strong"/>
    <w:basedOn w:val="Numatytasispastraiposriftas"/>
    <w:uiPriority w:val="22"/>
    <w:qFormat/>
    <w:rsid w:val="00437CAA"/>
    <w:rPr>
      <w:b/>
      <w:bC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EC2523"/>
    <w:rPr>
      <w:rFonts w:ascii="Times New Roman" w:eastAsia="Calibri" w:hAnsi="Times New Roman" w:cs="Times New Roman"/>
      <w:sz w:val="24"/>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Sąrašo pastraipa2"/>
    <w:basedOn w:val="prastasis"/>
    <w:link w:val="SraopastraipaDiagrama"/>
    <w:uiPriority w:val="34"/>
    <w:qFormat/>
    <w:rsid w:val="00EC2523"/>
    <w:pPr>
      <w:spacing w:after="200" w:line="276" w:lineRule="auto"/>
      <w:ind w:left="1296"/>
    </w:pPr>
    <w:rPr>
      <w:kern w:val="2"/>
      <w14:ligatures w14:val="standardContextual"/>
    </w:rPr>
  </w:style>
  <w:style w:type="character" w:styleId="Komentaronuoroda">
    <w:name w:val="annotation reference"/>
    <w:basedOn w:val="Numatytasispastraiposriftas"/>
    <w:uiPriority w:val="99"/>
    <w:semiHidden/>
    <w:unhideWhenUsed/>
    <w:rsid w:val="00EC2523"/>
    <w:rPr>
      <w:sz w:val="16"/>
      <w:szCs w:val="16"/>
    </w:rPr>
  </w:style>
  <w:style w:type="paragraph" w:styleId="Komentarotekstas">
    <w:name w:val="annotation text"/>
    <w:basedOn w:val="prastasis"/>
    <w:link w:val="KomentarotekstasDiagrama"/>
    <w:uiPriority w:val="99"/>
    <w:unhideWhenUsed/>
    <w:rsid w:val="00EC2523"/>
    <w:rPr>
      <w:sz w:val="20"/>
      <w:szCs w:val="20"/>
    </w:rPr>
  </w:style>
  <w:style w:type="character" w:customStyle="1" w:styleId="KomentarotekstasDiagrama">
    <w:name w:val="Komentaro tekstas Diagrama"/>
    <w:basedOn w:val="Numatytasispastraiposriftas"/>
    <w:link w:val="Komentarotekstas"/>
    <w:uiPriority w:val="99"/>
    <w:rsid w:val="00EC2523"/>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C2523"/>
    <w:rPr>
      <w:b/>
      <w:bCs/>
    </w:rPr>
  </w:style>
  <w:style w:type="character" w:customStyle="1" w:styleId="KomentarotemaDiagrama">
    <w:name w:val="Komentaro tema Diagrama"/>
    <w:basedOn w:val="KomentarotekstasDiagrama"/>
    <w:link w:val="Komentarotema"/>
    <w:uiPriority w:val="99"/>
    <w:semiHidden/>
    <w:rsid w:val="00EC2523"/>
    <w:rPr>
      <w:rFonts w:ascii="Times New Roman" w:eastAsia="Calibri" w:hAnsi="Times New Roman" w:cs="Times New Roman"/>
      <w:b/>
      <w:bCs/>
      <w:kern w:val="0"/>
      <w:sz w:val="20"/>
      <w:szCs w:val="20"/>
      <w14:ligatures w14:val="none"/>
    </w:rPr>
  </w:style>
  <w:style w:type="paragraph" w:styleId="Pataisymai">
    <w:name w:val="Revision"/>
    <w:hidden/>
    <w:uiPriority w:val="99"/>
    <w:semiHidden/>
    <w:rsid w:val="00397B2C"/>
    <w:pPr>
      <w:spacing w:after="0" w:line="240" w:lineRule="auto"/>
    </w:pPr>
    <w:rPr>
      <w:rFonts w:ascii="Times New Roman" w:eastAsia="Calibri" w:hAnsi="Times New Roman" w:cs="Times New Roman"/>
      <w:kern w:val="0"/>
      <w:sz w:val="24"/>
      <w14:ligatures w14:val="none"/>
    </w:rPr>
  </w:style>
  <w:style w:type="paragraph" w:styleId="prastasiniatinklio">
    <w:name w:val="Normal (Web)"/>
    <w:basedOn w:val="prastasis"/>
    <w:uiPriority w:val="99"/>
    <w:semiHidden/>
    <w:unhideWhenUsed/>
    <w:rsid w:val="00397B2C"/>
    <w:pPr>
      <w:spacing w:before="100" w:beforeAutospacing="1" w:after="100" w:afterAutospacing="1"/>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4195">
      <w:bodyDiv w:val="1"/>
      <w:marLeft w:val="0"/>
      <w:marRight w:val="0"/>
      <w:marTop w:val="0"/>
      <w:marBottom w:val="0"/>
      <w:divBdr>
        <w:top w:val="none" w:sz="0" w:space="0" w:color="auto"/>
        <w:left w:val="none" w:sz="0" w:space="0" w:color="auto"/>
        <w:bottom w:val="none" w:sz="0" w:space="0" w:color="auto"/>
        <w:right w:val="none" w:sz="0" w:space="0" w:color="auto"/>
      </w:divBdr>
    </w:div>
    <w:div w:id="1105855158">
      <w:bodyDiv w:val="1"/>
      <w:marLeft w:val="0"/>
      <w:marRight w:val="0"/>
      <w:marTop w:val="0"/>
      <w:marBottom w:val="0"/>
      <w:divBdr>
        <w:top w:val="none" w:sz="0" w:space="0" w:color="auto"/>
        <w:left w:val="none" w:sz="0" w:space="0" w:color="auto"/>
        <w:bottom w:val="none" w:sz="0" w:space="0" w:color="auto"/>
        <w:right w:val="none" w:sz="0" w:space="0" w:color="auto"/>
      </w:divBdr>
    </w:div>
    <w:div w:id="1487093666">
      <w:bodyDiv w:val="1"/>
      <w:marLeft w:val="0"/>
      <w:marRight w:val="0"/>
      <w:marTop w:val="0"/>
      <w:marBottom w:val="0"/>
      <w:divBdr>
        <w:top w:val="none" w:sz="0" w:space="0" w:color="auto"/>
        <w:left w:val="none" w:sz="0" w:space="0" w:color="auto"/>
        <w:bottom w:val="none" w:sz="0" w:space="0" w:color="auto"/>
        <w:right w:val="none" w:sz="0" w:space="0" w:color="auto"/>
      </w:divBdr>
    </w:div>
    <w:div w:id="1698851993">
      <w:bodyDiv w:val="1"/>
      <w:marLeft w:val="0"/>
      <w:marRight w:val="0"/>
      <w:marTop w:val="0"/>
      <w:marBottom w:val="0"/>
      <w:divBdr>
        <w:top w:val="none" w:sz="0" w:space="0" w:color="auto"/>
        <w:left w:val="none" w:sz="0" w:space="0" w:color="auto"/>
        <w:bottom w:val="none" w:sz="0" w:space="0" w:color="auto"/>
        <w:right w:val="none" w:sz="0" w:space="0" w:color="auto"/>
      </w:divBdr>
    </w:div>
    <w:div w:id="17940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02C08-D10D-4863-896E-7C6B4EF6B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985</Words>
  <Characters>5615</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Vita Puišienė</cp:lastModifiedBy>
  <cp:revision>4</cp:revision>
  <dcterms:created xsi:type="dcterms:W3CDTF">2026-05-14T11:48:00Z</dcterms:created>
  <dcterms:modified xsi:type="dcterms:W3CDTF">2026-05-14T12:06:00Z</dcterms:modified>
</cp:coreProperties>
</file>