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0F85" w14:textId="53D09AA7" w:rsidR="006D70B5" w:rsidRPr="00BD1D8D" w:rsidRDefault="006D70B5" w:rsidP="006D70B5">
      <w:pPr>
        <w:numPr>
          <w:ilvl w:val="0"/>
          <w:numId w:val="18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</w:pPr>
      <w:r w:rsidRPr="00BD1D8D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>PIRKIMO</w:t>
      </w:r>
      <w:r w:rsidR="00A9374B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 xml:space="preserve"> </w:t>
      </w:r>
      <w:r w:rsidRPr="00BD1D8D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>TIKSLAS</w:t>
      </w:r>
      <w:r w:rsidR="00A9374B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 xml:space="preserve"> </w:t>
      </w:r>
      <w:r w:rsidRPr="00BD1D8D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>IR</w:t>
      </w:r>
      <w:r w:rsidR="00A9374B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 xml:space="preserve"> </w:t>
      </w:r>
      <w:r w:rsidRPr="00BD1D8D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>APIMTIS</w:t>
      </w:r>
    </w:p>
    <w:p w14:paraId="777B0A26" w14:textId="77777777" w:rsidR="006D70B5" w:rsidRPr="00BD1D8D" w:rsidRDefault="006D70B5" w:rsidP="006D70B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 w:bidi="ar-SA"/>
        </w:rPr>
      </w:pPr>
    </w:p>
    <w:p w14:paraId="26CFBEC6" w14:textId="03E72303" w:rsidR="006D70B5" w:rsidRPr="00A9374B" w:rsidRDefault="00A9374B" w:rsidP="00E71A33">
      <w:pPr>
        <w:pStyle w:val="ListParagraph"/>
        <w:numPr>
          <w:ilvl w:val="2"/>
          <w:numId w:val="18"/>
        </w:numPr>
        <w:tabs>
          <w:tab w:val="left" w:pos="426"/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258459BC">
        <w:rPr>
          <w:rFonts w:ascii="Times New Roman" w:hAnsi="Times New Roman" w:cs="Times New Roman"/>
          <w:sz w:val="24"/>
          <w:szCs w:val="24"/>
          <w:lang w:val="lt-LT" w:eastAsia="lt-LT" w:bidi="ar-SA"/>
        </w:rPr>
        <w:t xml:space="preserve"> </w:t>
      </w:r>
      <w:r w:rsidR="006D70B5" w:rsidRPr="258459BC">
        <w:rPr>
          <w:rFonts w:ascii="Times New Roman" w:hAnsi="Times New Roman" w:cs="Times New Roman"/>
          <w:sz w:val="24"/>
          <w:szCs w:val="24"/>
          <w:lang w:val="lt-LT" w:eastAsia="lt-LT" w:bidi="ar-SA"/>
        </w:rPr>
        <w:t>Šio</w:t>
      </w:r>
      <w:r w:rsidRPr="258459BC">
        <w:rPr>
          <w:rFonts w:ascii="Times New Roman" w:hAnsi="Times New Roman" w:cs="Times New Roman"/>
          <w:sz w:val="24"/>
          <w:szCs w:val="24"/>
          <w:lang w:val="lt-LT" w:eastAsia="lt-LT" w:bidi="ar-SA"/>
        </w:rPr>
        <w:t xml:space="preserve"> </w:t>
      </w:r>
      <w:r w:rsidR="006D70B5" w:rsidRPr="258459BC">
        <w:rPr>
          <w:rFonts w:ascii="Times New Roman" w:hAnsi="Times New Roman" w:cs="Times New Roman"/>
          <w:sz w:val="24"/>
          <w:szCs w:val="24"/>
          <w:lang w:val="lt-LT" w:eastAsia="lt-LT" w:bidi="ar-SA"/>
        </w:rPr>
        <w:t>viešojo</w:t>
      </w:r>
      <w:r w:rsidRPr="258459BC">
        <w:rPr>
          <w:rFonts w:ascii="Times New Roman" w:hAnsi="Times New Roman" w:cs="Times New Roman"/>
          <w:sz w:val="24"/>
          <w:szCs w:val="24"/>
          <w:lang w:val="lt-LT" w:eastAsia="lt-LT" w:bidi="ar-SA"/>
        </w:rPr>
        <w:t xml:space="preserve"> </w:t>
      </w:r>
      <w:r w:rsidR="006D70B5" w:rsidRPr="258459BC">
        <w:rPr>
          <w:rFonts w:ascii="Times New Roman" w:hAnsi="Times New Roman" w:cs="Times New Roman"/>
          <w:sz w:val="24"/>
          <w:szCs w:val="24"/>
          <w:lang w:val="lt-LT" w:eastAsia="lt-LT" w:bidi="ar-SA"/>
        </w:rPr>
        <w:t>pirkimo</w:t>
      </w:r>
      <w:r w:rsidRPr="258459BC">
        <w:rPr>
          <w:rFonts w:ascii="Times New Roman" w:hAnsi="Times New Roman" w:cs="Times New Roman"/>
          <w:sz w:val="24"/>
          <w:szCs w:val="24"/>
          <w:lang w:val="lt-LT" w:eastAsia="lt-LT" w:bidi="ar-SA"/>
        </w:rPr>
        <w:t xml:space="preserve"> </w:t>
      </w:r>
      <w:r w:rsidR="006D70B5" w:rsidRPr="258459BC">
        <w:rPr>
          <w:rFonts w:ascii="Times New Roman" w:hAnsi="Times New Roman" w:cs="Times New Roman"/>
          <w:sz w:val="24"/>
          <w:szCs w:val="24"/>
          <w:lang w:val="lt-LT" w:eastAsia="lt-LT" w:bidi="ar-SA"/>
        </w:rPr>
        <w:t>tikslas</w:t>
      </w:r>
      <w:r w:rsidRPr="258459BC">
        <w:rPr>
          <w:rFonts w:ascii="Times New Roman" w:hAnsi="Times New Roman" w:cs="Times New Roman"/>
          <w:sz w:val="24"/>
          <w:szCs w:val="24"/>
          <w:lang w:val="lt-LT" w:eastAsia="lt-LT" w:bidi="ar-SA"/>
        </w:rPr>
        <w:t xml:space="preserve"> </w:t>
      </w:r>
      <w:r w:rsidR="006D70B5" w:rsidRPr="258459BC">
        <w:rPr>
          <w:rFonts w:ascii="Times New Roman" w:hAnsi="Times New Roman" w:cs="Times New Roman"/>
          <w:sz w:val="24"/>
          <w:szCs w:val="24"/>
          <w:lang w:val="lt-LT" w:eastAsia="lt-LT" w:bidi="ar-SA"/>
        </w:rPr>
        <w:t>–</w:t>
      </w:r>
      <w:r w:rsidRPr="258459BC">
        <w:rPr>
          <w:rFonts w:ascii="Times New Roman" w:hAnsi="Times New Roman" w:cs="Times New Roman"/>
          <w:sz w:val="24"/>
          <w:szCs w:val="24"/>
          <w:lang w:val="lt-LT" w:eastAsia="lt-LT" w:bidi="ar-SA"/>
        </w:rPr>
        <w:t xml:space="preserve"> </w:t>
      </w:r>
      <w:r w:rsidR="006D70B5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įsigyti</w:t>
      </w:r>
      <w:r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6D70B5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ir</w:t>
      </w:r>
      <w:r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6D70B5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įdiegti</w:t>
      </w:r>
      <w:r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6D70B5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papildom</w:t>
      </w:r>
      <w:r w:rsidR="005A1016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ą</w:t>
      </w:r>
      <w:r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CF18D5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įrangą</w:t>
      </w:r>
      <w:r w:rsidR="00ED53F4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, t.</w:t>
      </w:r>
      <w:r w:rsidR="008B7C34"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ED53F4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y.</w:t>
      </w:r>
      <w:r w:rsidR="008B7C34"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t</w:t>
      </w:r>
      <w:r w:rsidR="008B7C34" w:rsidRPr="258459BC">
        <w:rPr>
          <w:rFonts w:ascii="Times New Roman" w:hAnsi="Times New Roman" w:cs="Times New Roman"/>
          <w:sz w:val="24"/>
          <w:szCs w:val="24"/>
          <w:lang w:val="lt-LT" w:eastAsia="ar-SA"/>
        </w:rPr>
        <w:t>arnybines stotis, kuri reikalin</w:t>
      </w:r>
      <w:r w:rsidR="00A45AF5" w:rsidRPr="258459BC">
        <w:rPr>
          <w:rFonts w:ascii="Times New Roman" w:hAnsi="Times New Roman" w:cs="Times New Roman"/>
          <w:sz w:val="24"/>
          <w:szCs w:val="24"/>
          <w:lang w:val="lt-LT" w:eastAsia="ar-SA"/>
        </w:rPr>
        <w:t>ga</w:t>
      </w:r>
      <w:r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4C772A"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užtikrinti </w:t>
      </w:r>
      <w:r w:rsidR="00CF18D5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skaitmeninės</w:t>
      </w:r>
      <w:r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CF18D5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ambasados</w:t>
      </w:r>
      <w:r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CF18D5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plėtr</w:t>
      </w:r>
      <w:r w:rsidR="004C772A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ą</w:t>
      </w:r>
      <w:r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C2331A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Europos</w:t>
      </w:r>
      <w:r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75400020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S</w:t>
      </w:r>
      <w:r w:rsidR="00C2331A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ąjungos</w:t>
      </w:r>
      <w:r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C2331A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valstybėje</w:t>
      </w:r>
      <w:r w:rsidR="00CF3A13"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6D70B5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(toliau</w:t>
      </w:r>
      <w:r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CF3A13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–</w:t>
      </w:r>
      <w:r w:rsidRPr="258459BC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6D70B5" w:rsidRPr="258459BC">
        <w:rPr>
          <w:rFonts w:ascii="Times New Roman" w:hAnsi="Times New Roman" w:cs="Times New Roman"/>
          <w:sz w:val="24"/>
          <w:szCs w:val="24"/>
          <w:lang w:val="lt-LT" w:eastAsia="lt-LT"/>
        </w:rPr>
        <w:t>Įranga).</w:t>
      </w:r>
    </w:p>
    <w:p w14:paraId="68419BFA" w14:textId="1B48D7C7" w:rsidR="006D70B5" w:rsidRPr="00BD1D8D" w:rsidRDefault="006D70B5" w:rsidP="00E71A33">
      <w:pPr>
        <w:numPr>
          <w:ilvl w:val="0"/>
          <w:numId w:val="18"/>
        </w:numPr>
        <w:spacing w:before="240"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 w:bidi="ar-SA"/>
        </w:rPr>
      </w:pPr>
      <w:r w:rsidRPr="00BD1D8D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>BENDRIEJI</w:t>
      </w:r>
      <w:r w:rsidR="00A9374B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 xml:space="preserve"> </w:t>
      </w:r>
      <w:r w:rsidRPr="00BD1D8D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>REIKALAVIMAI</w:t>
      </w:r>
      <w:r w:rsidR="00A9374B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 xml:space="preserve"> </w:t>
      </w:r>
      <w:r w:rsidRPr="00BD1D8D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>SIŪLOMAI</w:t>
      </w:r>
      <w:r w:rsidR="00A9374B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 xml:space="preserve"> </w:t>
      </w:r>
      <w:r w:rsidRPr="00BD1D8D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>ĮRANGAI</w:t>
      </w:r>
      <w:r w:rsidR="00A9374B">
        <w:rPr>
          <w:rFonts w:ascii="Times New Roman" w:hAnsi="Times New Roman" w:cs="Times New Roman"/>
          <w:b/>
          <w:bCs/>
          <w:sz w:val="24"/>
          <w:szCs w:val="24"/>
          <w:lang w:val="lt-LT" w:bidi="ar-SA"/>
        </w:rPr>
        <w:t xml:space="preserve"> </w:t>
      </w:r>
    </w:p>
    <w:p w14:paraId="3809A8CD" w14:textId="77777777" w:rsidR="006D70B5" w:rsidRPr="00F9706B" w:rsidRDefault="006D70B5" w:rsidP="00E71A33">
      <w:pPr>
        <w:tabs>
          <w:tab w:val="left" w:pos="426"/>
        </w:tabs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bidi="ar-SA"/>
        </w:rPr>
      </w:pPr>
    </w:p>
    <w:p w14:paraId="659D9849" w14:textId="2248C039" w:rsidR="006D70B5" w:rsidRPr="00BD1D8D" w:rsidRDefault="006D70B5" w:rsidP="00E71A33">
      <w:pPr>
        <w:numPr>
          <w:ilvl w:val="1"/>
          <w:numId w:val="18"/>
        </w:numPr>
        <w:tabs>
          <w:tab w:val="left" w:pos="567"/>
          <w:tab w:val="left" w:pos="851"/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lt-LT" w:eastAsia="lt-LT" w:bidi="ar-SA"/>
        </w:rPr>
      </w:pPr>
      <w:r w:rsidRPr="00BD1D8D">
        <w:rPr>
          <w:rFonts w:ascii="Times New Roman" w:hAnsi="Times New Roman" w:cs="Times New Roman"/>
          <w:b/>
          <w:sz w:val="24"/>
          <w:szCs w:val="24"/>
          <w:lang w:val="lt-LT" w:eastAsia="lt-LT" w:bidi="ar-SA"/>
        </w:rPr>
        <w:t>Bendrieji</w:t>
      </w:r>
      <w:r w:rsidR="00A9374B">
        <w:rPr>
          <w:rFonts w:ascii="Times New Roman" w:hAnsi="Times New Roman" w:cs="Times New Roman"/>
          <w:b/>
          <w:sz w:val="24"/>
          <w:szCs w:val="24"/>
          <w:lang w:val="lt-LT" w:eastAsia="lt-LT" w:bidi="ar-SA"/>
        </w:rPr>
        <w:t xml:space="preserve"> </w:t>
      </w:r>
      <w:r w:rsidRPr="00BD1D8D">
        <w:rPr>
          <w:rFonts w:ascii="Times New Roman" w:hAnsi="Times New Roman" w:cs="Times New Roman"/>
          <w:b/>
          <w:sz w:val="24"/>
          <w:szCs w:val="24"/>
          <w:lang w:val="lt-LT" w:eastAsia="lt-LT" w:bidi="ar-SA"/>
        </w:rPr>
        <w:t>reikalavimai</w:t>
      </w:r>
      <w:r w:rsidR="00A9374B">
        <w:rPr>
          <w:rFonts w:ascii="Times New Roman" w:hAnsi="Times New Roman" w:cs="Times New Roman"/>
          <w:b/>
          <w:sz w:val="24"/>
          <w:szCs w:val="24"/>
          <w:lang w:val="lt-LT" w:eastAsia="lt-LT" w:bidi="ar-SA"/>
        </w:rPr>
        <w:t xml:space="preserve"> </w:t>
      </w:r>
      <w:r w:rsidRPr="00BD1D8D">
        <w:rPr>
          <w:rFonts w:ascii="Times New Roman" w:hAnsi="Times New Roman" w:cs="Times New Roman"/>
          <w:b/>
          <w:sz w:val="24"/>
          <w:szCs w:val="24"/>
          <w:lang w:val="lt-LT" w:eastAsia="lt-LT" w:bidi="ar-SA"/>
        </w:rPr>
        <w:t>siūlomai</w:t>
      </w:r>
      <w:r w:rsidR="00A9374B">
        <w:rPr>
          <w:rFonts w:ascii="Times New Roman" w:hAnsi="Times New Roman" w:cs="Times New Roman"/>
          <w:b/>
          <w:sz w:val="24"/>
          <w:szCs w:val="24"/>
          <w:lang w:val="lt-LT" w:eastAsia="lt-LT" w:bidi="ar-SA"/>
        </w:rPr>
        <w:t xml:space="preserve"> </w:t>
      </w:r>
      <w:r w:rsidRPr="00BD1D8D">
        <w:rPr>
          <w:rFonts w:ascii="Times New Roman" w:hAnsi="Times New Roman" w:cs="Times New Roman"/>
          <w:b/>
          <w:sz w:val="24"/>
          <w:szCs w:val="24"/>
          <w:lang w:val="lt-LT" w:eastAsia="lt-LT" w:bidi="ar-SA"/>
        </w:rPr>
        <w:t>įrangai:</w:t>
      </w:r>
    </w:p>
    <w:p w14:paraId="69E82439" w14:textId="5F172304" w:rsidR="006D70B5" w:rsidRPr="00BD1D8D" w:rsidRDefault="006D70B5" w:rsidP="00E71A33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eastAsiaTheme="minorEastAsia" w:hAnsi="Times New Roman" w:cs="Times New Roman"/>
          <w:kern w:val="12"/>
          <w:sz w:val="24"/>
          <w:szCs w:val="24"/>
          <w:lang w:val="lt-LT" w:eastAsia="ar-SA" w:bidi="ar-SA"/>
        </w:rPr>
      </w:pP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Į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bendrą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pasiūlymo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kainą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turi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būti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įtrauktos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visos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gamintojo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licencijos,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reikalingos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perkamos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Įrangos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reikalaujamoms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funkcijoms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vykdyti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ir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palaikyti.</w:t>
      </w:r>
    </w:p>
    <w:p w14:paraId="09C29AA4" w14:textId="041A8059" w:rsidR="006D70B5" w:rsidRPr="00BD1D8D" w:rsidRDefault="006D70B5" w:rsidP="00E71A33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Jei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licencija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pagal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gamintojo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taisykles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galioja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vienam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įrenginiui,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licencijų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reikia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pateikti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tiek,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kiek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reikalaujama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įrenginių.</w:t>
      </w:r>
    </w:p>
    <w:p w14:paraId="09B349B1" w14:textId="07010210" w:rsidR="006D70B5" w:rsidRPr="00BD1D8D" w:rsidRDefault="006D70B5" w:rsidP="00E71A33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BD1D8D">
        <w:rPr>
          <w:rFonts w:ascii="Times New Roman" w:hAnsi="Times New Roman" w:cs="Times New Roman"/>
          <w:sz w:val="24"/>
          <w:szCs w:val="24"/>
          <w:lang w:val="lt-LT"/>
        </w:rPr>
        <w:t>Jeigu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siūlomai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įrangai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taikomi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Komisijos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reglamento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(ES)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2019/424,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kuriuo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pagal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Europos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Parlamento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Tarybos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direktyvą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2009/125/EB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nustatomi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serveriams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duomenų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saugojimo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gaminiams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keliami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ekologinio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projektavimo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reikalavimai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iš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dalies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keičiamas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Komisijos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reglamentas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(ES)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Nr. 617/2013,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reikalavimai,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ji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turi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juos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atitikti.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Jeigu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reikalavimai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taikomi,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kartu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su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pasiūlymu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turi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būti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pateiktas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siūlomos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Įrangos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gamintojo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patvirtinimas,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siūloma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Įranga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atitinka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Komisijos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reglamento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(ES)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2019/424,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kuriuo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pagal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Europos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Parlamento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Tarybos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direktyvą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2009/125/EB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nustatomi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serveriams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duomenų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saugojimo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gaminiams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keliami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ekologinio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projektavimo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reikalavimai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iš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dalies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keičiamas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Komisijos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reglamentas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(ES)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617/2013,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reikalavimus. 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</w:p>
    <w:p w14:paraId="3E1EC30C" w14:textId="27E0E3EE" w:rsidR="006D70B5" w:rsidRPr="00BD1D8D" w:rsidRDefault="006D70B5" w:rsidP="00E71A33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Siūloma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įranga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turi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būti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pažymėta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CE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ženklu.</w:t>
      </w:r>
    </w:p>
    <w:p w14:paraId="3D2D8298" w14:textId="50731549" w:rsidR="006D70B5" w:rsidRPr="00BD1D8D" w:rsidRDefault="006D70B5" w:rsidP="00E71A33">
      <w:pPr>
        <w:numPr>
          <w:ilvl w:val="2"/>
          <w:numId w:val="18"/>
        </w:numPr>
        <w:tabs>
          <w:tab w:val="left" w:pos="1276"/>
          <w:tab w:val="left" w:pos="1701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Įrangos</w:t>
      </w:r>
      <w:r w:rsidR="00A9374B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 w:eastAsia="ar-SA" w:bidi="ar-SA"/>
        </w:rPr>
        <w:t>tiekėjas,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prieš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teikdamas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pasiūlymą,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turi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įvertinti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tai,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kad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įsigyta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Įranga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bus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naudojama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Valstybės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debesijos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paslaugų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teikimui,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todėl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pasiūlymą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turi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būti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įskaičiuotos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visos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būtinos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licencijos,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kurios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leistų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Perkančiajai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organizacijai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be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apribojimų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naudoti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Įrangą</w:t>
      </w:r>
      <w:r w:rsidR="00593FD0" w:rsidRPr="646F73AE">
        <w:rPr>
          <w:rFonts w:ascii="Times New Roman" w:hAnsi="Times New Roman" w:cs="Times New Roman"/>
          <w:sz w:val="24"/>
          <w:szCs w:val="24"/>
          <w:lang w:val="lt-LT" w:eastAsia="ar-SA" w:bidi="ar-SA"/>
        </w:rPr>
        <w:t>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teikiant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Valstybės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debesijos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paslaugas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kitoms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valstybės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įstaigoms,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įmonėms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bei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organizacijoms.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bookmarkStart w:id="0" w:name="_Hlk140044255"/>
    </w:p>
    <w:bookmarkEnd w:id="0"/>
    <w:p w14:paraId="37013C50" w14:textId="7427928B" w:rsidR="006D70B5" w:rsidRPr="00A2575E" w:rsidDel="008A4A6E" w:rsidRDefault="006E7A3A" w:rsidP="00A2575E">
      <w:pPr>
        <w:numPr>
          <w:ilvl w:val="2"/>
          <w:numId w:val="18"/>
        </w:numPr>
        <w:tabs>
          <w:tab w:val="left" w:pos="1276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Del="00196C19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Įrangos</w:t>
      </w:r>
      <w:r w:rsidDel="00A9374B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Pr="1D31A945" w:rsidDel="00196C19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tiekėjas</w:t>
      </w:r>
      <w:r w:rsidRPr="1D31A945" w:rsidDel="00A9374B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Pr="1D31A945" w:rsidDel="00196C19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įsipareigoja</w:t>
      </w:r>
      <w:r w:rsidRPr="1D31A945" w:rsidDel="00A9374B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31A0E96D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užsakytą</w:t>
      </w:r>
      <w:r w:rsidRPr="1D31A945" w:rsidDel="1FF555CA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3996E756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Į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ran</w:t>
      </w:r>
      <w:r w:rsidR="542C5438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g</w:t>
      </w:r>
      <w:r w:rsidR="22D660F8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ą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pristatyti,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sumontuoti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ir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įdiegti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ne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vėliau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kaip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per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Pr="1D31A945" w:rsidDel="00820FB2">
        <w:rPr>
          <w:rFonts w:ascii="Times New Roman" w:eastAsiaTheme="minorEastAsia" w:hAnsi="Times New Roman" w:cs="Times New Roman"/>
          <w:b/>
          <w:sz w:val="24"/>
          <w:szCs w:val="24"/>
          <w:lang w:val="lt-LT" w:eastAsia="ar-SA"/>
        </w:rPr>
        <w:t>4</w:t>
      </w:r>
      <w:r w:rsidRPr="1D31A945" w:rsidDel="00A9374B">
        <w:rPr>
          <w:rFonts w:ascii="Times New Roman" w:eastAsiaTheme="minorEastAsia" w:hAnsi="Times New Roman" w:cs="Times New Roman"/>
          <w:b/>
          <w:sz w:val="24"/>
          <w:szCs w:val="24"/>
          <w:lang w:val="lt-LT" w:eastAsia="ar-SA"/>
        </w:rPr>
        <w:t xml:space="preserve"> </w:t>
      </w:r>
      <w:r w:rsidRPr="1D31A945" w:rsidDel="00196C19">
        <w:rPr>
          <w:rFonts w:ascii="Times New Roman" w:eastAsiaTheme="minorEastAsia" w:hAnsi="Times New Roman" w:cs="Times New Roman"/>
          <w:b/>
          <w:sz w:val="24"/>
          <w:szCs w:val="24"/>
          <w:lang w:val="lt-LT" w:eastAsia="ar-SA"/>
        </w:rPr>
        <w:t>(</w:t>
      </w:r>
      <w:r w:rsidRPr="1D31A945" w:rsidDel="00F51B1F">
        <w:rPr>
          <w:rFonts w:ascii="Times New Roman" w:eastAsiaTheme="minorEastAsia" w:hAnsi="Times New Roman" w:cs="Times New Roman"/>
          <w:b/>
          <w:sz w:val="24"/>
          <w:szCs w:val="24"/>
          <w:lang w:val="lt-LT" w:eastAsia="ar-SA"/>
        </w:rPr>
        <w:t>keturis</w:t>
      </w:r>
      <w:r w:rsidRPr="1D31A945" w:rsidDel="00196C19">
        <w:rPr>
          <w:rFonts w:ascii="Times New Roman" w:eastAsiaTheme="minorEastAsia" w:hAnsi="Times New Roman" w:cs="Times New Roman"/>
          <w:b/>
          <w:sz w:val="24"/>
          <w:szCs w:val="24"/>
          <w:lang w:val="lt-LT" w:eastAsia="ar-SA"/>
        </w:rPr>
        <w:t>)</w:t>
      </w:r>
      <w:r w:rsidRPr="1D31A945" w:rsidDel="00A9374B">
        <w:rPr>
          <w:rFonts w:ascii="Times New Roman" w:eastAsiaTheme="minorEastAsia" w:hAnsi="Times New Roman" w:cs="Times New Roman"/>
          <w:b/>
          <w:sz w:val="24"/>
          <w:szCs w:val="24"/>
          <w:lang w:val="lt-LT" w:eastAsia="ar-SA"/>
        </w:rPr>
        <w:t xml:space="preserve"> </w:t>
      </w:r>
      <w:r w:rsidRPr="1D31A945" w:rsidDel="00196C19">
        <w:rPr>
          <w:rFonts w:ascii="Times New Roman" w:eastAsiaTheme="minorEastAsia" w:hAnsi="Times New Roman" w:cs="Times New Roman"/>
          <w:b/>
          <w:sz w:val="24"/>
          <w:szCs w:val="24"/>
          <w:lang w:val="lt-LT" w:eastAsia="ar-SA"/>
        </w:rPr>
        <w:t>mėnesius</w:t>
      </w:r>
      <w:r w:rsidRPr="1D31A945" w:rsidDel="00A9374B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00A2575E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nuo</w:t>
      </w:r>
      <w:r w:rsidR="00A9374B" w:rsidRPr="00A2575E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Pr="1D31A945" w:rsidDel="00196C19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s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utarties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įsigaliojimo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dienos.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Pristatymo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vieta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–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Europos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Sąjungos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valstybė</w:t>
      </w:r>
      <w:r w:rsidR="00A9374B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 xml:space="preserve"> </w:t>
      </w:r>
      <w:r w:rsidR="00196C19" w:rsidRPr="1D31A945">
        <w:rPr>
          <w:rFonts w:ascii="Times New Roman" w:eastAsiaTheme="minorEastAsia" w:hAnsi="Times New Roman" w:cs="Times New Roman"/>
          <w:sz w:val="24"/>
          <w:szCs w:val="24"/>
          <w:lang w:val="lt-LT" w:eastAsia="ar-SA"/>
        </w:rPr>
        <w:t>narė</w:t>
      </w:r>
      <w:r w:rsidR="5E11EB79" w:rsidRPr="00A2575E">
        <w:rPr>
          <w:rFonts w:ascii="Times New Roman" w:hAnsi="Times New Roman" w:cs="Times New Roman"/>
          <w:sz w:val="24"/>
          <w:szCs w:val="24"/>
          <w:lang w:val="lt-LT" w:eastAsia="ar-SA"/>
        </w:rPr>
        <w:t>.</w:t>
      </w:r>
    </w:p>
    <w:p w14:paraId="11CC224C" w14:textId="689C74DF" w:rsidR="006D70B5" w:rsidRPr="00A2575E" w:rsidDel="008A4A6E" w:rsidRDefault="68687551" w:rsidP="1D31A945">
      <w:pPr>
        <w:numPr>
          <w:ilvl w:val="2"/>
          <w:numId w:val="18"/>
        </w:numPr>
        <w:tabs>
          <w:tab w:val="left" w:pos="1276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17195BE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Įrangos užsakymas </w:t>
      </w:r>
      <w:r w:rsidR="00856882" w:rsidRPr="17195BE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su tiksliais įrangos kiekiais </w:t>
      </w:r>
      <w:r w:rsidRPr="17195BE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pateikiamas ne vėliau kaip per 5 (penkias) darbo dienas nuo Sutarties įsigaliojimo dienos.</w:t>
      </w:r>
    </w:p>
    <w:p w14:paraId="27C590E3" w14:textId="302CD7F5" w:rsidR="006D70B5" w:rsidRPr="00A2575E" w:rsidDel="008A4A6E" w:rsidRDefault="376E5495" w:rsidP="17195BE3">
      <w:pPr>
        <w:numPr>
          <w:ilvl w:val="2"/>
          <w:numId w:val="18"/>
        </w:numPr>
        <w:tabs>
          <w:tab w:val="left" w:pos="1276"/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17195BE3">
        <w:rPr>
          <w:rFonts w:ascii="Times New Roman" w:hAnsi="Times New Roman" w:cs="Times New Roman"/>
          <w:sz w:val="24"/>
          <w:szCs w:val="24"/>
          <w:lang w:val="lt-LT" w:eastAsia="ar-SA"/>
        </w:rPr>
        <w:t xml:space="preserve"> </w:t>
      </w:r>
      <w:r w:rsidR="566AC2A7" w:rsidRPr="17195BE3">
        <w:rPr>
          <w:rFonts w:ascii="Times New Roman" w:hAnsi="Times New Roman" w:cs="Times New Roman"/>
          <w:sz w:val="24"/>
          <w:szCs w:val="24"/>
          <w:lang w:val="lt-LT" w:eastAsia="ar-SA"/>
        </w:rPr>
        <w:t>Perkančioji organizacija</w:t>
      </w:r>
      <w:r w:rsidRPr="17195BE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įsipareigoja įsigyti ne mažiau kaip 2 (du) vnt. </w:t>
      </w:r>
      <w:r w:rsidR="5FAF7034" w:rsidRPr="17195BE3">
        <w:rPr>
          <w:rFonts w:ascii="Times New Roman" w:hAnsi="Times New Roman" w:cs="Times New Roman"/>
          <w:sz w:val="24"/>
          <w:szCs w:val="24"/>
          <w:lang w:val="lt-LT" w:eastAsia="ar-SA"/>
        </w:rPr>
        <w:t>Įrangos</w:t>
      </w:r>
      <w:r w:rsidRPr="17195BE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tačiau neįsipareigoja įsigyti maksimalaus nurodyto </w:t>
      </w:r>
      <w:r w:rsidR="56E694F7" w:rsidRPr="17195BE3">
        <w:rPr>
          <w:rFonts w:ascii="Times New Roman" w:hAnsi="Times New Roman" w:cs="Times New Roman"/>
          <w:sz w:val="24"/>
          <w:szCs w:val="24"/>
          <w:lang w:val="lt-LT" w:eastAsia="ar-SA"/>
        </w:rPr>
        <w:t>Įrangos</w:t>
      </w:r>
      <w:r w:rsidRPr="17195BE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kiekio.</w:t>
      </w:r>
      <w:r w:rsidR="572DC98E" w:rsidRPr="17195BE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3C3676D7" w14:textId="6EE07B8E" w:rsidR="126534F3" w:rsidRPr="00A2575E" w:rsidRDefault="268C569B" w:rsidP="00A2575E">
      <w:pPr>
        <w:numPr>
          <w:ilvl w:val="2"/>
          <w:numId w:val="18"/>
        </w:numPr>
        <w:tabs>
          <w:tab w:val="left" w:pos="1276"/>
          <w:tab w:val="left" w:pos="1701"/>
        </w:tabs>
        <w:spacing w:after="0" w:line="360" w:lineRule="auto"/>
        <w:ind w:left="0"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lt-LT" w:eastAsia="ar-SA" w:bidi="ar-SA"/>
        </w:rPr>
      </w:pPr>
      <w:r w:rsidRPr="1D31A945">
        <w:rPr>
          <w:rFonts w:ascii="Times New Roman" w:hAnsi="Times New Roman" w:cs="Times New Roman"/>
          <w:sz w:val="24"/>
          <w:szCs w:val="24"/>
          <w:lang w:val="lt-LT" w:eastAsia="ar-SA" w:bidi="ar-SA"/>
        </w:rPr>
        <w:t>Ti</w:t>
      </w:r>
      <w:r w:rsidR="007B0CEA" w:rsidRPr="1D31A945">
        <w:rPr>
          <w:rFonts w:ascii="Times New Roman" w:hAnsi="Times New Roman" w:cs="Times New Roman"/>
          <w:sz w:val="24"/>
          <w:szCs w:val="24"/>
          <w:lang w:val="lt-LT" w:eastAsia="ar-SA" w:bidi="ar-SA"/>
        </w:rPr>
        <w:t>ekėjui</w:t>
      </w:r>
      <w:r w:rsidR="628D956E" w:rsidRPr="1D31A945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</w:t>
      </w:r>
      <w:r w:rsidR="007B0CEA" w:rsidRPr="1D31A945">
        <w:rPr>
          <w:rFonts w:ascii="Times New Roman" w:hAnsi="Times New Roman" w:cs="Times New Roman"/>
          <w:sz w:val="24"/>
          <w:szCs w:val="24"/>
          <w:lang w:val="lt-LT" w:eastAsia="ar-SA" w:bidi="ar-SA"/>
        </w:rPr>
        <w:t>pristačius Techninėje specifikacijoje numatytą įrangą bei pilnai ją įdiegus</w:t>
      </w:r>
      <w:r w:rsidR="7181B6DD" w:rsidRPr="1D31A945">
        <w:rPr>
          <w:rFonts w:ascii="Times New Roman" w:hAnsi="Times New Roman" w:cs="Times New Roman"/>
          <w:sz w:val="24"/>
          <w:szCs w:val="24"/>
          <w:lang w:val="lt-LT" w:eastAsia="ar-SA" w:bidi="ar-SA"/>
        </w:rPr>
        <w:t>,</w:t>
      </w:r>
      <w:r w:rsidR="007B0CEA" w:rsidRPr="1D31A945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 bus pasirašomas priėmimo – perdavimo aktas.</w:t>
      </w:r>
    </w:p>
    <w:p w14:paraId="14601433" w14:textId="147074C3" w:rsidR="006D70B5" w:rsidRPr="00BD1D8D" w:rsidRDefault="006D70B5" w:rsidP="00A2575E">
      <w:pPr>
        <w:numPr>
          <w:ilvl w:val="2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 w:eastAsia="ar-SA" w:bidi="ar-SA"/>
        </w:rPr>
      </w:pP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lastRenderedPageBreak/>
        <w:t>Visą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siūlomą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techninę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ir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programinę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="00CD1997" w:rsidRPr="17195BE3">
        <w:rPr>
          <w:rFonts w:ascii="Times New Roman" w:hAnsi="Times New Roman" w:cs="Times New Roman"/>
          <w:sz w:val="24"/>
          <w:szCs w:val="24"/>
          <w:lang w:val="lt-LT" w:eastAsia="ar-SA" w:bidi="ar-SA"/>
        </w:rPr>
        <w:t>Į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rangą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="03126505" w:rsidRPr="17195BE3">
        <w:rPr>
          <w:rFonts w:ascii="Times New Roman" w:hAnsi="Times New Roman" w:cs="Times New Roman"/>
          <w:sz w:val="24"/>
          <w:szCs w:val="24"/>
          <w:lang w:val="lt-LT" w:eastAsia="ar-SA" w:bidi="ar-SA"/>
        </w:rPr>
        <w:t>T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iekėjas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privalo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užregistruoti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Perkančiosios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organizacijos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vardu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gamintojų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nustatyta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tvarka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="523B8AF1" w:rsidRPr="17195BE3">
        <w:rPr>
          <w:rFonts w:ascii="Times New Roman" w:hAnsi="Times New Roman" w:cs="Times New Roman"/>
          <w:sz w:val="24"/>
          <w:szCs w:val="24"/>
          <w:lang w:val="lt-LT" w:eastAsia="ar-SA" w:bidi="ar-SA"/>
        </w:rPr>
        <w:t>garantijos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teikimui,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o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registracijos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duomenis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perduoti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Perkančiajai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organizacijai.</w:t>
      </w:r>
    </w:p>
    <w:p w14:paraId="44F39CE7" w14:textId="47EACA10" w:rsidR="006D70B5" w:rsidRPr="00BD1D8D" w:rsidRDefault="006D70B5" w:rsidP="00E71A33">
      <w:pPr>
        <w:numPr>
          <w:ilvl w:val="2"/>
          <w:numId w:val="18"/>
        </w:numPr>
        <w:tabs>
          <w:tab w:val="left" w:pos="1560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</w:pP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Perkančiajai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organizacijai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turi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būti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užtikrinta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teisė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programinės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įrangos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nemokamus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atnaujinimus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ir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klaidų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taisymus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(</w:t>
      </w:r>
      <w:r w:rsidR="70A86D1C"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garantijos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laikotarpiu).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</w:p>
    <w:p w14:paraId="50D7227C" w14:textId="3D3991EC" w:rsidR="006D70B5" w:rsidRPr="00BD1D8D" w:rsidRDefault="006D70B5" w:rsidP="00A2575E">
      <w:pPr>
        <w:numPr>
          <w:ilvl w:val="2"/>
          <w:numId w:val="18"/>
        </w:numPr>
        <w:tabs>
          <w:tab w:val="left" w:pos="156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 w:eastAsia="ar-SA" w:bidi="ar-SA"/>
        </w:rPr>
      </w:pP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Visa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siūloma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Įranga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turi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būti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nauja,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nenaudota,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gamyklinėje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pakuotėje.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Pateikiama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="00CD1997" w:rsidRPr="646F73AE">
        <w:rPr>
          <w:rFonts w:ascii="Times New Roman" w:hAnsi="Times New Roman" w:cs="Times New Roman"/>
          <w:sz w:val="24"/>
          <w:szCs w:val="24"/>
          <w:lang w:val="lt-LT" w:eastAsia="ar-SA" w:bidi="ar-SA"/>
        </w:rPr>
        <w:t>Į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ranga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negali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būti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gamintojo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atnaujinta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(</w:t>
      </w:r>
      <w:proofErr w:type="spellStart"/>
      <w:r w:rsidR="00CD1997" w:rsidRPr="646F73AE">
        <w:rPr>
          <w:rFonts w:ascii="Times New Roman" w:hAnsi="Times New Roman" w:cs="Times New Roman"/>
          <w:sz w:val="24"/>
          <w:szCs w:val="24"/>
          <w:lang w:val="lt-LT" w:eastAsia="ar-SA" w:bidi="ar-SA"/>
        </w:rPr>
        <w:t>ang</w:t>
      </w:r>
      <w:proofErr w:type="spellEnd"/>
      <w:r w:rsidR="00CD1997" w:rsidRPr="646F73AE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.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„</w:t>
      </w:r>
      <w:proofErr w:type="spellStart"/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Refurbished</w:t>
      </w:r>
      <w:proofErr w:type="spellEnd"/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“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arba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„</w:t>
      </w:r>
      <w:proofErr w:type="spellStart"/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Remarked</w:t>
      </w:r>
      <w:proofErr w:type="spellEnd"/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“).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="00CD1997" w:rsidRPr="646F73AE">
        <w:rPr>
          <w:rFonts w:ascii="Times New Roman" w:hAnsi="Times New Roman" w:cs="Times New Roman"/>
          <w:sz w:val="24"/>
          <w:szCs w:val="24"/>
          <w:lang w:val="lt-LT" w:eastAsia="ar-SA" w:bidi="ar-SA"/>
        </w:rPr>
        <w:t>Įrangos t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iekėjas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="64BA9480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kartu su pasiūlymu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privalo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="2D992342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pateikti </w:t>
      </w:r>
      <w:r w:rsidR="1D39FEA7"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patvirtin</w:t>
      </w:r>
      <w:r w:rsidR="5701EB30" w:rsidRPr="646F73AE">
        <w:rPr>
          <w:rFonts w:ascii="Times New Roman" w:hAnsi="Times New Roman" w:cs="Times New Roman"/>
          <w:sz w:val="24"/>
          <w:szCs w:val="24"/>
          <w:lang w:val="lt-LT" w:eastAsia="ar-SA" w:bidi="ar-SA"/>
        </w:rPr>
        <w:t>imą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kad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Įrangos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gamintojas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nėra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paskelbęs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apie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siūlomos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įsigyti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įrangos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gamybos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arba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tobulinimo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nutraukimą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(pvz.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="000A1E86" w:rsidRPr="646F73AE">
        <w:rPr>
          <w:rFonts w:ascii="Times New Roman" w:hAnsi="Times New Roman" w:cs="Times New Roman"/>
          <w:sz w:val="24"/>
          <w:szCs w:val="24"/>
          <w:lang w:val="lt-LT" w:eastAsia="ar-SA" w:bidi="ar-SA"/>
        </w:rPr>
        <w:t xml:space="preserve">angl.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„</w:t>
      </w:r>
      <w:proofErr w:type="spellStart"/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End</w:t>
      </w:r>
      <w:proofErr w:type="spellEnd"/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proofErr w:type="spellStart"/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of</w:t>
      </w:r>
      <w:proofErr w:type="spellEnd"/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proofErr w:type="spellStart"/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life</w:t>
      </w:r>
      <w:proofErr w:type="spellEnd"/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proofErr w:type="spellStart"/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time</w:t>
      </w:r>
      <w:proofErr w:type="spellEnd"/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“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ar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„</w:t>
      </w:r>
      <w:proofErr w:type="spellStart"/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Discontinued</w:t>
      </w:r>
      <w:proofErr w:type="spellEnd"/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“).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</w:p>
    <w:p w14:paraId="4936D20D" w14:textId="004F6517" w:rsidR="006D70B5" w:rsidRPr="001C10AC" w:rsidRDefault="006D70B5" w:rsidP="00A2575E">
      <w:pPr>
        <w:numPr>
          <w:ilvl w:val="2"/>
          <w:numId w:val="18"/>
        </w:numPr>
        <w:tabs>
          <w:tab w:val="left" w:pos="1418"/>
        </w:tabs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 w:bidi="ar-SA"/>
        </w:rPr>
      </w:pP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Atitikimas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techninės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specifikacijos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reikalavimams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turi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būti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užtikrintas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esant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tokiai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pačiai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(vienodai)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siūlomos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Įrangos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konfigūracijai,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t.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y.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kiekvieno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konkretaus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punkto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iš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nurodytų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specifikacijoje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žemiau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atitikimas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negali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būti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užtikrintas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vertinant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skirtingas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įrangos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konfigūracijas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(dėl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ko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galimai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būtų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netenkinami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kitų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punktų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/>
        </w:rPr>
        <w:t>reikalavimai)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.</w:t>
      </w:r>
      <w:r w:rsidR="00A9374B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 xml:space="preserve"> </w:t>
      </w:r>
    </w:p>
    <w:p w14:paraId="57252AF1" w14:textId="59429E73" w:rsidR="006D70B5" w:rsidRPr="00BD1D8D" w:rsidRDefault="006D70B5" w:rsidP="00E71A33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 w:bidi="ar-SA"/>
        </w:rPr>
      </w:pPr>
      <w:r w:rsidRPr="00BD1D8D">
        <w:rPr>
          <w:rFonts w:ascii="Times New Roman" w:hAnsi="Times New Roman" w:cs="Times New Roman"/>
          <w:sz w:val="24"/>
          <w:szCs w:val="24"/>
          <w:lang w:val="lt-LT" w:bidi="ar-SA"/>
        </w:rPr>
        <w:t>Visi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funkciniai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reikalavimai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turi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būti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pagrįsti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tiksliomis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nuorodomis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gamintojo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internetiniame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puslapyje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esančią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informaciją,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nurodant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dokumentą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puslapio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numerį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bei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kartu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pateikiant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ekranvaizdžio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kopiją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(-</w:t>
      </w:r>
      <w:proofErr w:type="spellStart"/>
      <w:r w:rsidRPr="00BD1D8D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Pr="00BD1D8D">
        <w:rPr>
          <w:rFonts w:ascii="Times New Roman" w:hAnsi="Times New Roman" w:cs="Times New Roman"/>
          <w:sz w:val="24"/>
          <w:szCs w:val="24"/>
          <w:lang w:val="lt-LT"/>
        </w:rPr>
        <w:t>),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4799C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galėtų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matyti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visą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informaciją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taip,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lyg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būt</w:t>
      </w:r>
      <w:r w:rsidR="0074799C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atvėrę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gamintojo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puslapyje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prašomą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informaciją.</w:t>
      </w:r>
    </w:p>
    <w:p w14:paraId="47ED40CF" w14:textId="660E5D80" w:rsidR="006D70B5" w:rsidRPr="00BD1D8D" w:rsidRDefault="006D70B5" w:rsidP="00E71A33">
      <w:pPr>
        <w:numPr>
          <w:ilvl w:val="2"/>
          <w:numId w:val="18"/>
        </w:numPr>
        <w:suppressAutoHyphens/>
        <w:autoSpaceDN w:val="0"/>
        <w:spacing w:after="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D1D8D">
        <w:rPr>
          <w:rFonts w:ascii="Times New Roman" w:hAnsi="Times New Roman" w:cs="Times New Roman"/>
          <w:sz w:val="24"/>
          <w:szCs w:val="24"/>
          <w:lang w:val="lt-LT"/>
        </w:rPr>
        <w:t>Visi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našumo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reikalavimai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turi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būti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pagrįsti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gamintojo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technine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informacija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BD1D8D">
        <w:rPr>
          <w:rFonts w:ascii="Times New Roman" w:hAnsi="Times New Roman" w:cs="Times New Roman"/>
          <w:i/>
          <w:sz w:val="24"/>
          <w:szCs w:val="24"/>
          <w:lang w:val="lt-LT"/>
        </w:rPr>
        <w:t>angl.</w:t>
      </w:r>
      <w:r w:rsidR="00A9374B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i/>
          <w:sz w:val="24"/>
          <w:szCs w:val="24"/>
          <w:lang w:val="lt-LT"/>
        </w:rPr>
        <w:t>data</w:t>
      </w:r>
      <w:r w:rsidR="00A9374B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  <w:proofErr w:type="spellStart"/>
      <w:r w:rsidRPr="00BD1D8D">
        <w:rPr>
          <w:rFonts w:ascii="Times New Roman" w:hAnsi="Times New Roman" w:cs="Times New Roman"/>
          <w:i/>
          <w:sz w:val="24"/>
          <w:szCs w:val="24"/>
          <w:lang w:val="lt-LT"/>
        </w:rPr>
        <w:t>sheets</w:t>
      </w:r>
      <w:proofErr w:type="spellEnd"/>
      <w:r w:rsidRPr="00BD1D8D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arba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kitais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kern w:val="12"/>
          <w:sz w:val="24"/>
          <w:szCs w:val="24"/>
          <w:lang w:val="lt-LT" w:eastAsia="ar-SA" w:bidi="ar-SA"/>
        </w:rPr>
        <w:t>gamintojo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našumą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deklaruojančiais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dokumentais.</w:t>
      </w:r>
    </w:p>
    <w:p w14:paraId="73DC1632" w14:textId="264916D5" w:rsidR="006D70B5" w:rsidRPr="00BD1D8D" w:rsidRDefault="67B534F8" w:rsidP="00A2575E">
      <w:pPr>
        <w:numPr>
          <w:ilvl w:val="2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17195BE3">
        <w:rPr>
          <w:rFonts w:ascii="Times New Roman" w:hAnsi="Times New Roman" w:cs="Times New Roman"/>
          <w:sz w:val="24"/>
          <w:szCs w:val="24"/>
          <w:lang w:val="lt-LT"/>
        </w:rPr>
        <w:t>Ti</w:t>
      </w:r>
      <w:r w:rsidR="006D70B5" w:rsidRPr="17195BE3">
        <w:rPr>
          <w:rFonts w:ascii="Times New Roman" w:hAnsi="Times New Roman" w:cs="Times New Roman"/>
          <w:sz w:val="24"/>
          <w:szCs w:val="24"/>
          <w:lang w:val="lt-LT"/>
        </w:rPr>
        <w:t>ekėjas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turi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įvertinti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pasiūlymo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kainą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įtraukti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visas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medžiagas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darbus,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reikalingus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0F8E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rangos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tinkamam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sumontavimui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prijungimui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prie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elektros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bei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LAN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5D979A1A" w:rsidRPr="00A50C05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5D979A1A" w:rsidRPr="00A2575E">
        <w:rPr>
          <w:rFonts w:ascii="Times New Roman" w:eastAsia="Segoe UI" w:hAnsi="Times New Roman" w:cs="Times New Roman"/>
          <w:color w:val="242424"/>
          <w:sz w:val="24"/>
          <w:szCs w:val="24"/>
          <w:lang w:val="lt-LT"/>
        </w:rPr>
        <w:t xml:space="preserve">angl. </w:t>
      </w:r>
      <w:proofErr w:type="spellStart"/>
      <w:r w:rsidR="5D979A1A" w:rsidRPr="00A2575E">
        <w:rPr>
          <w:rFonts w:ascii="Times New Roman" w:eastAsia="Segoe UI" w:hAnsi="Times New Roman" w:cs="Times New Roman"/>
          <w:color w:val="242424"/>
          <w:sz w:val="24"/>
          <w:szCs w:val="24"/>
          <w:lang w:val="lt-LT"/>
        </w:rPr>
        <w:t>Local</w:t>
      </w:r>
      <w:proofErr w:type="spellEnd"/>
      <w:r w:rsidR="5D979A1A" w:rsidRPr="00A2575E">
        <w:rPr>
          <w:rFonts w:ascii="Times New Roman" w:eastAsia="Segoe UI" w:hAnsi="Times New Roman" w:cs="Times New Roman"/>
          <w:color w:val="242424"/>
          <w:sz w:val="24"/>
          <w:szCs w:val="24"/>
          <w:lang w:val="lt-LT"/>
        </w:rPr>
        <w:t xml:space="preserve"> </w:t>
      </w:r>
      <w:proofErr w:type="spellStart"/>
      <w:r w:rsidR="5D979A1A" w:rsidRPr="00A2575E">
        <w:rPr>
          <w:rFonts w:ascii="Times New Roman" w:eastAsia="Segoe UI" w:hAnsi="Times New Roman" w:cs="Times New Roman"/>
          <w:color w:val="242424"/>
          <w:sz w:val="24"/>
          <w:szCs w:val="24"/>
          <w:lang w:val="lt-LT"/>
        </w:rPr>
        <w:t>Area</w:t>
      </w:r>
      <w:proofErr w:type="spellEnd"/>
      <w:r w:rsidR="5D979A1A" w:rsidRPr="00A2575E">
        <w:rPr>
          <w:rFonts w:ascii="Times New Roman" w:eastAsia="Segoe UI" w:hAnsi="Times New Roman" w:cs="Times New Roman"/>
          <w:color w:val="242424"/>
          <w:sz w:val="24"/>
          <w:szCs w:val="24"/>
          <w:lang w:val="lt-LT"/>
        </w:rPr>
        <w:t xml:space="preserve"> Network)</w:t>
      </w:r>
      <w:r w:rsidR="147DA767" w:rsidRPr="00A50C0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6710C00D" w:rsidRPr="00A50C05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147DA767" w:rsidRPr="00A50C0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6710C00D" w:rsidRPr="00A50C05">
        <w:rPr>
          <w:rFonts w:ascii="Times New Roman" w:hAnsi="Times New Roman" w:cs="Times New Roman"/>
          <w:sz w:val="24"/>
          <w:szCs w:val="24"/>
          <w:lang w:val="lt-LT"/>
        </w:rPr>
        <w:t>SAN</w:t>
      </w:r>
      <w:r w:rsidR="4E45ABC7" w:rsidRPr="00A50C0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4E45ABC7" w:rsidRPr="00A2575E">
        <w:rPr>
          <w:rFonts w:ascii="Times New Roman" w:eastAsia="Segoe UI" w:hAnsi="Times New Roman" w:cs="Times New Roman"/>
          <w:color w:val="242424"/>
          <w:sz w:val="24"/>
          <w:szCs w:val="24"/>
          <w:lang w:val="lt-LT"/>
        </w:rPr>
        <w:t xml:space="preserve">(angl. </w:t>
      </w:r>
      <w:proofErr w:type="spellStart"/>
      <w:r w:rsidR="4E45ABC7" w:rsidRPr="00A2575E">
        <w:rPr>
          <w:rFonts w:ascii="Times New Roman" w:eastAsia="Segoe UI" w:hAnsi="Times New Roman" w:cs="Times New Roman"/>
          <w:color w:val="242424"/>
          <w:sz w:val="24"/>
          <w:szCs w:val="24"/>
          <w:lang w:val="lt-LT"/>
        </w:rPr>
        <w:t>Storage</w:t>
      </w:r>
      <w:proofErr w:type="spellEnd"/>
      <w:r w:rsidR="4E45ABC7" w:rsidRPr="00A2575E">
        <w:rPr>
          <w:rFonts w:ascii="Times New Roman" w:eastAsia="Segoe UI" w:hAnsi="Times New Roman" w:cs="Times New Roman"/>
          <w:color w:val="242424"/>
          <w:sz w:val="24"/>
          <w:szCs w:val="24"/>
          <w:lang w:val="lt-LT"/>
        </w:rPr>
        <w:t xml:space="preserve"> </w:t>
      </w:r>
      <w:proofErr w:type="spellStart"/>
      <w:r w:rsidR="4E45ABC7" w:rsidRPr="00A2575E">
        <w:rPr>
          <w:rFonts w:ascii="Times New Roman" w:eastAsia="Segoe UI" w:hAnsi="Times New Roman" w:cs="Times New Roman"/>
          <w:color w:val="242424"/>
          <w:sz w:val="24"/>
          <w:szCs w:val="24"/>
          <w:lang w:val="lt-LT"/>
        </w:rPr>
        <w:t>Area</w:t>
      </w:r>
      <w:proofErr w:type="spellEnd"/>
      <w:r w:rsidR="4E45ABC7" w:rsidRPr="00A2575E">
        <w:rPr>
          <w:rFonts w:ascii="Times New Roman" w:eastAsia="Segoe UI" w:hAnsi="Times New Roman" w:cs="Times New Roman"/>
          <w:color w:val="242424"/>
          <w:sz w:val="24"/>
          <w:szCs w:val="24"/>
          <w:lang w:val="lt-LT"/>
        </w:rPr>
        <w:t xml:space="preserve"> Network)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0B5" w:rsidRPr="00BD1D8D">
        <w:rPr>
          <w:rFonts w:ascii="Times New Roman" w:hAnsi="Times New Roman" w:cs="Times New Roman"/>
          <w:sz w:val="24"/>
          <w:szCs w:val="24"/>
          <w:lang w:val="lt-LT"/>
        </w:rPr>
        <w:t>tinklų.</w:t>
      </w:r>
    </w:p>
    <w:p w14:paraId="0FA36653" w14:textId="77777777" w:rsidR="006D70B5" w:rsidRPr="00BD1D8D" w:rsidRDefault="006D70B5" w:rsidP="00A2575E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  <w:kern w:val="12"/>
          <w:sz w:val="24"/>
          <w:szCs w:val="24"/>
          <w:lang w:val="lt-LT" w:eastAsia="ar-SA"/>
        </w:rPr>
      </w:pPr>
    </w:p>
    <w:p w14:paraId="0A99324E" w14:textId="17BCD60E" w:rsidR="006D70B5" w:rsidRPr="00BD1D8D" w:rsidRDefault="006D70B5" w:rsidP="00E71A33">
      <w:pPr>
        <w:pStyle w:val="ListParagraph"/>
        <w:numPr>
          <w:ilvl w:val="0"/>
          <w:numId w:val="18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D1D8D">
        <w:rPr>
          <w:rFonts w:ascii="Times New Roman" w:hAnsi="Times New Roman" w:cs="Times New Roman"/>
          <w:b/>
          <w:bCs/>
          <w:sz w:val="24"/>
          <w:szCs w:val="24"/>
          <w:lang w:val="lt-LT"/>
        </w:rPr>
        <w:t>SPECIALIEJI</w:t>
      </w:r>
      <w:r w:rsidR="00A9374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b/>
          <w:bCs/>
          <w:sz w:val="24"/>
          <w:szCs w:val="24"/>
          <w:lang w:val="lt-LT"/>
        </w:rPr>
        <w:t>REIKALAVIMAI</w:t>
      </w:r>
      <w:r w:rsidR="00A9374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b/>
          <w:bCs/>
          <w:sz w:val="24"/>
          <w:szCs w:val="24"/>
          <w:lang w:val="lt-LT"/>
        </w:rPr>
        <w:t>SIŪLOMAI</w:t>
      </w:r>
      <w:r w:rsidR="00A9374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b/>
          <w:bCs/>
          <w:sz w:val="24"/>
          <w:szCs w:val="24"/>
          <w:lang w:val="lt-LT"/>
        </w:rPr>
        <w:t>ĮRANGAI</w:t>
      </w:r>
    </w:p>
    <w:p w14:paraId="2DB5FA89" w14:textId="77777777" w:rsidR="00571FE1" w:rsidRPr="00BD1D8D" w:rsidRDefault="00571FE1" w:rsidP="00E71A33">
      <w:pPr>
        <w:pStyle w:val="ListParagraph"/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0F345E9" w14:textId="555B60C2" w:rsidR="00DF6032" w:rsidRPr="00BD1D8D" w:rsidRDefault="00DF6032" w:rsidP="00E71A33">
      <w:pPr>
        <w:pStyle w:val="ListParagraph"/>
        <w:numPr>
          <w:ilvl w:val="1"/>
          <w:numId w:val="18"/>
        </w:numPr>
        <w:suppressAutoHyphens/>
        <w:autoSpaceDN w:val="0"/>
        <w:spacing w:after="0" w:line="36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r w:rsidRPr="00BD1D8D">
        <w:rPr>
          <w:rFonts w:ascii="Times New Roman" w:hAnsi="Times New Roman" w:cs="Times New Roman"/>
          <w:sz w:val="24"/>
          <w:szCs w:val="24"/>
          <w:lang w:val="lt-LT" w:bidi="ar-SA"/>
        </w:rPr>
        <w:t>Specialieji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reikalavimai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pateikti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71FE1" w:rsidRPr="00BD1D8D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937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D1D8D">
        <w:rPr>
          <w:rFonts w:ascii="Times New Roman" w:hAnsi="Times New Roman" w:cs="Times New Roman"/>
          <w:sz w:val="24"/>
          <w:szCs w:val="24"/>
          <w:lang w:val="lt-LT"/>
        </w:rPr>
        <w:t>lentelėje.</w:t>
      </w:r>
    </w:p>
    <w:p w14:paraId="594F2472" w14:textId="704921D8" w:rsidR="000F6B83" w:rsidRDefault="12F93977" w:rsidP="1088C35C">
      <w:pPr>
        <w:pStyle w:val="Heading1"/>
        <w:numPr>
          <w:ilvl w:val="0"/>
          <w:numId w:val="0"/>
        </w:numPr>
        <w:jc w:val="both"/>
        <w:rPr>
          <w:rFonts w:ascii="Times New Roman" w:hAnsi="Times New Roman" w:cs="Times New Roman"/>
          <w:b/>
          <w:bCs/>
          <w:color w:val="auto"/>
          <w:kern w:val="12"/>
          <w:sz w:val="24"/>
          <w:szCs w:val="24"/>
          <w:lang w:val="lt-LT" w:eastAsia="ar-SA"/>
        </w:rPr>
      </w:pPr>
      <w:r w:rsidRPr="1088C35C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1</w:t>
      </w:r>
      <w:r w:rsidR="4BF3B621" w:rsidRPr="1088C35C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="2F2B4BEA" w:rsidRPr="1088C35C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Lentelė.</w:t>
      </w:r>
      <w:r w:rsidR="4BF3B621" w:rsidRPr="1088C35C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="7A3A2E4C" w:rsidRPr="000C57EA">
        <w:rPr>
          <w:rFonts w:ascii="Times New Roman" w:hAnsi="Times New Roman" w:cs="Times New Roman"/>
          <w:b/>
          <w:bCs/>
          <w:color w:val="auto"/>
          <w:kern w:val="12"/>
          <w:sz w:val="24"/>
          <w:szCs w:val="24"/>
          <w:lang w:val="lt-LT" w:eastAsia="ar-SA"/>
        </w:rPr>
        <w:t>Tarnybinė</w:t>
      </w:r>
      <w:r w:rsidR="4BF3B621">
        <w:rPr>
          <w:rFonts w:ascii="Times New Roman" w:hAnsi="Times New Roman" w:cs="Times New Roman"/>
          <w:b/>
          <w:bCs/>
          <w:color w:val="auto"/>
          <w:kern w:val="12"/>
          <w:sz w:val="24"/>
          <w:szCs w:val="24"/>
          <w:lang w:val="lt-LT" w:eastAsia="ar-SA"/>
        </w:rPr>
        <w:t xml:space="preserve"> </w:t>
      </w:r>
      <w:r w:rsidR="7A3A2E4C" w:rsidRPr="000C57EA">
        <w:rPr>
          <w:rFonts w:ascii="Times New Roman" w:hAnsi="Times New Roman" w:cs="Times New Roman"/>
          <w:b/>
          <w:bCs/>
          <w:color w:val="auto"/>
          <w:kern w:val="12"/>
          <w:sz w:val="24"/>
          <w:szCs w:val="24"/>
          <w:lang w:val="lt-LT" w:eastAsia="ar-SA"/>
        </w:rPr>
        <w:t>stotis</w:t>
      </w:r>
      <w:r w:rsidR="4BF3B621">
        <w:rPr>
          <w:rFonts w:ascii="Times New Roman" w:hAnsi="Times New Roman" w:cs="Times New Roman"/>
          <w:b/>
          <w:bCs/>
          <w:color w:val="auto"/>
          <w:kern w:val="12"/>
          <w:sz w:val="24"/>
          <w:szCs w:val="24"/>
          <w:lang w:val="lt-LT" w:eastAsia="ar-SA"/>
        </w:rPr>
        <w:t xml:space="preserve"> </w:t>
      </w:r>
      <w:r w:rsidR="7A3A2E4C" w:rsidRPr="000C57EA">
        <w:rPr>
          <w:rFonts w:ascii="Times New Roman" w:hAnsi="Times New Roman" w:cs="Times New Roman"/>
          <w:b/>
          <w:bCs/>
          <w:color w:val="auto"/>
          <w:kern w:val="12"/>
          <w:sz w:val="24"/>
          <w:szCs w:val="24"/>
          <w:lang w:val="lt-LT" w:eastAsia="ar-SA"/>
        </w:rPr>
        <w:t>–</w:t>
      </w:r>
      <w:r w:rsidR="5B19F1C3" w:rsidRPr="000C57EA">
        <w:rPr>
          <w:rFonts w:ascii="Times New Roman" w:hAnsi="Times New Roman" w:cs="Times New Roman"/>
          <w:b/>
          <w:bCs/>
          <w:color w:val="auto"/>
          <w:kern w:val="12"/>
          <w:sz w:val="24"/>
          <w:szCs w:val="24"/>
          <w:lang w:val="lt-LT" w:eastAsia="ar-SA"/>
        </w:rPr>
        <w:t xml:space="preserve"> maksimalus kiekis</w:t>
      </w:r>
      <w:r w:rsidR="4BF3B621">
        <w:rPr>
          <w:rFonts w:ascii="Times New Roman" w:hAnsi="Times New Roman" w:cs="Times New Roman"/>
          <w:b/>
          <w:bCs/>
          <w:color w:val="auto"/>
          <w:kern w:val="12"/>
          <w:sz w:val="24"/>
          <w:szCs w:val="24"/>
          <w:lang w:val="lt-LT" w:eastAsia="ar-SA"/>
        </w:rPr>
        <w:t xml:space="preserve"> </w:t>
      </w:r>
      <w:r w:rsidR="568160DC" w:rsidRPr="5B2D33CE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ar-SA"/>
        </w:rPr>
        <w:t>4</w:t>
      </w:r>
      <w:r w:rsidR="568160DC" w:rsidRPr="00A2575E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ar-SA"/>
        </w:rPr>
        <w:t xml:space="preserve"> </w:t>
      </w:r>
      <w:r w:rsidR="52A835D7" w:rsidRPr="00A2575E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ar-SA"/>
        </w:rPr>
        <w:t>(</w:t>
      </w:r>
      <w:r w:rsidR="568160DC" w:rsidRPr="5B2D33CE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ar-SA"/>
        </w:rPr>
        <w:t>keturi</w:t>
      </w:r>
      <w:r w:rsidR="52A835D7" w:rsidRPr="00A2575E">
        <w:rPr>
          <w:rFonts w:ascii="Times New Roman" w:hAnsi="Times New Roman" w:cs="Times New Roman"/>
          <w:b/>
          <w:bCs/>
          <w:color w:val="auto"/>
          <w:sz w:val="24"/>
          <w:szCs w:val="24"/>
          <w:lang w:val="lt-LT" w:eastAsia="ar-SA"/>
        </w:rPr>
        <w:t>)</w:t>
      </w:r>
      <w:r w:rsidR="4BF3B621" w:rsidRPr="00A2575E">
        <w:rPr>
          <w:rFonts w:ascii="Times New Roman" w:hAnsi="Times New Roman" w:cs="Times New Roman"/>
          <w:b/>
          <w:bCs/>
          <w:color w:val="auto"/>
          <w:kern w:val="12"/>
          <w:sz w:val="24"/>
          <w:szCs w:val="24"/>
          <w:lang w:val="lt-LT" w:eastAsia="ar-SA"/>
        </w:rPr>
        <w:t xml:space="preserve"> </w:t>
      </w:r>
      <w:r w:rsidR="7A3A2E4C" w:rsidRPr="000C57EA">
        <w:rPr>
          <w:rFonts w:ascii="Times New Roman" w:hAnsi="Times New Roman" w:cs="Times New Roman"/>
          <w:b/>
          <w:bCs/>
          <w:color w:val="auto"/>
          <w:kern w:val="12"/>
          <w:sz w:val="24"/>
          <w:szCs w:val="24"/>
          <w:lang w:val="lt-LT" w:eastAsia="ar-SA"/>
        </w:rPr>
        <w:t>vnt.</w:t>
      </w:r>
    </w:p>
    <w:p w14:paraId="79A46B55" w14:textId="77777777" w:rsidR="00A640BC" w:rsidRPr="00A2575E" w:rsidRDefault="00A640BC" w:rsidP="00A2575E">
      <w:pPr>
        <w:rPr>
          <w:lang w:val="lt-LT" w:eastAsia="ar-SA"/>
        </w:rPr>
      </w:pPr>
    </w:p>
    <w:tbl>
      <w:tblPr>
        <w:tblW w:w="10481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3686"/>
        <w:gridCol w:w="3534"/>
      </w:tblGrid>
      <w:tr w:rsidR="000C57EA" w:rsidRPr="000C57EA" w14:paraId="2C52F2FF" w14:textId="77777777" w:rsidTr="00A9374B">
        <w:trPr>
          <w:trHeight w:val="2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A188E" w14:textId="34877AE8" w:rsidR="000C57EA" w:rsidRPr="000C57EA" w:rsidRDefault="000C57EA" w:rsidP="00A25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  <w:r w:rsidR="00A640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CB65C" w14:textId="0271E20A" w:rsidR="000C57EA" w:rsidRPr="000C57EA" w:rsidRDefault="000C57EA" w:rsidP="00A25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Charakteristikos</w:t>
            </w:r>
            <w:r w:rsidR="00A937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CB8CC" w14:textId="01831122" w:rsidR="000C57EA" w:rsidRPr="000C57EA" w:rsidRDefault="000C57EA" w:rsidP="00A25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Reikalaujama</w:t>
            </w:r>
            <w:r w:rsidR="00A937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charakteristika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4E5A6" w14:textId="4424F0F7" w:rsidR="00A9374B" w:rsidRPr="00A9374B" w:rsidRDefault="00A9374B" w:rsidP="00A937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937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Siūloma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charakteristika</w:t>
            </w:r>
          </w:p>
          <w:p w14:paraId="376B0213" w14:textId="65C07628" w:rsidR="00A9374B" w:rsidRPr="00A9374B" w:rsidRDefault="00A9374B" w:rsidP="00A9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nuoroda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techninę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dokumentaciją,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nurodant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dokumento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puslapį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konkrečią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dokumente,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kurioje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reikalaujamos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charakteristikos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atitikimas*</w:t>
            </w:r>
          </w:p>
          <w:p w14:paraId="1F3B548B" w14:textId="47A4CDFA" w:rsidR="00A9374B" w:rsidRPr="00A9374B" w:rsidRDefault="00A9374B" w:rsidP="00A9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Pildo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</w:t>
            </w:r>
          </w:p>
          <w:p w14:paraId="024F03D7" w14:textId="433EC3D3" w:rsidR="000C57EA" w:rsidRPr="000C57EA" w:rsidRDefault="00A9374B" w:rsidP="00A93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*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Tiekėjai,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pildydami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lentelės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grafą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„Siūloma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charakteristika“,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turi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nurodyti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tikslų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siūlomos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prekės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parametrą.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Žodžiai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„Atitinka“/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„Taip“/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„Ne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mažiau“/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„Ne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daugiau“/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„Ne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blogiau“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neleidžiami.</w:t>
            </w:r>
          </w:p>
        </w:tc>
      </w:tr>
      <w:tr w:rsidR="000C57EA" w:rsidRPr="000C57EA" w14:paraId="13CE96A9" w14:textId="77777777" w:rsidTr="00A9374B">
        <w:trPr>
          <w:trHeight w:val="10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40FAB5" w14:textId="35B6D67E" w:rsidR="000C57EA" w:rsidRPr="000C57EA" w:rsidRDefault="00A9374B" w:rsidP="00A9374B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EA29C" w14:textId="32B3AB46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gamintojas,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modelis,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modifikacija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(jei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yra)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0FEA3" w14:textId="03532A0E" w:rsidR="000C57EA" w:rsidRPr="000C57EA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išvardinti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tarnybinių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stočių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komponentus,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kiekius,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modelius,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produktų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kodus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standartiškai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konfigūratoriuose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pateikiamą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informaciją.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55D07" w14:textId="77D3D61C" w:rsidR="000C57EA" w:rsidRPr="000C57EA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7EA" w:rsidRPr="000C57EA" w14:paraId="63E992A7" w14:textId="77777777" w:rsidTr="00A9374B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68C96" w14:textId="1DFE33E7" w:rsidR="000C57EA" w:rsidRPr="000C57EA" w:rsidRDefault="00A9374B" w:rsidP="00A9374B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C435E" w14:textId="607E78CE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stoties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našumas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11DC6" w14:textId="57ABBEAA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Našumas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mažesnis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380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vienetai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SPECrate2017_int_base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testą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mažesnis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540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vienetų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SPECrate2017_fp_base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testą.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Rezultatai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skelbiami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https://www.spec.org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puslapyje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pasiūlyme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kartu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pateikiant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ekranvaizdžio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kopiją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(-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proofErr w:type="spellEnd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Pateikiami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našumo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rezultatai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išmatuoti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bet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kurioje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aparatinėje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stoties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platformoje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naudojant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vienetus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procesorių.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030B7" w14:textId="0CA26732" w:rsidR="000C57EA" w:rsidRPr="00A2575E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0C57EA" w:rsidRPr="000C57EA" w14:paraId="1E358F75" w14:textId="77777777" w:rsidTr="00A9374B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BF706" w14:textId="1C1E07F1" w:rsidR="000C57EA" w:rsidRPr="00A2575E" w:rsidRDefault="00A9374B" w:rsidP="00A9374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0594C" w14:textId="34493A19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Procesorių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tipas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EBAAF" w14:textId="64A50880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branduolių,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x86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architektūros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procesorius,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palaikantis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64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bit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operacines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sistemas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taikomąsias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programas,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virtualizavimo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instrukcijas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aparatiniame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lygmenyje,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Hyper-Threading</w:t>
            </w:r>
            <w:proofErr w:type="spellEnd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lygiavertę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technologiją.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Pasiūlyme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procesoriaus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gamintoją,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procesoriaus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tipą,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pavadinimą,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dažnį,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spartinančiosios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atminties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dydį,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sisteminės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magistralės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dažnį.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CB201" w14:textId="0D0318CA" w:rsidR="000C57EA" w:rsidRPr="00A2575E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0C57EA" w:rsidRPr="000C57EA" w14:paraId="2AC569B3" w14:textId="77777777" w:rsidTr="00A9374B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D2CBC" w14:textId="409AB24C" w:rsidR="000C57EA" w:rsidRPr="00A2575E" w:rsidRDefault="00A9374B" w:rsidP="00A9374B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9E8BC" w14:textId="50EF558C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Procesorių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skaičius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2563A" w14:textId="10AC1180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2D86B" w14:textId="0137CE76" w:rsidR="000C57EA" w:rsidRPr="000C57EA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7EA" w:rsidRPr="000C57EA" w14:paraId="408D5224" w14:textId="77777777" w:rsidTr="00A9374B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4AFEC" w14:textId="4FADAFA0" w:rsidR="000C57EA" w:rsidRPr="000C57EA" w:rsidRDefault="00A9374B" w:rsidP="00A9374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8DDDE9" w14:textId="281AF48E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Operatyvioji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atmintis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6D9C9" w14:textId="6FF03505" w:rsidR="000C57EA" w:rsidRPr="000C57EA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70A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mažiau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</w:rPr>
              <w:t>DDR5-5600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palaikomos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advanced</w:t>
            </w:r>
            <w:proofErr w:type="spellEnd"/>
            <w:r w:rsid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ECC</w:t>
            </w:r>
            <w:r w:rsidR="00A937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lygiavertės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technologijos.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DB8F4" w14:textId="4967E0D1" w:rsidR="000C57EA" w:rsidRPr="000C57EA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7EA" w:rsidRPr="000C57EA" w14:paraId="630B7452" w14:textId="77777777" w:rsidTr="00A9374B">
        <w:trPr>
          <w:trHeight w:val="5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4FF54" w14:textId="797E6748" w:rsidR="000C57EA" w:rsidRPr="000C57EA" w:rsidRDefault="00A9374B" w:rsidP="00A9374B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40198" w14:textId="38885B95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Įdiegta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operatyvinė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atmintis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E1A62" w14:textId="42AA449D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mažiau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512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GB.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6E63D" w14:textId="26773C51" w:rsidR="000C57EA" w:rsidRPr="000C57EA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7EA" w:rsidRPr="000C57EA" w14:paraId="53A1FA92" w14:textId="77777777" w:rsidTr="00A9374B">
        <w:trPr>
          <w:trHeight w:val="9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A568A" w14:textId="224DA4CF" w:rsidR="000C57EA" w:rsidRPr="000C57EA" w:rsidRDefault="00A9374B" w:rsidP="00A9374B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6C36C" w14:textId="44A874EE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Kietųjų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diskų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RAID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valdiklis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3F787" w14:textId="53288371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Operacinei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skirtas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valdiklis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842F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mažiau kaip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M.2</w:t>
            </w:r>
            <w:r w:rsidR="000962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 mažiau kaip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480GB</w:t>
            </w:r>
            <w:r w:rsidR="00842F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talpos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„karšto“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(angl.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hot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swap</w:t>
            </w:r>
            <w:proofErr w:type="spellEnd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keitimo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NVMe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SSD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diskais,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apjungtais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RAID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BC218" w14:textId="43ED69A6" w:rsidR="000C57EA" w:rsidRPr="00A2575E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0C57EA" w:rsidRPr="000C57EA" w14:paraId="7750E6FF" w14:textId="77777777" w:rsidTr="00A9374B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68397" w14:textId="01D9DC71" w:rsidR="000C57EA" w:rsidRPr="00A2575E" w:rsidRDefault="00A9374B" w:rsidP="00A9374B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2F572" w14:textId="4698F20B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adapteris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EFC17" w14:textId="39F8C2A2" w:rsidR="000C57EA" w:rsidRPr="000C57EA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mažiau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GbE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sąsajų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palaikančių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žemiau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įvardintus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lygiaverčius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protokolus: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29EADA" w14:textId="72E867EB" w:rsidR="000C57EA" w:rsidRPr="000C57EA" w:rsidRDefault="000C57EA" w:rsidP="00A9374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RDMA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over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Converged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Ethernet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RoCE</w:t>
            </w:r>
            <w:proofErr w:type="spellEnd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);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2387A2" w14:textId="33B06E28" w:rsidR="000C57EA" w:rsidRPr="000C57EA" w:rsidRDefault="000C57EA" w:rsidP="00A9374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TCP/UDP,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VxLAN</w:t>
            </w:r>
            <w:proofErr w:type="spellEnd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NVGRE,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GENEVE;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1734E8" w14:textId="54D69D94" w:rsidR="000C57EA" w:rsidRPr="000C57EA" w:rsidRDefault="000C57EA" w:rsidP="00A9374B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iSER</w:t>
            </w:r>
            <w:proofErr w:type="spellEnd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NFS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over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RDMA,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SMB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Direct</w:t>
            </w:r>
            <w:proofErr w:type="spellEnd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558711" w14:textId="7BED8C32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Plokštės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subalansuotos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procesorių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atžvilgiu.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Komplektacijoje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pateikiami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SFP28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moduliai,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pritaikomi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numatomiems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optiniams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623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Multi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Mode</w:t>
            </w:r>
            <w:proofErr w:type="spellEnd"/>
            <w:r w:rsidR="008623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kabeliams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LC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tipo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jungtimis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reikiamo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ilgio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tipo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kabeliai,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prijungimui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tinklo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B6867" w14:textId="6CDAD8BC" w:rsidR="000C57EA" w:rsidRPr="00A2575E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</w:t>
            </w:r>
          </w:p>
        </w:tc>
      </w:tr>
      <w:tr w:rsidR="000C57EA" w:rsidRPr="000C57EA" w14:paraId="4C850A2B" w14:textId="77777777" w:rsidTr="00A9374B">
        <w:trPr>
          <w:trHeight w:val="8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AAB96" w14:textId="420D0D46" w:rsidR="000C57EA" w:rsidRPr="00A2575E" w:rsidRDefault="00A9374B" w:rsidP="00A9374B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58983" w14:textId="7BA9BC16" w:rsidR="000C57EA" w:rsidRPr="00A2575E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FC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adapteris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išorinei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saugyklai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prijungti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92F59" w14:textId="18BED67C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mažiau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Gbps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FC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sąsajų.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Komplektacijoje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pateikiami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SFP+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moduliai,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pritaikomi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numatomiems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optiniams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"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Multi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Mode</w:t>
            </w:r>
            <w:proofErr w:type="spellEnd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"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kabeliams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LC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tipo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jungtimis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reikiamo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ilgio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tipo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kabeliai,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prijungimui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tinklo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A2B1E" w14:textId="78BA4898" w:rsidR="000C57EA" w:rsidRPr="00A2575E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0C57EA" w:rsidRPr="000C57EA" w14:paraId="453D4F92" w14:textId="77777777" w:rsidTr="00A9374B">
        <w:trPr>
          <w:trHeight w:val="5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3FF85" w14:textId="4E67671F" w:rsidR="000C57EA" w:rsidRPr="00A2575E" w:rsidRDefault="00A9374B" w:rsidP="00A9374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E5A60" w14:textId="48E55497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Prievadai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DCC2B" w14:textId="1A016650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mažiau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RJ45,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skirtas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valdymui.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53E8FC7" w14:textId="71B87B82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mažiau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USB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3.0.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E6609" w14:textId="0A9CC6A9" w:rsidR="000C57EA" w:rsidRPr="00A2575E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</w:p>
        </w:tc>
      </w:tr>
      <w:tr w:rsidR="000C57EA" w:rsidRPr="000C57EA" w14:paraId="1351FF29" w14:textId="77777777" w:rsidTr="00A9374B">
        <w:trPr>
          <w:trHeight w:val="26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267E2" w14:textId="682557D5" w:rsidR="000C57EA" w:rsidRPr="00A2575E" w:rsidRDefault="00A9374B" w:rsidP="00A9374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82CC2" w14:textId="73AA3222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stoties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administravimo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sistema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9D849" w14:textId="38B7C5AC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Integruota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(neužimanti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PCI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lizdo),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nepriklausoma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operacinės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sistemos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valdymo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procesoriaus.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Privalomos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savybės: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virtuali,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nepriklausanti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26B33BD4" w:rsidRPr="17195B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operacinės 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sistemos,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nutolusi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tekstinė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grafinė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konsolė,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virtualus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maitinimo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įjungimas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išjungimas,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virtualus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CD-ROM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(galimybė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naudoti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nutolusio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kompiuterio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CD-ROM,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CD-</w:t>
            </w:r>
            <w:proofErr w:type="spellStart"/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image</w:t>
            </w:r>
            <w:proofErr w:type="spellEnd"/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USB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laikmeną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tarnybinės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stoties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įrenginius).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mažiau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negu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vartotojų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nuosavais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slaptažodžiais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palaikymas.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Centralizuoto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vartotojų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autentifikavimo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palaikymas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prasčiau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Windows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2022/2025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aktyvia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direktorija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tarpinių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serverių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agentų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valdymo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procesoriaus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pusėje,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palaikant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LDAP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protokolą.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blogesnis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128-bit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SSL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saugumas,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mažiau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viena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RJ-45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jungtis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įrenginio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gale,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skirta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valdymui.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Tarnybinės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stoties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valdymo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procesoriaus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nutolęs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valdymas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WEB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naršyklę,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neįdiegiant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papildomos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Nuotolinė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grafinė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konsolė,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virtualus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CD-ROM,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CD-</w:t>
            </w:r>
            <w:proofErr w:type="spellStart"/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image</w:t>
            </w:r>
            <w:proofErr w:type="spellEnd"/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USB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virtualaus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įrenginio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funkcionalumas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veikti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jokios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papildomos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įskiepių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(Java,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ActiveX</w:t>
            </w:r>
            <w:proofErr w:type="spellEnd"/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kt.)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diegimo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kliento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kompiuteryje,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naudojant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šiuolaikinę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HTML5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suderinamą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naršyklę.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Virtual</w:t>
            </w:r>
            <w:proofErr w:type="spellEnd"/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KVM</w:t>
            </w:r>
            <w:r w:rsidR="00175BC5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boot</w:t>
            </w:r>
            <w:proofErr w:type="spellEnd"/>
            <w:r w:rsidR="00175BC5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sesijos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įrašymo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rodymo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funkcionalumo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palaikymas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lygiavertis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funkcionalumas.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Sesijų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vaizdo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įrašymo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funkcionalumas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prieinamas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galutiniam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vartotojui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mokesčio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reikalingos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licencijos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įtrauktos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pasiūlymo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kainą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nurodytais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produktų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kodais.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Privaloma</w:t>
            </w:r>
            <w:r w:rsidR="147DA767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334E10C3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pasiūlyme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nurodyti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papildomų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licencijų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produktų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kodus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kainas.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Pasiūlymai,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kuriuose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licencijų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kodai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nenurodyti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gamintojas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jų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viešai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neteikia,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laikomi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neatitinkančiais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reikalavimų.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D4B18C7" w14:textId="151B4095" w:rsidR="000C57EA" w:rsidRPr="00A2575E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5023CDF" w14:textId="0DE70407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Aparatinės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dalies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temperatūros,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CPU,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operatyvinės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atminties,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vidinių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diskų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būklės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stebėjimas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automatinis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SNMP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pranešimų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siuntimas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administratoriui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gamintojo</w:t>
            </w:r>
            <w:r w:rsidR="00A9374B"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A4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servisui.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618CC" w14:textId="6E3B917A" w:rsidR="000C57EA" w:rsidRPr="00A2575E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</w:t>
            </w:r>
          </w:p>
        </w:tc>
      </w:tr>
      <w:tr w:rsidR="000C57EA" w:rsidRPr="000C57EA" w14:paraId="58D55DE8" w14:textId="77777777" w:rsidTr="00A9374B">
        <w:trPr>
          <w:trHeight w:val="2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69273" w14:textId="4E0BBDEE" w:rsidR="000C57EA" w:rsidRPr="00A2575E" w:rsidRDefault="00A9374B" w:rsidP="00A9374B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D155A" w14:textId="16B557EA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Aušinimo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ventiliatoriai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8F3CA" w14:textId="09268A7D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Pertekliniai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(dubliuoti),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karšto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keitimo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tipo.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D5AE8" w14:textId="39F81BCB" w:rsidR="000C57EA" w:rsidRPr="00A2575E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0C57EA" w:rsidRPr="000C57EA" w14:paraId="3D2C6A9A" w14:textId="77777777" w:rsidTr="00A2575E">
        <w:trPr>
          <w:trHeight w:val="5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06F37" w14:textId="375A7842" w:rsidR="000C57EA" w:rsidRPr="00A2575E" w:rsidRDefault="00A9374B" w:rsidP="00A9374B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753F8" w14:textId="47CF26E0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Maitinimo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šaltiniai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D1369" w14:textId="2AB14B2F" w:rsidR="000C57EA" w:rsidRPr="000C57EA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Dubliuoti,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karšto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keitimo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tipo,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pakankamos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maitinimo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šaltiniai,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pajėgiantys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pilnai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stoties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veikimą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sugedus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vienam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maitinimo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šaltiniui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esant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pilnai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stoties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komplektacijai,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naudojami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daugiausiai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naudojantys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stoties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komponentai.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FE4D1B" w14:textId="0FC747A0" w:rsidR="000C57EA" w:rsidRPr="000C57EA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prijungti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230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50Hz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kintamos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srovės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tinklo.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0D3DC" w14:textId="64B6013D" w:rsidR="000C57EA" w:rsidRPr="000C57EA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7EA" w:rsidRPr="000C57EA" w14:paraId="0A46661A" w14:textId="77777777" w:rsidTr="00A9374B">
        <w:trPr>
          <w:trHeight w:val="11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25AF4" w14:textId="6661E0AB" w:rsidR="000C57EA" w:rsidRPr="000C57EA" w:rsidRDefault="00A9374B" w:rsidP="00A9374B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827A5" w14:textId="79090299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Korpusas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5B917" w14:textId="407CC84D" w:rsidR="000C57EA" w:rsidRPr="000C57EA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daugiau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aukščio,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pritaikytas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montavimui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standartinę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colių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montavimui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spintą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slankiais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laikikliais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montavimui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reikalingais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priedais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(bėgiai,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tvirtinimo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elementai).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A5A28" w14:textId="6D0A9E15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Korpuso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priekyje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įmontuotas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tarnybinę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stotį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identifikuojantis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šviesinis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indikatorius.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tinkama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lygiavertį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funkcionalumą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užtikrinanti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reikalaujamai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identifikavimo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šviesinio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indikatoriaus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technologijai.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19037" w14:textId="274E4C8D" w:rsidR="000C57EA" w:rsidRPr="00A2575E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</w:t>
            </w:r>
          </w:p>
        </w:tc>
      </w:tr>
      <w:tr w:rsidR="000C57EA" w:rsidRPr="000C57EA" w14:paraId="76544791" w14:textId="77777777" w:rsidTr="00A9374B">
        <w:trPr>
          <w:trHeight w:val="16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797EF" w14:textId="5C0EE2B9" w:rsidR="000C57EA" w:rsidRPr="00A2575E" w:rsidRDefault="00A9374B" w:rsidP="00A9374B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C9746" w14:textId="56E80F26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Surinkimo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reikalavimai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41E0A" w14:textId="6921BEF7" w:rsidR="000C57EA" w:rsidRPr="000C57EA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Stotį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sudarantys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komponentai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(procesoriai,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atmintis,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valdikliai,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diskai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kt.)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suderinti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tarpusavyje,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pagaminti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kelių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gamintojų,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tačiau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3C75B3AF" w:rsidRPr="27D914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kartu su pasiūlymu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pateiktas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tarnybinės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stoties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patvirtinimas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komponentų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tarpusavio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suderinamumo.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135A8" w14:textId="7EFBB15E" w:rsidR="000C57EA" w:rsidRPr="000C57EA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57EA" w:rsidRPr="000C57EA" w14:paraId="2B76FC82" w14:textId="77777777" w:rsidTr="00A9374B">
        <w:trPr>
          <w:trHeight w:val="1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A8834" w14:textId="0F3531CA" w:rsidR="000C57EA" w:rsidRPr="000C57EA" w:rsidRDefault="00A9374B" w:rsidP="00A9374B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7F68D" w14:textId="10A9B3EE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Suderinamumas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operacinėmis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sistemomis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virtualizavimo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platformomis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9A59E3" w14:textId="0ADD8E67" w:rsidR="000C57EA" w:rsidRPr="000C57EA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Tarnybinė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sertifikuota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darbui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senesnėmis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šiomis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(arba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lygiavertėmis)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platformų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versijomis: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772B10" w14:textId="71F1DAE3" w:rsidR="000C57EA" w:rsidRPr="000C57EA" w:rsidRDefault="000C57EA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Windows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Server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2022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naujesnė;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BBD73C" w14:textId="074B1D5E" w:rsidR="000C57EA" w:rsidRPr="000C57EA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VMware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ESXi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8.x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naujesnė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palaikoma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versija;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15B5D2" w14:textId="68BBE8D5" w:rsidR="000C57EA" w:rsidRPr="000C57EA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Red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Hat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Enterprise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Linux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9.x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naujesnė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palaikoma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versija.</w:t>
            </w:r>
            <w:r w:rsidR="00A9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D08CB" w14:textId="2F45198D" w:rsidR="000C57EA" w:rsidRPr="000C57EA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374B" w:rsidRPr="000C57EA" w14:paraId="7FF0C9EC" w14:textId="77777777" w:rsidTr="00A9374B">
        <w:trPr>
          <w:trHeight w:val="12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1D9E0" w14:textId="44853F5A" w:rsidR="000C57EA" w:rsidRPr="000C57EA" w:rsidRDefault="00A9374B" w:rsidP="00A9374B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02743" w14:textId="0BDCB452" w:rsidR="000C57EA" w:rsidRPr="000C57EA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F1AB7" w14:textId="552AE1A1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Tarnybinėms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stotims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visiems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pateiktiems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techniniams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programiniams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komponentams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taikoma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mažiau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kaip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15C1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(penkių)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garantija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eksploatavimo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vietoje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Europos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7B74E092" w:rsidRPr="27D914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3CAD746C" w:rsidRPr="27D914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ąjungos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valstybėje.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39C8FB3F" w:rsidRPr="27D91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Garantinis terminas, skaičiuojamas nuo Prekių perdavimo–priėmimo akto pasirašymo dienos.</w:t>
            </w:r>
            <w:r w:rsidR="39C8FB3F" w:rsidRPr="27D914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147DA767" w:rsidRPr="27D914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Garantija ir su ja susijusios paslaugos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atliekama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paties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52E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rangos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arba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autorizuoto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aptarnavimo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atstovo.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69AD9189" w:rsidRPr="646F7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Garantinio termino laikotarpiu Tiekėjas, gavęs pranešimą apie Prekės trūkumus, turi reaguoti </w:t>
            </w:r>
            <w:r w:rsidR="69AD9189" w:rsidRPr="646F73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ne vėliau kaip</w:t>
            </w:r>
            <w:r w:rsidR="69AD9189" w:rsidRPr="646F7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 </w:t>
            </w:r>
            <w:r w:rsidR="69AD9189" w:rsidRPr="646F73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per 4 (keturias) valandas </w:t>
            </w:r>
            <w:r w:rsidR="69AD9189" w:rsidRPr="646F7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nuo pranešimo apie trūkumus Tiekėjui gavimo.</w:t>
            </w:r>
            <w:r w:rsidR="69AD9189" w:rsidRPr="646F73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D93D256" w:rsidRPr="27D914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Trūkumų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sprendimo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laikas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diena</w:t>
            </w:r>
            <w:r w:rsidR="00A52E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(angl.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Next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Business</w:t>
            </w:r>
            <w:proofErr w:type="spellEnd"/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Day</w:t>
            </w:r>
            <w:proofErr w:type="spellEnd"/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830D578" w14:textId="63E2C9A3" w:rsidR="000C57EA" w:rsidRPr="00A2575E" w:rsidRDefault="000C57EA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laikotarpio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metu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būsena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stebima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6A1C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Įrangos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tiekėjui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sukonfigūravus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stebėjimą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Perkančiosios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organizacijos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leidimą).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47A2126" w14:textId="71B81F1B" w:rsidR="000C57EA" w:rsidRPr="00A2575E" w:rsidRDefault="00A9374B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Garantijos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atliekami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remonto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nemokamai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keičiami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sugedę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komponentai.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Sugedus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diskams,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diskai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negrąžinami.</w:t>
            </w: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C56B6BA" w14:textId="09C88F37" w:rsidR="000C57EA" w:rsidRPr="00A2575E" w:rsidRDefault="3CAD746C" w:rsidP="00A257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27D914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</w:t>
            </w:r>
            <w:r w:rsidR="147DA767" w:rsidRPr="27D914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7D3E941B" w:rsidRPr="27D914D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kartu su </w:t>
            </w:r>
            <w:r w:rsidR="00BF762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nuorodą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internetinę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prieigą,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įgalina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naudojant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produkto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serijinį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numerį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patikrinti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suteiktą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gamintojo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garantiją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internetiniame</w:t>
            </w:r>
            <w:r w:rsidR="00A9374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57EA" w:rsidRPr="000C57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puslapyje.</w:t>
            </w:r>
            <w:r w:rsidR="00A9374B"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CC43A" w14:textId="29030E3B" w:rsidR="000C57EA" w:rsidRPr="00A2575E" w:rsidRDefault="00A9374B" w:rsidP="00A93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257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 </w:t>
            </w:r>
          </w:p>
        </w:tc>
      </w:tr>
    </w:tbl>
    <w:p w14:paraId="64FC8360" w14:textId="4E8AEC8B" w:rsidR="13BD7189" w:rsidRPr="00A2575E" w:rsidRDefault="13BD7189" w:rsidP="00571FE1">
      <w:pPr>
        <w:keepNext/>
        <w:keepLines/>
        <w:spacing w:before="240" w:after="0"/>
        <w:jc w:val="both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13BD7189" w:rsidRPr="00A2575E" w:rsidSect="00197DB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683B" w14:textId="77777777" w:rsidR="00F85581" w:rsidRDefault="00F85581">
      <w:pPr>
        <w:spacing w:after="0" w:line="240" w:lineRule="auto"/>
      </w:pPr>
      <w:r>
        <w:separator/>
      </w:r>
    </w:p>
  </w:endnote>
  <w:endnote w:type="continuationSeparator" w:id="0">
    <w:p w14:paraId="2BCF0F1D" w14:textId="77777777" w:rsidR="00F85581" w:rsidRDefault="00F85581">
      <w:pPr>
        <w:spacing w:after="0" w:line="240" w:lineRule="auto"/>
      </w:pPr>
      <w:r>
        <w:continuationSeparator/>
      </w:r>
    </w:p>
  </w:endnote>
  <w:endnote w:type="continuationNotice" w:id="1">
    <w:p w14:paraId="70837B88" w14:textId="77777777" w:rsidR="00F85581" w:rsidRDefault="00F85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CCEC" w14:textId="77777777" w:rsidR="00F85581" w:rsidRDefault="00F85581">
      <w:pPr>
        <w:spacing w:after="0" w:line="240" w:lineRule="auto"/>
      </w:pPr>
      <w:r>
        <w:separator/>
      </w:r>
    </w:p>
  </w:footnote>
  <w:footnote w:type="continuationSeparator" w:id="0">
    <w:p w14:paraId="04428DFD" w14:textId="77777777" w:rsidR="00F85581" w:rsidRDefault="00F85581">
      <w:pPr>
        <w:spacing w:after="0" w:line="240" w:lineRule="auto"/>
      </w:pPr>
      <w:r>
        <w:continuationSeparator/>
      </w:r>
    </w:p>
  </w:footnote>
  <w:footnote w:type="continuationNotice" w:id="1">
    <w:p w14:paraId="2F94A2A5" w14:textId="77777777" w:rsidR="00F85581" w:rsidRDefault="00F855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9C3"/>
    <w:multiLevelType w:val="hybridMultilevel"/>
    <w:tmpl w:val="61D8EFD6"/>
    <w:lvl w:ilvl="0" w:tplc="86446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0C8F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528D0"/>
    <w:multiLevelType w:val="multilevel"/>
    <w:tmpl w:val="B984AA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5301EC"/>
    <w:multiLevelType w:val="multilevel"/>
    <w:tmpl w:val="F32695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D0B7B"/>
    <w:multiLevelType w:val="multilevel"/>
    <w:tmpl w:val="5C6AD3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6069D"/>
    <w:multiLevelType w:val="multilevel"/>
    <w:tmpl w:val="DEC252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97C00"/>
    <w:multiLevelType w:val="multilevel"/>
    <w:tmpl w:val="D40C5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61406"/>
    <w:multiLevelType w:val="hybridMultilevel"/>
    <w:tmpl w:val="96E8C1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33072"/>
    <w:multiLevelType w:val="multilevel"/>
    <w:tmpl w:val="6158F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A7A51"/>
    <w:multiLevelType w:val="hybridMultilevel"/>
    <w:tmpl w:val="ABC892D0"/>
    <w:lvl w:ilvl="0" w:tplc="9BB04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41E4"/>
    <w:multiLevelType w:val="multilevel"/>
    <w:tmpl w:val="1B72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31468C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83630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217E9"/>
    <w:multiLevelType w:val="multilevel"/>
    <w:tmpl w:val="042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135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A3B5A9F"/>
    <w:multiLevelType w:val="multilevel"/>
    <w:tmpl w:val="3EE4F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AB52BFC"/>
    <w:multiLevelType w:val="multilevel"/>
    <w:tmpl w:val="3104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4208B6"/>
    <w:multiLevelType w:val="hybridMultilevel"/>
    <w:tmpl w:val="C3E4BE82"/>
    <w:lvl w:ilvl="0" w:tplc="A7EA6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F5967"/>
    <w:multiLevelType w:val="multilevel"/>
    <w:tmpl w:val="0E3EE66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4A4E0C"/>
    <w:multiLevelType w:val="hybridMultilevel"/>
    <w:tmpl w:val="2F66D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8741E"/>
    <w:multiLevelType w:val="multilevel"/>
    <w:tmpl w:val="CF64D6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EE137D"/>
    <w:multiLevelType w:val="hybridMultilevel"/>
    <w:tmpl w:val="979EF7E2"/>
    <w:lvl w:ilvl="0" w:tplc="481CD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904F0"/>
    <w:multiLevelType w:val="hybridMultilevel"/>
    <w:tmpl w:val="4CC47CEC"/>
    <w:lvl w:ilvl="0" w:tplc="73E69EA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762BF"/>
    <w:multiLevelType w:val="hybridMultilevel"/>
    <w:tmpl w:val="DCAA2A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D78BD"/>
    <w:multiLevelType w:val="hybridMultilevel"/>
    <w:tmpl w:val="CBE809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60F8"/>
    <w:multiLevelType w:val="hybridMultilevel"/>
    <w:tmpl w:val="FD1CC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B3907"/>
    <w:multiLevelType w:val="hybridMultilevel"/>
    <w:tmpl w:val="A1DE472A"/>
    <w:lvl w:ilvl="0" w:tplc="79948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D03C4"/>
    <w:multiLevelType w:val="multilevel"/>
    <w:tmpl w:val="2830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88717A4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46AC3"/>
    <w:multiLevelType w:val="hybridMultilevel"/>
    <w:tmpl w:val="26669002"/>
    <w:lvl w:ilvl="0" w:tplc="F5880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66B75"/>
    <w:multiLevelType w:val="multilevel"/>
    <w:tmpl w:val="811A5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8F5830"/>
    <w:multiLevelType w:val="multilevel"/>
    <w:tmpl w:val="2640C3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548F369F"/>
    <w:multiLevelType w:val="multilevel"/>
    <w:tmpl w:val="2640C3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2" w15:restartNumberingAfterBreak="0">
    <w:nsid w:val="5A5E1EE3"/>
    <w:multiLevelType w:val="multilevel"/>
    <w:tmpl w:val="1FB82DA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60D40"/>
    <w:multiLevelType w:val="multilevel"/>
    <w:tmpl w:val="0D4425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621AAB"/>
    <w:multiLevelType w:val="hybridMultilevel"/>
    <w:tmpl w:val="DCAA2A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3048C"/>
    <w:multiLevelType w:val="multilevel"/>
    <w:tmpl w:val="2640C3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6" w15:restartNumberingAfterBreak="0">
    <w:nsid w:val="621335D5"/>
    <w:multiLevelType w:val="multilevel"/>
    <w:tmpl w:val="EBC481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0A1E4C"/>
    <w:multiLevelType w:val="hybridMultilevel"/>
    <w:tmpl w:val="E9E20578"/>
    <w:lvl w:ilvl="0" w:tplc="04270013">
      <w:start w:val="1"/>
      <w:numFmt w:val="upperRoman"/>
      <w:lvlText w:val="%1."/>
      <w:lvlJc w:val="righ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0DD0FD6"/>
    <w:multiLevelType w:val="multilevel"/>
    <w:tmpl w:val="84C29E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077AF4"/>
    <w:multiLevelType w:val="hybridMultilevel"/>
    <w:tmpl w:val="3C94520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5C5DBC"/>
    <w:multiLevelType w:val="multilevel"/>
    <w:tmpl w:val="5C1AD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3023F2"/>
    <w:multiLevelType w:val="hybridMultilevel"/>
    <w:tmpl w:val="98AEB4B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D74FC"/>
    <w:multiLevelType w:val="multilevel"/>
    <w:tmpl w:val="8DD800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FD67A8"/>
    <w:multiLevelType w:val="multilevel"/>
    <w:tmpl w:val="B914E1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3008A7"/>
    <w:multiLevelType w:val="hybridMultilevel"/>
    <w:tmpl w:val="19CCE9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E4F61"/>
    <w:multiLevelType w:val="multilevel"/>
    <w:tmpl w:val="1D46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389610">
    <w:abstractNumId w:val="27"/>
  </w:num>
  <w:num w:numId="2" w16cid:durableId="1125738919">
    <w:abstractNumId w:val="12"/>
  </w:num>
  <w:num w:numId="3" w16cid:durableId="1148934352">
    <w:abstractNumId w:val="16"/>
  </w:num>
  <w:num w:numId="4" w16cid:durableId="1226988484">
    <w:abstractNumId w:val="13"/>
  </w:num>
  <w:num w:numId="5" w16cid:durableId="1490750487">
    <w:abstractNumId w:val="11"/>
  </w:num>
  <w:num w:numId="6" w16cid:durableId="1602029197">
    <w:abstractNumId w:val="41"/>
  </w:num>
  <w:num w:numId="7" w16cid:durableId="1619216374">
    <w:abstractNumId w:val="0"/>
  </w:num>
  <w:num w:numId="8" w16cid:durableId="1619406379">
    <w:abstractNumId w:val="7"/>
  </w:num>
  <w:num w:numId="9" w16cid:durableId="1644850679">
    <w:abstractNumId w:val="30"/>
  </w:num>
  <w:num w:numId="10" w16cid:durableId="1758865424">
    <w:abstractNumId w:val="18"/>
  </w:num>
  <w:num w:numId="11" w16cid:durableId="1795059394">
    <w:abstractNumId w:val="24"/>
  </w:num>
  <w:num w:numId="12" w16cid:durableId="1851214475">
    <w:abstractNumId w:val="44"/>
  </w:num>
  <w:num w:numId="13" w16cid:durableId="1886674640">
    <w:abstractNumId w:val="23"/>
  </w:num>
  <w:num w:numId="14" w16cid:durableId="1998608580">
    <w:abstractNumId w:val="39"/>
  </w:num>
  <w:num w:numId="15" w16cid:durableId="2029091292">
    <w:abstractNumId w:val="14"/>
  </w:num>
  <w:num w:numId="16" w16cid:durableId="230048393">
    <w:abstractNumId w:val="13"/>
  </w:num>
  <w:num w:numId="17" w16cid:durableId="237060284">
    <w:abstractNumId w:val="37"/>
  </w:num>
  <w:num w:numId="18" w16cid:durableId="308485874">
    <w:abstractNumId w:val="35"/>
  </w:num>
  <w:num w:numId="19" w16cid:durableId="399600922">
    <w:abstractNumId w:val="22"/>
  </w:num>
  <w:num w:numId="20" w16cid:durableId="447505743">
    <w:abstractNumId w:val="13"/>
  </w:num>
  <w:num w:numId="21" w16cid:durableId="481703766">
    <w:abstractNumId w:val="25"/>
  </w:num>
  <w:num w:numId="22" w16cid:durableId="568005628">
    <w:abstractNumId w:val="34"/>
  </w:num>
  <w:num w:numId="23" w16cid:durableId="580484679">
    <w:abstractNumId w:val="20"/>
  </w:num>
  <w:num w:numId="24" w16cid:durableId="641420722">
    <w:abstractNumId w:val="13"/>
  </w:num>
  <w:num w:numId="25" w16cid:durableId="663827031">
    <w:abstractNumId w:val="1"/>
  </w:num>
  <w:num w:numId="26" w16cid:durableId="789787542">
    <w:abstractNumId w:val="28"/>
  </w:num>
  <w:num w:numId="27" w16cid:durableId="802120014">
    <w:abstractNumId w:val="13"/>
  </w:num>
  <w:num w:numId="28" w16cid:durableId="804153250">
    <w:abstractNumId w:val="21"/>
  </w:num>
  <w:num w:numId="29" w16cid:durableId="924191971">
    <w:abstractNumId w:val="9"/>
  </w:num>
  <w:num w:numId="30" w16cid:durableId="942422111">
    <w:abstractNumId w:val="31"/>
  </w:num>
  <w:num w:numId="31" w16cid:durableId="444807879">
    <w:abstractNumId w:val="45"/>
  </w:num>
  <w:num w:numId="32" w16cid:durableId="1179468722">
    <w:abstractNumId w:val="8"/>
  </w:num>
  <w:num w:numId="33" w16cid:durableId="740954883">
    <w:abstractNumId w:val="29"/>
  </w:num>
  <w:num w:numId="34" w16cid:durableId="1985886039">
    <w:abstractNumId w:val="6"/>
  </w:num>
  <w:num w:numId="35" w16cid:durableId="339964891">
    <w:abstractNumId w:val="19"/>
  </w:num>
  <w:num w:numId="36" w16cid:durableId="1684937785">
    <w:abstractNumId w:val="40"/>
  </w:num>
  <w:num w:numId="37" w16cid:durableId="57091597">
    <w:abstractNumId w:val="36"/>
  </w:num>
  <w:num w:numId="38" w16cid:durableId="1021395139">
    <w:abstractNumId w:val="3"/>
  </w:num>
  <w:num w:numId="39" w16cid:durableId="1494762832">
    <w:abstractNumId w:val="15"/>
  </w:num>
  <w:num w:numId="40" w16cid:durableId="1164123742">
    <w:abstractNumId w:val="26"/>
  </w:num>
  <w:num w:numId="41" w16cid:durableId="972174936">
    <w:abstractNumId w:val="10"/>
  </w:num>
  <w:num w:numId="42" w16cid:durableId="1877769020">
    <w:abstractNumId w:val="2"/>
  </w:num>
  <w:num w:numId="43" w16cid:durableId="112798345">
    <w:abstractNumId w:val="4"/>
  </w:num>
  <w:num w:numId="44" w16cid:durableId="2016378500">
    <w:abstractNumId w:val="42"/>
  </w:num>
  <w:num w:numId="45" w16cid:durableId="1174034504">
    <w:abstractNumId w:val="33"/>
  </w:num>
  <w:num w:numId="46" w16cid:durableId="1865554284">
    <w:abstractNumId w:val="5"/>
  </w:num>
  <w:num w:numId="47" w16cid:durableId="834492571">
    <w:abstractNumId w:val="38"/>
  </w:num>
  <w:num w:numId="48" w16cid:durableId="365641470">
    <w:abstractNumId w:val="43"/>
  </w:num>
  <w:num w:numId="49" w16cid:durableId="1501580017">
    <w:abstractNumId w:val="32"/>
  </w:num>
  <w:num w:numId="50" w16cid:durableId="2890945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83"/>
    <w:rsid w:val="00001456"/>
    <w:rsid w:val="000019B0"/>
    <w:rsid w:val="00011958"/>
    <w:rsid w:val="00012F9E"/>
    <w:rsid w:val="0002129C"/>
    <w:rsid w:val="000235A3"/>
    <w:rsid w:val="000263CA"/>
    <w:rsid w:val="000309A3"/>
    <w:rsid w:val="00031346"/>
    <w:rsid w:val="00034D77"/>
    <w:rsid w:val="0004373A"/>
    <w:rsid w:val="00043788"/>
    <w:rsid w:val="000438DC"/>
    <w:rsid w:val="00043CEA"/>
    <w:rsid w:val="00045FB8"/>
    <w:rsid w:val="0005188D"/>
    <w:rsid w:val="00056363"/>
    <w:rsid w:val="00056431"/>
    <w:rsid w:val="00061634"/>
    <w:rsid w:val="00061B03"/>
    <w:rsid w:val="00066CCD"/>
    <w:rsid w:val="00075497"/>
    <w:rsid w:val="00076450"/>
    <w:rsid w:val="000776E6"/>
    <w:rsid w:val="00077AB5"/>
    <w:rsid w:val="00077F31"/>
    <w:rsid w:val="0008088D"/>
    <w:rsid w:val="00086A4B"/>
    <w:rsid w:val="00090BC6"/>
    <w:rsid w:val="00094C51"/>
    <w:rsid w:val="00096229"/>
    <w:rsid w:val="000A1E86"/>
    <w:rsid w:val="000A2D8C"/>
    <w:rsid w:val="000A34F0"/>
    <w:rsid w:val="000B28EE"/>
    <w:rsid w:val="000B28FE"/>
    <w:rsid w:val="000C57EA"/>
    <w:rsid w:val="000D165B"/>
    <w:rsid w:val="000D22E1"/>
    <w:rsid w:val="000D2B91"/>
    <w:rsid w:val="000E3A7B"/>
    <w:rsid w:val="000E4235"/>
    <w:rsid w:val="000E5135"/>
    <w:rsid w:val="000F0786"/>
    <w:rsid w:val="000F1CA4"/>
    <w:rsid w:val="000F2E06"/>
    <w:rsid w:val="000F32FB"/>
    <w:rsid w:val="000F4BEA"/>
    <w:rsid w:val="000F59E4"/>
    <w:rsid w:val="000F5EAB"/>
    <w:rsid w:val="000F6B83"/>
    <w:rsid w:val="000F6D9C"/>
    <w:rsid w:val="00100B67"/>
    <w:rsid w:val="001022CF"/>
    <w:rsid w:val="001037D7"/>
    <w:rsid w:val="0010385E"/>
    <w:rsid w:val="00104EEB"/>
    <w:rsid w:val="00105F31"/>
    <w:rsid w:val="00111B26"/>
    <w:rsid w:val="00116271"/>
    <w:rsid w:val="001205C6"/>
    <w:rsid w:val="001235A1"/>
    <w:rsid w:val="00127A06"/>
    <w:rsid w:val="0013396D"/>
    <w:rsid w:val="001433FD"/>
    <w:rsid w:val="00143AB2"/>
    <w:rsid w:val="0014540E"/>
    <w:rsid w:val="001477AF"/>
    <w:rsid w:val="00147A95"/>
    <w:rsid w:val="001516A9"/>
    <w:rsid w:val="00155017"/>
    <w:rsid w:val="00156681"/>
    <w:rsid w:val="001608E1"/>
    <w:rsid w:val="00162522"/>
    <w:rsid w:val="00162DB8"/>
    <w:rsid w:val="0016746A"/>
    <w:rsid w:val="00172341"/>
    <w:rsid w:val="00172499"/>
    <w:rsid w:val="00173C0A"/>
    <w:rsid w:val="00174F46"/>
    <w:rsid w:val="00175BC5"/>
    <w:rsid w:val="00176F92"/>
    <w:rsid w:val="00187F00"/>
    <w:rsid w:val="00191138"/>
    <w:rsid w:val="00194A3A"/>
    <w:rsid w:val="00196C19"/>
    <w:rsid w:val="00196D14"/>
    <w:rsid w:val="00197DBD"/>
    <w:rsid w:val="001A2C7E"/>
    <w:rsid w:val="001A40C2"/>
    <w:rsid w:val="001A5E88"/>
    <w:rsid w:val="001B03A6"/>
    <w:rsid w:val="001B0B13"/>
    <w:rsid w:val="001B0D62"/>
    <w:rsid w:val="001B1809"/>
    <w:rsid w:val="001B343A"/>
    <w:rsid w:val="001B3712"/>
    <w:rsid w:val="001B4A99"/>
    <w:rsid w:val="001B6C1D"/>
    <w:rsid w:val="001B740C"/>
    <w:rsid w:val="001C10AC"/>
    <w:rsid w:val="001C2BF2"/>
    <w:rsid w:val="001C5D0B"/>
    <w:rsid w:val="001D01C2"/>
    <w:rsid w:val="001D2EA8"/>
    <w:rsid w:val="001D3859"/>
    <w:rsid w:val="001D4309"/>
    <w:rsid w:val="001D66CC"/>
    <w:rsid w:val="001D72DA"/>
    <w:rsid w:val="001E0880"/>
    <w:rsid w:val="001E1CC4"/>
    <w:rsid w:val="001E3762"/>
    <w:rsid w:val="001E4EEB"/>
    <w:rsid w:val="001E702E"/>
    <w:rsid w:val="001E7AAB"/>
    <w:rsid w:val="001F2BE1"/>
    <w:rsid w:val="001F3BB5"/>
    <w:rsid w:val="001F584D"/>
    <w:rsid w:val="00204C68"/>
    <w:rsid w:val="00212405"/>
    <w:rsid w:val="00213081"/>
    <w:rsid w:val="002149B9"/>
    <w:rsid w:val="00215996"/>
    <w:rsid w:val="00215D3E"/>
    <w:rsid w:val="002220FE"/>
    <w:rsid w:val="0023310D"/>
    <w:rsid w:val="002336D1"/>
    <w:rsid w:val="0024416F"/>
    <w:rsid w:val="00251DEB"/>
    <w:rsid w:val="00254227"/>
    <w:rsid w:val="002547C8"/>
    <w:rsid w:val="00260C25"/>
    <w:rsid w:val="002619F2"/>
    <w:rsid w:val="00261EFB"/>
    <w:rsid w:val="00261FC5"/>
    <w:rsid w:val="0026232D"/>
    <w:rsid w:val="00262423"/>
    <w:rsid w:val="002643E3"/>
    <w:rsid w:val="00265702"/>
    <w:rsid w:val="00265983"/>
    <w:rsid w:val="00265D2F"/>
    <w:rsid w:val="00266611"/>
    <w:rsid w:val="00267B72"/>
    <w:rsid w:val="00270FB2"/>
    <w:rsid w:val="00273981"/>
    <w:rsid w:val="00273A5E"/>
    <w:rsid w:val="00275BDB"/>
    <w:rsid w:val="00275DC0"/>
    <w:rsid w:val="0028238C"/>
    <w:rsid w:val="0028344A"/>
    <w:rsid w:val="0028423E"/>
    <w:rsid w:val="002867BE"/>
    <w:rsid w:val="00287A37"/>
    <w:rsid w:val="00290499"/>
    <w:rsid w:val="002937E9"/>
    <w:rsid w:val="00294A99"/>
    <w:rsid w:val="002A6195"/>
    <w:rsid w:val="002B2EE2"/>
    <w:rsid w:val="002C394B"/>
    <w:rsid w:val="002D2232"/>
    <w:rsid w:val="002D2317"/>
    <w:rsid w:val="002D3E5F"/>
    <w:rsid w:val="002D49EB"/>
    <w:rsid w:val="002E18F6"/>
    <w:rsid w:val="002E381F"/>
    <w:rsid w:val="002E3C0E"/>
    <w:rsid w:val="002F63C5"/>
    <w:rsid w:val="003005E6"/>
    <w:rsid w:val="00301D52"/>
    <w:rsid w:val="0030530A"/>
    <w:rsid w:val="00305C37"/>
    <w:rsid w:val="00306A9A"/>
    <w:rsid w:val="00312155"/>
    <w:rsid w:val="003128B5"/>
    <w:rsid w:val="00314EA0"/>
    <w:rsid w:val="00314EC5"/>
    <w:rsid w:val="0033554C"/>
    <w:rsid w:val="003367BE"/>
    <w:rsid w:val="00340479"/>
    <w:rsid w:val="00347C39"/>
    <w:rsid w:val="0035059E"/>
    <w:rsid w:val="00351264"/>
    <w:rsid w:val="00351B77"/>
    <w:rsid w:val="003615B1"/>
    <w:rsid w:val="0036231C"/>
    <w:rsid w:val="00367EEC"/>
    <w:rsid w:val="00372CD7"/>
    <w:rsid w:val="00373DE7"/>
    <w:rsid w:val="00374403"/>
    <w:rsid w:val="00375005"/>
    <w:rsid w:val="003754A4"/>
    <w:rsid w:val="00386AA8"/>
    <w:rsid w:val="0038731C"/>
    <w:rsid w:val="00392A80"/>
    <w:rsid w:val="00396C18"/>
    <w:rsid w:val="003A0914"/>
    <w:rsid w:val="003A14FE"/>
    <w:rsid w:val="003A315A"/>
    <w:rsid w:val="003A4F4B"/>
    <w:rsid w:val="003A5F99"/>
    <w:rsid w:val="003B40D1"/>
    <w:rsid w:val="003B6BC0"/>
    <w:rsid w:val="003C19B5"/>
    <w:rsid w:val="003C203F"/>
    <w:rsid w:val="003C57BC"/>
    <w:rsid w:val="003C5BFD"/>
    <w:rsid w:val="003C5D92"/>
    <w:rsid w:val="003D32F8"/>
    <w:rsid w:val="003D39E0"/>
    <w:rsid w:val="003E43A1"/>
    <w:rsid w:val="003E58DA"/>
    <w:rsid w:val="00404BD6"/>
    <w:rsid w:val="00405404"/>
    <w:rsid w:val="00406F5F"/>
    <w:rsid w:val="00407504"/>
    <w:rsid w:val="00410801"/>
    <w:rsid w:val="00413DB0"/>
    <w:rsid w:val="0041471B"/>
    <w:rsid w:val="004177D4"/>
    <w:rsid w:val="00417ED3"/>
    <w:rsid w:val="004212A8"/>
    <w:rsid w:val="00421CB9"/>
    <w:rsid w:val="004229F7"/>
    <w:rsid w:val="00423F6F"/>
    <w:rsid w:val="00426EF4"/>
    <w:rsid w:val="004275C2"/>
    <w:rsid w:val="00430C9F"/>
    <w:rsid w:val="00431478"/>
    <w:rsid w:val="00436988"/>
    <w:rsid w:val="00441900"/>
    <w:rsid w:val="00444435"/>
    <w:rsid w:val="00444AFE"/>
    <w:rsid w:val="0044759B"/>
    <w:rsid w:val="00451971"/>
    <w:rsid w:val="004551ED"/>
    <w:rsid w:val="00457092"/>
    <w:rsid w:val="004608EA"/>
    <w:rsid w:val="00460D59"/>
    <w:rsid w:val="00462ECC"/>
    <w:rsid w:val="00464682"/>
    <w:rsid w:val="004707F4"/>
    <w:rsid w:val="0047470B"/>
    <w:rsid w:val="004747C4"/>
    <w:rsid w:val="00475930"/>
    <w:rsid w:val="00477BBA"/>
    <w:rsid w:val="00480ADC"/>
    <w:rsid w:val="0048377D"/>
    <w:rsid w:val="0048537D"/>
    <w:rsid w:val="004869C5"/>
    <w:rsid w:val="00486E12"/>
    <w:rsid w:val="00492802"/>
    <w:rsid w:val="0049307D"/>
    <w:rsid w:val="0049696C"/>
    <w:rsid w:val="00496FFD"/>
    <w:rsid w:val="004A0D1D"/>
    <w:rsid w:val="004A1484"/>
    <w:rsid w:val="004A185D"/>
    <w:rsid w:val="004A3639"/>
    <w:rsid w:val="004A3D0B"/>
    <w:rsid w:val="004A53B9"/>
    <w:rsid w:val="004A7EE5"/>
    <w:rsid w:val="004B05C2"/>
    <w:rsid w:val="004B29E2"/>
    <w:rsid w:val="004B3E29"/>
    <w:rsid w:val="004B5E1E"/>
    <w:rsid w:val="004C09A3"/>
    <w:rsid w:val="004C30EB"/>
    <w:rsid w:val="004C772A"/>
    <w:rsid w:val="004D0189"/>
    <w:rsid w:val="004D0BCF"/>
    <w:rsid w:val="004D199E"/>
    <w:rsid w:val="004D7C30"/>
    <w:rsid w:val="004E5462"/>
    <w:rsid w:val="004E586D"/>
    <w:rsid w:val="004E6968"/>
    <w:rsid w:val="004E7887"/>
    <w:rsid w:val="004F1761"/>
    <w:rsid w:val="004F1F83"/>
    <w:rsid w:val="004F412A"/>
    <w:rsid w:val="005038A3"/>
    <w:rsid w:val="00504353"/>
    <w:rsid w:val="0050551B"/>
    <w:rsid w:val="0051203F"/>
    <w:rsid w:val="00512BB0"/>
    <w:rsid w:val="005135B9"/>
    <w:rsid w:val="00513DB9"/>
    <w:rsid w:val="005208CF"/>
    <w:rsid w:val="00523A20"/>
    <w:rsid w:val="005270CC"/>
    <w:rsid w:val="0052765A"/>
    <w:rsid w:val="0053339C"/>
    <w:rsid w:val="00534FD4"/>
    <w:rsid w:val="00535DAB"/>
    <w:rsid w:val="00536D2B"/>
    <w:rsid w:val="00542946"/>
    <w:rsid w:val="00542CB7"/>
    <w:rsid w:val="00547729"/>
    <w:rsid w:val="00547910"/>
    <w:rsid w:val="005505AB"/>
    <w:rsid w:val="0055120E"/>
    <w:rsid w:val="0055371A"/>
    <w:rsid w:val="005547F9"/>
    <w:rsid w:val="00555977"/>
    <w:rsid w:val="00561089"/>
    <w:rsid w:val="00561EF2"/>
    <w:rsid w:val="005669DC"/>
    <w:rsid w:val="00570A88"/>
    <w:rsid w:val="00571FE1"/>
    <w:rsid w:val="0057384E"/>
    <w:rsid w:val="00574857"/>
    <w:rsid w:val="00576E4C"/>
    <w:rsid w:val="00593FD0"/>
    <w:rsid w:val="00595DDE"/>
    <w:rsid w:val="005A02CD"/>
    <w:rsid w:val="005A1016"/>
    <w:rsid w:val="005A14D4"/>
    <w:rsid w:val="005A339B"/>
    <w:rsid w:val="005A4883"/>
    <w:rsid w:val="005B4DC2"/>
    <w:rsid w:val="005C5377"/>
    <w:rsid w:val="005C5B12"/>
    <w:rsid w:val="005C5E8F"/>
    <w:rsid w:val="005D5581"/>
    <w:rsid w:val="005D62DD"/>
    <w:rsid w:val="005E062E"/>
    <w:rsid w:val="005E1AFB"/>
    <w:rsid w:val="005E1E65"/>
    <w:rsid w:val="005E78A7"/>
    <w:rsid w:val="005F5F57"/>
    <w:rsid w:val="0060053D"/>
    <w:rsid w:val="006010D7"/>
    <w:rsid w:val="00602F04"/>
    <w:rsid w:val="00603331"/>
    <w:rsid w:val="0060363E"/>
    <w:rsid w:val="00604C9E"/>
    <w:rsid w:val="00606EA1"/>
    <w:rsid w:val="00611448"/>
    <w:rsid w:val="00613B3C"/>
    <w:rsid w:val="006143EA"/>
    <w:rsid w:val="00621290"/>
    <w:rsid w:val="00625832"/>
    <w:rsid w:val="00625F26"/>
    <w:rsid w:val="00627D11"/>
    <w:rsid w:val="00633491"/>
    <w:rsid w:val="006348DB"/>
    <w:rsid w:val="00637A21"/>
    <w:rsid w:val="0064144A"/>
    <w:rsid w:val="00641DFB"/>
    <w:rsid w:val="00643403"/>
    <w:rsid w:val="00644A72"/>
    <w:rsid w:val="006469F5"/>
    <w:rsid w:val="00651092"/>
    <w:rsid w:val="00652AB9"/>
    <w:rsid w:val="00654082"/>
    <w:rsid w:val="0065710A"/>
    <w:rsid w:val="00660790"/>
    <w:rsid w:val="00661737"/>
    <w:rsid w:val="00663E80"/>
    <w:rsid w:val="006649EB"/>
    <w:rsid w:val="00672F92"/>
    <w:rsid w:val="0067420B"/>
    <w:rsid w:val="006755B3"/>
    <w:rsid w:val="00675D06"/>
    <w:rsid w:val="00680CAD"/>
    <w:rsid w:val="00682099"/>
    <w:rsid w:val="00683D8D"/>
    <w:rsid w:val="00683DD4"/>
    <w:rsid w:val="006854D0"/>
    <w:rsid w:val="00693A1D"/>
    <w:rsid w:val="00693BD0"/>
    <w:rsid w:val="0069464B"/>
    <w:rsid w:val="00694B58"/>
    <w:rsid w:val="006A1C5B"/>
    <w:rsid w:val="006A27B3"/>
    <w:rsid w:val="006B06C8"/>
    <w:rsid w:val="006B3EF6"/>
    <w:rsid w:val="006B4120"/>
    <w:rsid w:val="006C282F"/>
    <w:rsid w:val="006C46B8"/>
    <w:rsid w:val="006C547E"/>
    <w:rsid w:val="006C723D"/>
    <w:rsid w:val="006C7AF8"/>
    <w:rsid w:val="006D3D01"/>
    <w:rsid w:val="006D70B5"/>
    <w:rsid w:val="006E093B"/>
    <w:rsid w:val="006E09AA"/>
    <w:rsid w:val="006E4E09"/>
    <w:rsid w:val="006E61CE"/>
    <w:rsid w:val="006E773B"/>
    <w:rsid w:val="006E7A3A"/>
    <w:rsid w:val="006F29E6"/>
    <w:rsid w:val="006F5724"/>
    <w:rsid w:val="006F5767"/>
    <w:rsid w:val="006F7CAC"/>
    <w:rsid w:val="0070045B"/>
    <w:rsid w:val="00705FAB"/>
    <w:rsid w:val="00712E41"/>
    <w:rsid w:val="007153E2"/>
    <w:rsid w:val="00715593"/>
    <w:rsid w:val="00715986"/>
    <w:rsid w:val="00723D2E"/>
    <w:rsid w:val="00723F17"/>
    <w:rsid w:val="007326F2"/>
    <w:rsid w:val="00735020"/>
    <w:rsid w:val="00737B7F"/>
    <w:rsid w:val="007464FA"/>
    <w:rsid w:val="00746EF6"/>
    <w:rsid w:val="0074799C"/>
    <w:rsid w:val="007505FD"/>
    <w:rsid w:val="007520A3"/>
    <w:rsid w:val="00752277"/>
    <w:rsid w:val="007527CD"/>
    <w:rsid w:val="00757CB6"/>
    <w:rsid w:val="00763796"/>
    <w:rsid w:val="00763DB1"/>
    <w:rsid w:val="00764C9A"/>
    <w:rsid w:val="00764DDD"/>
    <w:rsid w:val="00766A98"/>
    <w:rsid w:val="00772ACA"/>
    <w:rsid w:val="0078362C"/>
    <w:rsid w:val="007902D6"/>
    <w:rsid w:val="00794BC2"/>
    <w:rsid w:val="007A2145"/>
    <w:rsid w:val="007A5F21"/>
    <w:rsid w:val="007B0142"/>
    <w:rsid w:val="007B0CEA"/>
    <w:rsid w:val="007B2496"/>
    <w:rsid w:val="007B27D6"/>
    <w:rsid w:val="007B3E9D"/>
    <w:rsid w:val="007B6E63"/>
    <w:rsid w:val="007C18DC"/>
    <w:rsid w:val="007C19A2"/>
    <w:rsid w:val="007C1E45"/>
    <w:rsid w:val="007C3AD2"/>
    <w:rsid w:val="007C5BC0"/>
    <w:rsid w:val="007C6AA6"/>
    <w:rsid w:val="007C734B"/>
    <w:rsid w:val="007C77A8"/>
    <w:rsid w:val="007D784B"/>
    <w:rsid w:val="007D7AA9"/>
    <w:rsid w:val="007E2458"/>
    <w:rsid w:val="007E2E35"/>
    <w:rsid w:val="007E4A69"/>
    <w:rsid w:val="007F473C"/>
    <w:rsid w:val="00800FDC"/>
    <w:rsid w:val="00803281"/>
    <w:rsid w:val="0081312E"/>
    <w:rsid w:val="00813F9E"/>
    <w:rsid w:val="00815B9F"/>
    <w:rsid w:val="00820FB2"/>
    <w:rsid w:val="0082259D"/>
    <w:rsid w:val="00830F5E"/>
    <w:rsid w:val="00832FA8"/>
    <w:rsid w:val="008402F0"/>
    <w:rsid w:val="0084074F"/>
    <w:rsid w:val="0084114A"/>
    <w:rsid w:val="00842568"/>
    <w:rsid w:val="00842FB3"/>
    <w:rsid w:val="00847BCA"/>
    <w:rsid w:val="0085649A"/>
    <w:rsid w:val="00856882"/>
    <w:rsid w:val="008610EB"/>
    <w:rsid w:val="0086235A"/>
    <w:rsid w:val="00866F46"/>
    <w:rsid w:val="00870472"/>
    <w:rsid w:val="00870B8E"/>
    <w:rsid w:val="00871260"/>
    <w:rsid w:val="00871CD8"/>
    <w:rsid w:val="00876C6E"/>
    <w:rsid w:val="008802D3"/>
    <w:rsid w:val="008808B2"/>
    <w:rsid w:val="008815DD"/>
    <w:rsid w:val="00883154"/>
    <w:rsid w:val="0088785D"/>
    <w:rsid w:val="00892D6C"/>
    <w:rsid w:val="008936E8"/>
    <w:rsid w:val="008A316A"/>
    <w:rsid w:val="008A35B1"/>
    <w:rsid w:val="008A4A6E"/>
    <w:rsid w:val="008A5478"/>
    <w:rsid w:val="008A793B"/>
    <w:rsid w:val="008B7C34"/>
    <w:rsid w:val="008B7EEF"/>
    <w:rsid w:val="008C421F"/>
    <w:rsid w:val="008C72DB"/>
    <w:rsid w:val="008D0F87"/>
    <w:rsid w:val="008D208F"/>
    <w:rsid w:val="008D3714"/>
    <w:rsid w:val="008E18A8"/>
    <w:rsid w:val="008E33FB"/>
    <w:rsid w:val="008E667F"/>
    <w:rsid w:val="008F0E4A"/>
    <w:rsid w:val="008F0F99"/>
    <w:rsid w:val="008F16FD"/>
    <w:rsid w:val="008F45D3"/>
    <w:rsid w:val="00901EFB"/>
    <w:rsid w:val="00907E16"/>
    <w:rsid w:val="00912BED"/>
    <w:rsid w:val="0091385A"/>
    <w:rsid w:val="00914773"/>
    <w:rsid w:val="00915C1E"/>
    <w:rsid w:val="009165BB"/>
    <w:rsid w:val="009225DB"/>
    <w:rsid w:val="00922716"/>
    <w:rsid w:val="00924858"/>
    <w:rsid w:val="00932D74"/>
    <w:rsid w:val="0093473F"/>
    <w:rsid w:val="00936017"/>
    <w:rsid w:val="009369B4"/>
    <w:rsid w:val="00942D72"/>
    <w:rsid w:val="00944066"/>
    <w:rsid w:val="00944611"/>
    <w:rsid w:val="00947435"/>
    <w:rsid w:val="00950B1F"/>
    <w:rsid w:val="00954800"/>
    <w:rsid w:val="009604CC"/>
    <w:rsid w:val="00960502"/>
    <w:rsid w:val="0096267D"/>
    <w:rsid w:val="00962A37"/>
    <w:rsid w:val="00963937"/>
    <w:rsid w:val="0096491F"/>
    <w:rsid w:val="0097185F"/>
    <w:rsid w:val="009748BC"/>
    <w:rsid w:val="00975626"/>
    <w:rsid w:val="00976EB8"/>
    <w:rsid w:val="00980BD0"/>
    <w:rsid w:val="009858C6"/>
    <w:rsid w:val="00986920"/>
    <w:rsid w:val="0099012C"/>
    <w:rsid w:val="00994B49"/>
    <w:rsid w:val="009A2F2D"/>
    <w:rsid w:val="009A732C"/>
    <w:rsid w:val="009A7481"/>
    <w:rsid w:val="009B2D1C"/>
    <w:rsid w:val="009B7140"/>
    <w:rsid w:val="009C4FB5"/>
    <w:rsid w:val="009C79C0"/>
    <w:rsid w:val="009D2F1C"/>
    <w:rsid w:val="009D3084"/>
    <w:rsid w:val="009D4C98"/>
    <w:rsid w:val="009D7B63"/>
    <w:rsid w:val="009E2279"/>
    <w:rsid w:val="009E5645"/>
    <w:rsid w:val="009F0AA4"/>
    <w:rsid w:val="009F2021"/>
    <w:rsid w:val="009F3CD9"/>
    <w:rsid w:val="009F4AB6"/>
    <w:rsid w:val="009F653F"/>
    <w:rsid w:val="009F7362"/>
    <w:rsid w:val="00A015A3"/>
    <w:rsid w:val="00A01A2E"/>
    <w:rsid w:val="00A01AEE"/>
    <w:rsid w:val="00A0553D"/>
    <w:rsid w:val="00A14C13"/>
    <w:rsid w:val="00A16964"/>
    <w:rsid w:val="00A22EC7"/>
    <w:rsid w:val="00A254D1"/>
    <w:rsid w:val="00A2575E"/>
    <w:rsid w:val="00A272D7"/>
    <w:rsid w:val="00A30296"/>
    <w:rsid w:val="00A33E79"/>
    <w:rsid w:val="00A346E6"/>
    <w:rsid w:val="00A372D3"/>
    <w:rsid w:val="00A45AF5"/>
    <w:rsid w:val="00A46818"/>
    <w:rsid w:val="00A471A1"/>
    <w:rsid w:val="00A47C93"/>
    <w:rsid w:val="00A50C05"/>
    <w:rsid w:val="00A50E03"/>
    <w:rsid w:val="00A52E46"/>
    <w:rsid w:val="00A5331F"/>
    <w:rsid w:val="00A640BC"/>
    <w:rsid w:val="00A64BD1"/>
    <w:rsid w:val="00A71358"/>
    <w:rsid w:val="00A7168F"/>
    <w:rsid w:val="00A71C22"/>
    <w:rsid w:val="00A7720E"/>
    <w:rsid w:val="00A84698"/>
    <w:rsid w:val="00A85BCF"/>
    <w:rsid w:val="00A9050A"/>
    <w:rsid w:val="00A9374B"/>
    <w:rsid w:val="00A93F8D"/>
    <w:rsid w:val="00A95B60"/>
    <w:rsid w:val="00A97076"/>
    <w:rsid w:val="00AA12C8"/>
    <w:rsid w:val="00AA180E"/>
    <w:rsid w:val="00AA3129"/>
    <w:rsid w:val="00AA6FDE"/>
    <w:rsid w:val="00AA77FA"/>
    <w:rsid w:val="00AB23B6"/>
    <w:rsid w:val="00AB4E9E"/>
    <w:rsid w:val="00AB5CEA"/>
    <w:rsid w:val="00AB73E3"/>
    <w:rsid w:val="00AB7621"/>
    <w:rsid w:val="00AC04FA"/>
    <w:rsid w:val="00AC18C1"/>
    <w:rsid w:val="00AD21C5"/>
    <w:rsid w:val="00AD2A8A"/>
    <w:rsid w:val="00AD357D"/>
    <w:rsid w:val="00AD6B31"/>
    <w:rsid w:val="00AD7DC1"/>
    <w:rsid w:val="00AE47C8"/>
    <w:rsid w:val="00AE7B3E"/>
    <w:rsid w:val="00B0600E"/>
    <w:rsid w:val="00B10297"/>
    <w:rsid w:val="00B105EB"/>
    <w:rsid w:val="00B1210B"/>
    <w:rsid w:val="00B210BA"/>
    <w:rsid w:val="00B217DB"/>
    <w:rsid w:val="00B260D4"/>
    <w:rsid w:val="00B26C0E"/>
    <w:rsid w:val="00B34D2D"/>
    <w:rsid w:val="00B3528C"/>
    <w:rsid w:val="00B366C5"/>
    <w:rsid w:val="00B4065A"/>
    <w:rsid w:val="00B4246D"/>
    <w:rsid w:val="00B4357D"/>
    <w:rsid w:val="00B51479"/>
    <w:rsid w:val="00B56EC7"/>
    <w:rsid w:val="00B60E59"/>
    <w:rsid w:val="00B60EAB"/>
    <w:rsid w:val="00B65EA8"/>
    <w:rsid w:val="00B67456"/>
    <w:rsid w:val="00B71DC6"/>
    <w:rsid w:val="00B72070"/>
    <w:rsid w:val="00B720DA"/>
    <w:rsid w:val="00B73012"/>
    <w:rsid w:val="00B817CE"/>
    <w:rsid w:val="00B824B8"/>
    <w:rsid w:val="00B836BF"/>
    <w:rsid w:val="00B85487"/>
    <w:rsid w:val="00B94F29"/>
    <w:rsid w:val="00B950DA"/>
    <w:rsid w:val="00BA03A7"/>
    <w:rsid w:val="00BA17CD"/>
    <w:rsid w:val="00BA1B01"/>
    <w:rsid w:val="00BA61BD"/>
    <w:rsid w:val="00BA74B2"/>
    <w:rsid w:val="00BB2AF9"/>
    <w:rsid w:val="00BB331B"/>
    <w:rsid w:val="00BD10E2"/>
    <w:rsid w:val="00BD1D8D"/>
    <w:rsid w:val="00BD1EC8"/>
    <w:rsid w:val="00BD58A7"/>
    <w:rsid w:val="00BD7703"/>
    <w:rsid w:val="00BE0F8E"/>
    <w:rsid w:val="00BE12DB"/>
    <w:rsid w:val="00BE3941"/>
    <w:rsid w:val="00BF02D8"/>
    <w:rsid w:val="00BF3306"/>
    <w:rsid w:val="00BF3A62"/>
    <w:rsid w:val="00BF44DA"/>
    <w:rsid w:val="00BF7621"/>
    <w:rsid w:val="00BF7A4A"/>
    <w:rsid w:val="00C007A0"/>
    <w:rsid w:val="00C07FE4"/>
    <w:rsid w:val="00C121A1"/>
    <w:rsid w:val="00C12F42"/>
    <w:rsid w:val="00C17BC9"/>
    <w:rsid w:val="00C2069D"/>
    <w:rsid w:val="00C2331A"/>
    <w:rsid w:val="00C23CF6"/>
    <w:rsid w:val="00C246BE"/>
    <w:rsid w:val="00C27850"/>
    <w:rsid w:val="00C27E7D"/>
    <w:rsid w:val="00C30703"/>
    <w:rsid w:val="00C308CC"/>
    <w:rsid w:val="00C324EB"/>
    <w:rsid w:val="00C35CB2"/>
    <w:rsid w:val="00C36269"/>
    <w:rsid w:val="00C40CFD"/>
    <w:rsid w:val="00C4196A"/>
    <w:rsid w:val="00C451CB"/>
    <w:rsid w:val="00C45EEC"/>
    <w:rsid w:val="00C46E56"/>
    <w:rsid w:val="00C550A7"/>
    <w:rsid w:val="00C55C19"/>
    <w:rsid w:val="00C57909"/>
    <w:rsid w:val="00C626A8"/>
    <w:rsid w:val="00C643F5"/>
    <w:rsid w:val="00C662AA"/>
    <w:rsid w:val="00C710B0"/>
    <w:rsid w:val="00C82BCF"/>
    <w:rsid w:val="00C82F8B"/>
    <w:rsid w:val="00C8572D"/>
    <w:rsid w:val="00C87126"/>
    <w:rsid w:val="00C91152"/>
    <w:rsid w:val="00C92280"/>
    <w:rsid w:val="00C969D6"/>
    <w:rsid w:val="00CA172D"/>
    <w:rsid w:val="00CA24CC"/>
    <w:rsid w:val="00CA2602"/>
    <w:rsid w:val="00CA6598"/>
    <w:rsid w:val="00CA6A45"/>
    <w:rsid w:val="00CB2B96"/>
    <w:rsid w:val="00CC0871"/>
    <w:rsid w:val="00CC1146"/>
    <w:rsid w:val="00CC3CE2"/>
    <w:rsid w:val="00CC69DE"/>
    <w:rsid w:val="00CD1997"/>
    <w:rsid w:val="00CD528B"/>
    <w:rsid w:val="00CD6139"/>
    <w:rsid w:val="00CE0869"/>
    <w:rsid w:val="00CE4551"/>
    <w:rsid w:val="00CF0127"/>
    <w:rsid w:val="00CF18D5"/>
    <w:rsid w:val="00CF3A13"/>
    <w:rsid w:val="00CF3AF7"/>
    <w:rsid w:val="00CF45ED"/>
    <w:rsid w:val="00CF5644"/>
    <w:rsid w:val="00D00183"/>
    <w:rsid w:val="00D063EF"/>
    <w:rsid w:val="00D06C07"/>
    <w:rsid w:val="00D06D4F"/>
    <w:rsid w:val="00D06DE2"/>
    <w:rsid w:val="00D10800"/>
    <w:rsid w:val="00D15CE6"/>
    <w:rsid w:val="00D1704F"/>
    <w:rsid w:val="00D20479"/>
    <w:rsid w:val="00D25072"/>
    <w:rsid w:val="00D256E1"/>
    <w:rsid w:val="00D320D2"/>
    <w:rsid w:val="00D36424"/>
    <w:rsid w:val="00D367BB"/>
    <w:rsid w:val="00D41D72"/>
    <w:rsid w:val="00D43239"/>
    <w:rsid w:val="00D47C11"/>
    <w:rsid w:val="00D50C24"/>
    <w:rsid w:val="00D517F3"/>
    <w:rsid w:val="00D52E34"/>
    <w:rsid w:val="00D5314D"/>
    <w:rsid w:val="00D54B39"/>
    <w:rsid w:val="00D55B90"/>
    <w:rsid w:val="00D62973"/>
    <w:rsid w:val="00D639B9"/>
    <w:rsid w:val="00D65E6F"/>
    <w:rsid w:val="00D704E7"/>
    <w:rsid w:val="00D766A6"/>
    <w:rsid w:val="00D8319E"/>
    <w:rsid w:val="00D86638"/>
    <w:rsid w:val="00D90292"/>
    <w:rsid w:val="00D90F5E"/>
    <w:rsid w:val="00D96423"/>
    <w:rsid w:val="00D96EDA"/>
    <w:rsid w:val="00DA216B"/>
    <w:rsid w:val="00DA3E5F"/>
    <w:rsid w:val="00DA477A"/>
    <w:rsid w:val="00DA47F3"/>
    <w:rsid w:val="00DA60D2"/>
    <w:rsid w:val="00DA7339"/>
    <w:rsid w:val="00DB562F"/>
    <w:rsid w:val="00DB6A02"/>
    <w:rsid w:val="00DB7063"/>
    <w:rsid w:val="00DC127C"/>
    <w:rsid w:val="00DC3585"/>
    <w:rsid w:val="00DC3FE6"/>
    <w:rsid w:val="00DC56CC"/>
    <w:rsid w:val="00DC74A7"/>
    <w:rsid w:val="00DD0FFF"/>
    <w:rsid w:val="00DD4552"/>
    <w:rsid w:val="00DD665B"/>
    <w:rsid w:val="00DD7001"/>
    <w:rsid w:val="00DE0C3A"/>
    <w:rsid w:val="00DE1215"/>
    <w:rsid w:val="00DE4291"/>
    <w:rsid w:val="00DE668C"/>
    <w:rsid w:val="00DF0C78"/>
    <w:rsid w:val="00DF10B0"/>
    <w:rsid w:val="00DF38D0"/>
    <w:rsid w:val="00DF5F8A"/>
    <w:rsid w:val="00DF6022"/>
    <w:rsid w:val="00DF6032"/>
    <w:rsid w:val="00E040FC"/>
    <w:rsid w:val="00E11DC3"/>
    <w:rsid w:val="00E200BE"/>
    <w:rsid w:val="00E21320"/>
    <w:rsid w:val="00E24A39"/>
    <w:rsid w:val="00E42859"/>
    <w:rsid w:val="00E44C02"/>
    <w:rsid w:val="00E46DAF"/>
    <w:rsid w:val="00E50E57"/>
    <w:rsid w:val="00E54218"/>
    <w:rsid w:val="00E55AA8"/>
    <w:rsid w:val="00E5677A"/>
    <w:rsid w:val="00E57268"/>
    <w:rsid w:val="00E601CD"/>
    <w:rsid w:val="00E6328F"/>
    <w:rsid w:val="00E71A33"/>
    <w:rsid w:val="00E72768"/>
    <w:rsid w:val="00E73062"/>
    <w:rsid w:val="00E81727"/>
    <w:rsid w:val="00E81CB5"/>
    <w:rsid w:val="00E9184F"/>
    <w:rsid w:val="00E92DA8"/>
    <w:rsid w:val="00E93BCC"/>
    <w:rsid w:val="00E93BE6"/>
    <w:rsid w:val="00E97E3E"/>
    <w:rsid w:val="00EA0947"/>
    <w:rsid w:val="00EA7298"/>
    <w:rsid w:val="00EB103C"/>
    <w:rsid w:val="00EB49FB"/>
    <w:rsid w:val="00EB5972"/>
    <w:rsid w:val="00EC565B"/>
    <w:rsid w:val="00ED161E"/>
    <w:rsid w:val="00ED3610"/>
    <w:rsid w:val="00ED53F4"/>
    <w:rsid w:val="00EE0ABC"/>
    <w:rsid w:val="00EE0DC7"/>
    <w:rsid w:val="00EE5D3D"/>
    <w:rsid w:val="00EE700B"/>
    <w:rsid w:val="00EE7338"/>
    <w:rsid w:val="00EE7CE0"/>
    <w:rsid w:val="00EF0EA6"/>
    <w:rsid w:val="00EF18E8"/>
    <w:rsid w:val="00EF24C2"/>
    <w:rsid w:val="00EF32AA"/>
    <w:rsid w:val="00EF503A"/>
    <w:rsid w:val="00EF6C35"/>
    <w:rsid w:val="00EF7375"/>
    <w:rsid w:val="00EF79DA"/>
    <w:rsid w:val="00F001B6"/>
    <w:rsid w:val="00F02764"/>
    <w:rsid w:val="00F02A98"/>
    <w:rsid w:val="00F040EC"/>
    <w:rsid w:val="00F05124"/>
    <w:rsid w:val="00F05474"/>
    <w:rsid w:val="00F05931"/>
    <w:rsid w:val="00F073B5"/>
    <w:rsid w:val="00F11FD8"/>
    <w:rsid w:val="00F1606A"/>
    <w:rsid w:val="00F224C8"/>
    <w:rsid w:val="00F3287E"/>
    <w:rsid w:val="00F337C4"/>
    <w:rsid w:val="00F34D9A"/>
    <w:rsid w:val="00F34F78"/>
    <w:rsid w:val="00F36F40"/>
    <w:rsid w:val="00F377A7"/>
    <w:rsid w:val="00F432CD"/>
    <w:rsid w:val="00F44114"/>
    <w:rsid w:val="00F45F3D"/>
    <w:rsid w:val="00F46E88"/>
    <w:rsid w:val="00F5046E"/>
    <w:rsid w:val="00F51B1F"/>
    <w:rsid w:val="00F536DE"/>
    <w:rsid w:val="00F552A9"/>
    <w:rsid w:val="00F62B9E"/>
    <w:rsid w:val="00F632D8"/>
    <w:rsid w:val="00F63B99"/>
    <w:rsid w:val="00F6519E"/>
    <w:rsid w:val="00F653ED"/>
    <w:rsid w:val="00F67038"/>
    <w:rsid w:val="00F703CA"/>
    <w:rsid w:val="00F70491"/>
    <w:rsid w:val="00F70BC9"/>
    <w:rsid w:val="00F739CD"/>
    <w:rsid w:val="00F77CC6"/>
    <w:rsid w:val="00F85581"/>
    <w:rsid w:val="00F91CBD"/>
    <w:rsid w:val="00F922ED"/>
    <w:rsid w:val="00F93199"/>
    <w:rsid w:val="00F96097"/>
    <w:rsid w:val="00F964D5"/>
    <w:rsid w:val="00F9706B"/>
    <w:rsid w:val="00FA03DE"/>
    <w:rsid w:val="00FA22C5"/>
    <w:rsid w:val="00FA410C"/>
    <w:rsid w:val="00FA459C"/>
    <w:rsid w:val="00FB585F"/>
    <w:rsid w:val="00FB5BCA"/>
    <w:rsid w:val="00FC0CD6"/>
    <w:rsid w:val="00FC10B6"/>
    <w:rsid w:val="00FC2423"/>
    <w:rsid w:val="00FC5964"/>
    <w:rsid w:val="00FC71FF"/>
    <w:rsid w:val="00FD22AF"/>
    <w:rsid w:val="00FD2485"/>
    <w:rsid w:val="00FE2B33"/>
    <w:rsid w:val="00FF043B"/>
    <w:rsid w:val="00FF057B"/>
    <w:rsid w:val="00FF229F"/>
    <w:rsid w:val="00FF2F18"/>
    <w:rsid w:val="00FF4FD6"/>
    <w:rsid w:val="01A8393D"/>
    <w:rsid w:val="01DB3E27"/>
    <w:rsid w:val="03126505"/>
    <w:rsid w:val="03747B9E"/>
    <w:rsid w:val="0384AAFA"/>
    <w:rsid w:val="04B59B22"/>
    <w:rsid w:val="050D1CCF"/>
    <w:rsid w:val="05AA1CE2"/>
    <w:rsid w:val="05C71DD0"/>
    <w:rsid w:val="05FEAD67"/>
    <w:rsid w:val="060514C7"/>
    <w:rsid w:val="074977CA"/>
    <w:rsid w:val="08350E98"/>
    <w:rsid w:val="08D47A71"/>
    <w:rsid w:val="08E641AA"/>
    <w:rsid w:val="09D634B4"/>
    <w:rsid w:val="0A3C0306"/>
    <w:rsid w:val="0A8D5665"/>
    <w:rsid w:val="0B3E420F"/>
    <w:rsid w:val="0B759686"/>
    <w:rsid w:val="0B7808A3"/>
    <w:rsid w:val="0B9BD116"/>
    <w:rsid w:val="0C67555F"/>
    <w:rsid w:val="0CFA2942"/>
    <w:rsid w:val="0D6C9CE4"/>
    <w:rsid w:val="0D93D256"/>
    <w:rsid w:val="0E3BA637"/>
    <w:rsid w:val="0EC047AF"/>
    <w:rsid w:val="0FF50AE1"/>
    <w:rsid w:val="100824F3"/>
    <w:rsid w:val="10579DDA"/>
    <w:rsid w:val="1088C35C"/>
    <w:rsid w:val="10D07757"/>
    <w:rsid w:val="11DC0C60"/>
    <w:rsid w:val="126534F3"/>
    <w:rsid w:val="12F93977"/>
    <w:rsid w:val="1319F329"/>
    <w:rsid w:val="13BD7189"/>
    <w:rsid w:val="13DEE9F3"/>
    <w:rsid w:val="147DA767"/>
    <w:rsid w:val="14898D54"/>
    <w:rsid w:val="158F3EF3"/>
    <w:rsid w:val="16005095"/>
    <w:rsid w:val="16D6C10E"/>
    <w:rsid w:val="17195BE3"/>
    <w:rsid w:val="176A7671"/>
    <w:rsid w:val="1846842F"/>
    <w:rsid w:val="195D8362"/>
    <w:rsid w:val="19625462"/>
    <w:rsid w:val="1AF86FE4"/>
    <w:rsid w:val="1B34BD1E"/>
    <w:rsid w:val="1B52D3FA"/>
    <w:rsid w:val="1C87AD07"/>
    <w:rsid w:val="1CC5FA3E"/>
    <w:rsid w:val="1D31A945"/>
    <w:rsid w:val="1D39FEA7"/>
    <w:rsid w:val="1D432EB2"/>
    <w:rsid w:val="1D831BB3"/>
    <w:rsid w:val="1DA8912A"/>
    <w:rsid w:val="1DD39720"/>
    <w:rsid w:val="1EF01974"/>
    <w:rsid w:val="1F207D4A"/>
    <w:rsid w:val="1F23C778"/>
    <w:rsid w:val="1F83B7D7"/>
    <w:rsid w:val="1FDDB42C"/>
    <w:rsid w:val="1FF555CA"/>
    <w:rsid w:val="1FF9B2E0"/>
    <w:rsid w:val="20467BDA"/>
    <w:rsid w:val="20E41C66"/>
    <w:rsid w:val="219C1510"/>
    <w:rsid w:val="21AD0E04"/>
    <w:rsid w:val="22D660F8"/>
    <w:rsid w:val="22DAE324"/>
    <w:rsid w:val="24CDEA82"/>
    <w:rsid w:val="25320579"/>
    <w:rsid w:val="258459BC"/>
    <w:rsid w:val="25D61340"/>
    <w:rsid w:val="268C569B"/>
    <w:rsid w:val="26B33BD4"/>
    <w:rsid w:val="26FE5D7E"/>
    <w:rsid w:val="275273C1"/>
    <w:rsid w:val="27615A6D"/>
    <w:rsid w:val="27D914D1"/>
    <w:rsid w:val="282FC1AC"/>
    <w:rsid w:val="28897F2B"/>
    <w:rsid w:val="294D0CD8"/>
    <w:rsid w:val="2A44591F"/>
    <w:rsid w:val="2A533B14"/>
    <w:rsid w:val="2A95F250"/>
    <w:rsid w:val="2B02546F"/>
    <w:rsid w:val="2B44096C"/>
    <w:rsid w:val="2B705938"/>
    <w:rsid w:val="2C1B0614"/>
    <w:rsid w:val="2CA4B787"/>
    <w:rsid w:val="2D0DA2FF"/>
    <w:rsid w:val="2D432760"/>
    <w:rsid w:val="2D992342"/>
    <w:rsid w:val="2F2B4BEA"/>
    <w:rsid w:val="2F6E18A1"/>
    <w:rsid w:val="302FF994"/>
    <w:rsid w:val="3092E0C4"/>
    <w:rsid w:val="30A83D9E"/>
    <w:rsid w:val="31123AF5"/>
    <w:rsid w:val="31A0E96D"/>
    <w:rsid w:val="325A8A1F"/>
    <w:rsid w:val="32C5B71A"/>
    <w:rsid w:val="334E10C3"/>
    <w:rsid w:val="33C2AD71"/>
    <w:rsid w:val="33DF696B"/>
    <w:rsid w:val="355932E4"/>
    <w:rsid w:val="356D2ACB"/>
    <w:rsid w:val="3591C2AF"/>
    <w:rsid w:val="35A3C14A"/>
    <w:rsid w:val="35B57FB7"/>
    <w:rsid w:val="35CCD249"/>
    <w:rsid w:val="35EB7FEB"/>
    <w:rsid w:val="3603D4EB"/>
    <w:rsid w:val="360B3839"/>
    <w:rsid w:val="36BC0BD2"/>
    <w:rsid w:val="37452A85"/>
    <w:rsid w:val="376E5495"/>
    <w:rsid w:val="381310CA"/>
    <w:rsid w:val="3996E756"/>
    <w:rsid w:val="39C8FB3F"/>
    <w:rsid w:val="3C75B3AF"/>
    <w:rsid w:val="3CAD746C"/>
    <w:rsid w:val="3D7BE6B5"/>
    <w:rsid w:val="3EE505F9"/>
    <w:rsid w:val="3F256101"/>
    <w:rsid w:val="3F5DD857"/>
    <w:rsid w:val="3FE79472"/>
    <w:rsid w:val="4075483E"/>
    <w:rsid w:val="414C3E8C"/>
    <w:rsid w:val="41E0A273"/>
    <w:rsid w:val="420DB715"/>
    <w:rsid w:val="42163C28"/>
    <w:rsid w:val="4336C0A3"/>
    <w:rsid w:val="439E0638"/>
    <w:rsid w:val="45E29B79"/>
    <w:rsid w:val="4659BB6D"/>
    <w:rsid w:val="46CE2152"/>
    <w:rsid w:val="47D6A26D"/>
    <w:rsid w:val="47F13DB5"/>
    <w:rsid w:val="4A81E9C4"/>
    <w:rsid w:val="4BA374A6"/>
    <w:rsid w:val="4BBE675C"/>
    <w:rsid w:val="4BF3B621"/>
    <w:rsid w:val="4C38C7AA"/>
    <w:rsid w:val="4D316FB8"/>
    <w:rsid w:val="4E45ABC7"/>
    <w:rsid w:val="4E522D2A"/>
    <w:rsid w:val="4E79D1C2"/>
    <w:rsid w:val="4ED24A73"/>
    <w:rsid w:val="4EFD2CDE"/>
    <w:rsid w:val="4F3C40A9"/>
    <w:rsid w:val="4F7AD3E8"/>
    <w:rsid w:val="4FC84597"/>
    <w:rsid w:val="4FDC5E4D"/>
    <w:rsid w:val="505BFF82"/>
    <w:rsid w:val="50CCD6A7"/>
    <w:rsid w:val="5113FA34"/>
    <w:rsid w:val="512000D4"/>
    <w:rsid w:val="5147FBD5"/>
    <w:rsid w:val="523B8AF1"/>
    <w:rsid w:val="52875201"/>
    <w:rsid w:val="528AFEC9"/>
    <w:rsid w:val="52A835D7"/>
    <w:rsid w:val="52B5D15F"/>
    <w:rsid w:val="53332B27"/>
    <w:rsid w:val="5376EE59"/>
    <w:rsid w:val="5385BBB1"/>
    <w:rsid w:val="53C09943"/>
    <w:rsid w:val="54265F58"/>
    <w:rsid w:val="542C5438"/>
    <w:rsid w:val="54C55736"/>
    <w:rsid w:val="5613F232"/>
    <w:rsid w:val="566AC2A7"/>
    <w:rsid w:val="568160DC"/>
    <w:rsid w:val="568FA203"/>
    <w:rsid w:val="56C8537C"/>
    <w:rsid w:val="56E694F7"/>
    <w:rsid w:val="5701EB30"/>
    <w:rsid w:val="572DC98E"/>
    <w:rsid w:val="5742E7A2"/>
    <w:rsid w:val="58057567"/>
    <w:rsid w:val="582A324A"/>
    <w:rsid w:val="58752B26"/>
    <w:rsid w:val="588F2447"/>
    <w:rsid w:val="5956BF29"/>
    <w:rsid w:val="5974C1B6"/>
    <w:rsid w:val="59BEDE8F"/>
    <w:rsid w:val="59FD67B9"/>
    <w:rsid w:val="5B19F1C3"/>
    <w:rsid w:val="5B2D33CE"/>
    <w:rsid w:val="5B7594D7"/>
    <w:rsid w:val="5BC8F696"/>
    <w:rsid w:val="5D979A1A"/>
    <w:rsid w:val="5E11EB79"/>
    <w:rsid w:val="5E96BDFF"/>
    <w:rsid w:val="5F3DD284"/>
    <w:rsid w:val="5F841084"/>
    <w:rsid w:val="5FAF7034"/>
    <w:rsid w:val="605C5B1E"/>
    <w:rsid w:val="607ED0E2"/>
    <w:rsid w:val="61139DEC"/>
    <w:rsid w:val="615694BC"/>
    <w:rsid w:val="6253004C"/>
    <w:rsid w:val="628D956E"/>
    <w:rsid w:val="629D99FC"/>
    <w:rsid w:val="62C21067"/>
    <w:rsid w:val="62C280BD"/>
    <w:rsid w:val="6377B6FB"/>
    <w:rsid w:val="63C21991"/>
    <w:rsid w:val="646F73AE"/>
    <w:rsid w:val="64BA9480"/>
    <w:rsid w:val="64DDF8C5"/>
    <w:rsid w:val="6557A53D"/>
    <w:rsid w:val="6665448F"/>
    <w:rsid w:val="66AE9157"/>
    <w:rsid w:val="66B9C9AB"/>
    <w:rsid w:val="6710C00D"/>
    <w:rsid w:val="6776FB45"/>
    <w:rsid w:val="67B534F8"/>
    <w:rsid w:val="68687551"/>
    <w:rsid w:val="6966CB39"/>
    <w:rsid w:val="69AD9189"/>
    <w:rsid w:val="6A3CBE1A"/>
    <w:rsid w:val="6A4D2BE2"/>
    <w:rsid w:val="6AFF7FB7"/>
    <w:rsid w:val="6B4B1F97"/>
    <w:rsid w:val="6C26C466"/>
    <w:rsid w:val="6C907444"/>
    <w:rsid w:val="6DD439CE"/>
    <w:rsid w:val="6E9AD86A"/>
    <w:rsid w:val="6FB59603"/>
    <w:rsid w:val="6FF7147D"/>
    <w:rsid w:val="704CFFD5"/>
    <w:rsid w:val="70A86D1C"/>
    <w:rsid w:val="7120D98C"/>
    <w:rsid w:val="7181B6DD"/>
    <w:rsid w:val="73024898"/>
    <w:rsid w:val="73A42353"/>
    <w:rsid w:val="742E3264"/>
    <w:rsid w:val="742E79B4"/>
    <w:rsid w:val="7442F86A"/>
    <w:rsid w:val="75400020"/>
    <w:rsid w:val="756A288A"/>
    <w:rsid w:val="75E24AA8"/>
    <w:rsid w:val="762AACEB"/>
    <w:rsid w:val="78724796"/>
    <w:rsid w:val="79BD395C"/>
    <w:rsid w:val="7A3A2E4C"/>
    <w:rsid w:val="7AC363E2"/>
    <w:rsid w:val="7B0C52AE"/>
    <w:rsid w:val="7B74E092"/>
    <w:rsid w:val="7B98BEC9"/>
    <w:rsid w:val="7D3E941B"/>
    <w:rsid w:val="7D43547B"/>
    <w:rsid w:val="7D64F00A"/>
    <w:rsid w:val="7EB4FD5A"/>
    <w:rsid w:val="7F80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B3AE"/>
  <w15:chartTrackingRefBased/>
  <w15:docId w15:val="{24B1E3DA-08DB-44AE-BBC3-D7D6EB59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83"/>
    <w:pPr>
      <w:spacing w:after="200" w:line="276" w:lineRule="auto"/>
    </w:pPr>
    <w:rPr>
      <w:rFonts w:ascii="Cambria" w:eastAsia="Times New Roman" w:hAnsi="Cambria" w:cs="DokChampa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B8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B8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8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83"/>
    <w:pPr>
      <w:keepNext/>
      <w:keepLines/>
      <w:numPr>
        <w:ilvl w:val="3"/>
        <w:numId w:val="27"/>
      </w:numPr>
      <w:spacing w:before="40" w:after="0"/>
      <w:ind w:left="2880" w:hanging="36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83"/>
    <w:pPr>
      <w:keepNext/>
      <w:keepLines/>
      <w:numPr>
        <w:ilvl w:val="4"/>
        <w:numId w:val="27"/>
      </w:numPr>
      <w:spacing w:before="40" w:after="0"/>
      <w:ind w:left="3600" w:hanging="36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83"/>
    <w:pPr>
      <w:keepNext/>
      <w:keepLines/>
      <w:numPr>
        <w:ilvl w:val="5"/>
        <w:numId w:val="27"/>
      </w:numPr>
      <w:spacing w:before="40" w:after="0"/>
      <w:ind w:left="432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83"/>
    <w:pPr>
      <w:keepNext/>
      <w:keepLines/>
      <w:numPr>
        <w:ilvl w:val="6"/>
        <w:numId w:val="27"/>
      </w:numPr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83"/>
    <w:pPr>
      <w:keepNext/>
      <w:keepLines/>
      <w:numPr>
        <w:ilvl w:val="7"/>
        <w:numId w:val="27"/>
      </w:numPr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83"/>
    <w:pPr>
      <w:keepNext/>
      <w:keepLines/>
      <w:numPr>
        <w:ilvl w:val="8"/>
        <w:numId w:val="27"/>
      </w:numPr>
      <w:spacing w:before="4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F6B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83"/>
    <w:rPr>
      <w:rFonts w:asciiTheme="majorHAnsi" w:eastAsiaTheme="majorEastAsia" w:hAnsiTheme="majorHAnsi" w:cstheme="majorBidi"/>
      <w:i/>
      <w:iCs/>
      <w:color w:val="2F5496" w:themeColor="accent1" w:themeShade="BF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83"/>
    <w:rPr>
      <w:rFonts w:asciiTheme="majorHAnsi" w:eastAsiaTheme="majorEastAsia" w:hAnsiTheme="majorHAnsi" w:cstheme="majorBidi"/>
      <w:color w:val="2F5496" w:themeColor="accent1" w:themeShade="BF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83"/>
    <w:rPr>
      <w:rFonts w:asciiTheme="majorHAnsi" w:eastAsiaTheme="majorEastAsia" w:hAnsiTheme="majorHAnsi" w:cstheme="majorBidi"/>
      <w:color w:val="1F3763" w:themeColor="accent1" w:themeShade="7F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83"/>
    <w:rPr>
      <w:rFonts w:asciiTheme="majorHAnsi" w:eastAsiaTheme="majorEastAsia" w:hAnsiTheme="majorHAnsi" w:cstheme="majorBidi"/>
      <w:i/>
      <w:iCs/>
      <w:color w:val="1F3763" w:themeColor="accent1" w:themeShade="7F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8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bidi="en-US"/>
    </w:rPr>
  </w:style>
  <w:style w:type="paragraph" w:styleId="ListParagraph">
    <w:name w:val="List Paragraph"/>
    <w:aliases w:val="ERP-List Paragraph,List Paragraph1,List Paragraph11,Numbering,List Paragraph Red,Bullet EY,List Paragraph2,Bullet,TIIS - Bullet Style (Level 1),VKTI - text numbering,Normal bullet 2,Paragraph,List L1,List not in Table,List Paragraph21,lp1"/>
    <w:basedOn w:val="Normal"/>
    <w:link w:val="ListParagraphChar"/>
    <w:uiPriority w:val="34"/>
    <w:qFormat/>
    <w:rsid w:val="000F6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6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B83"/>
    <w:rPr>
      <w:rFonts w:ascii="Cambria" w:eastAsia="Times New Roman" w:hAnsi="Cambria" w:cs="DokChampa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0F6B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t-LT"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0F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B83"/>
    <w:rPr>
      <w:rFonts w:ascii="Cambria" w:eastAsia="Times New Roman" w:hAnsi="Cambria" w:cs="DokChamp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F6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83"/>
    <w:rPr>
      <w:rFonts w:ascii="Cambria" w:eastAsia="Times New Roman" w:hAnsi="Cambria" w:cs="DokChampa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B83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4FE"/>
    <w:rPr>
      <w:rFonts w:ascii="Cambria" w:eastAsia="Times New Roman" w:hAnsi="Cambria" w:cs="DokChampa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08088D"/>
    <w:pPr>
      <w:spacing w:after="0" w:line="240" w:lineRule="auto"/>
    </w:pPr>
    <w:rPr>
      <w:rFonts w:ascii="Cambria" w:eastAsia="Times New Roman" w:hAnsi="Cambria" w:cs="DokChampa"/>
      <w:lang w:val="en-US" w:bidi="en-US"/>
    </w:rPr>
  </w:style>
  <w:style w:type="character" w:styleId="Hyperlink">
    <w:name w:val="Hyperlink"/>
    <w:aliases w:val="Alna"/>
    <w:rsid w:val="004747C4"/>
    <w:rPr>
      <w:color w:val="0000FF"/>
      <w:u w:val="single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let Char,TIIS - Bullet Style (Level 1) Char,VKTI - text numbering Char,Paragraph Char"/>
    <w:link w:val="ListParagraph"/>
    <w:uiPriority w:val="34"/>
    <w:qFormat/>
    <w:locked/>
    <w:rsid w:val="004747C4"/>
    <w:rPr>
      <w:rFonts w:ascii="Cambria" w:eastAsia="Times New Roman" w:hAnsi="Cambria" w:cs="DokChampa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47C4"/>
    <w:pPr>
      <w:spacing w:after="0" w:line="240" w:lineRule="auto"/>
    </w:pPr>
    <w:rPr>
      <w:rFonts w:ascii="Times New Roman" w:hAnsi="Times New Roman" w:cs="Times New Roman"/>
      <w:sz w:val="20"/>
      <w:szCs w:val="20"/>
      <w:lang w:val="en-GB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7C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747C4"/>
    <w:rPr>
      <w:vertAlign w:val="superscript"/>
    </w:rPr>
  </w:style>
  <w:style w:type="character" w:customStyle="1" w:styleId="item">
    <w:name w:val="item"/>
    <w:rsid w:val="00AB23B6"/>
  </w:style>
  <w:style w:type="character" w:styleId="Mention">
    <w:name w:val="Mention"/>
    <w:basedOn w:val="DefaultParagraphFont"/>
    <w:uiPriority w:val="99"/>
    <w:unhideWhenUsed/>
    <w:rsid w:val="008A54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6" ma:contentTypeDescription="Create a new document." ma:contentTypeScope="" ma:versionID="315d897b559b8ad7068b834f7627cb8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6c19d5076c0e8fd4893053288915c59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EDFD0-E89C-4B74-8207-3874ADF062F3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2.xml><?xml version="1.0" encoding="utf-8"?>
<ds:datastoreItem xmlns:ds="http://schemas.openxmlformats.org/officeDocument/2006/customXml" ds:itemID="{12EDD0AF-BC20-41CA-85BA-1E06F144E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A21AD-9841-4504-8F68-700FA0B4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1781</Words>
  <Characters>10155</Characters>
  <Application>Microsoft Office Word</Application>
  <DocSecurity>0</DocSecurity>
  <Lines>84</Lines>
  <Paragraphs>23</Paragraphs>
  <ScaleCrop>false</ScaleCrop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Rima Kabelinskienė</cp:lastModifiedBy>
  <cp:revision>176</cp:revision>
  <dcterms:created xsi:type="dcterms:W3CDTF">2026-04-27T15:49:00Z</dcterms:created>
  <dcterms:modified xsi:type="dcterms:W3CDTF">2026-05-13T12:49:00Z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