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1A30C12C"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990526">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473F4C7" w:rsidR="006935B4" w:rsidRPr="00D51822" w:rsidRDefault="007B6B1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2026-05-14</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4E28BFC"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7B54A2">
            <w:rPr>
              <w:rFonts w:ascii="Times New Roman" w:hAnsi="Times New Roman" w:cs="Times New Roman"/>
              <w:b/>
              <w:bCs/>
              <w:sz w:val="28"/>
              <w:szCs w:val="28"/>
            </w:rPr>
            <w:t>BANGOS KAVINĖS ĮRANGA</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2C98EA6"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F12F0E">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C84AF5A" w:rsidR="00B41C66" w:rsidRPr="00EB2881" w:rsidRDefault="00B76FBB" w:rsidP="00EB2881">
      <w:pPr>
        <w:spacing w:after="0" w:line="240" w:lineRule="auto"/>
        <w:ind w:firstLine="567"/>
        <w:jc w:val="both"/>
        <w:rPr>
          <w:rFonts w:ascii="Times New Roman" w:hAnsi="Times New Roman" w:cs="Times New Roman"/>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EA4C51">
        <w:rPr>
          <w:rFonts w:ascii="Times New Roman" w:eastAsia="Calibri" w:hAnsi="Times New Roman" w:cs="Times New Roman"/>
          <w:color w:val="000000" w:themeColor="text1"/>
          <w:sz w:val="24"/>
          <w:szCs w:val="24"/>
        </w:rPr>
        <w:t>bangos kavinės įrangą</w:t>
      </w:r>
      <w:r w:rsidR="00EB2881">
        <w:rPr>
          <w:rFonts w:ascii="Times New Roman" w:eastAsia="Calibri" w:hAnsi="Times New Roman" w:cs="Times New Roman"/>
          <w:color w:val="000000" w:themeColor="text1"/>
          <w:sz w:val="24"/>
          <w:szCs w:val="24"/>
        </w:rPr>
        <w:t xml:space="preserve">, kurią sudaro: </w:t>
      </w:r>
      <w:r w:rsidR="00EA4C51">
        <w:rPr>
          <w:rFonts w:ascii="Times New Roman" w:eastAsia="Calibri" w:hAnsi="Times New Roman" w:cs="Times New Roman"/>
          <w:color w:val="000000" w:themeColor="text1"/>
          <w:sz w:val="24"/>
          <w:szCs w:val="24"/>
        </w:rPr>
        <w:t>Šildoma atleidimo linija (marmitas) su lentyna lėkštės padėjimui ir stiklu</w:t>
      </w:r>
      <w:r w:rsidR="00386692">
        <w:rPr>
          <w:rFonts w:ascii="Times New Roman" w:eastAsia="Calibri" w:hAnsi="Times New Roman" w:cs="Times New Roman"/>
          <w:color w:val="000000" w:themeColor="text1"/>
          <w:sz w:val="24"/>
          <w:szCs w:val="24"/>
        </w:rPr>
        <w:t>; šaldoma vitrina su stiklu linijai; sieninis spaudiminis nuplovimo dušas</w:t>
      </w:r>
      <w:r w:rsidR="00EA4C51">
        <w:rPr>
          <w:rFonts w:ascii="Times New Roman" w:eastAsia="Calibri" w:hAnsi="Times New Roman" w:cs="Times New Roman"/>
          <w:color w:val="000000" w:themeColor="text1"/>
          <w:sz w:val="24"/>
          <w:szCs w:val="24"/>
        </w:rPr>
        <w:t>.</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0580E6E"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Pirkimo objektas skaidomas į</w:t>
      </w:r>
      <w:r w:rsidR="00863B23" w:rsidRPr="000C296D">
        <w:rPr>
          <w:rFonts w:ascii="Times New Roman" w:hAnsi="Times New Roman" w:cs="Times New Roman"/>
          <w:color w:val="00B050"/>
          <w:sz w:val="24"/>
          <w:szCs w:val="24"/>
        </w:rPr>
        <w:t xml:space="preserve"> </w:t>
      </w:r>
      <w:r w:rsidR="00E554A6" w:rsidRPr="00E554A6">
        <w:rPr>
          <w:rFonts w:ascii="Times New Roman" w:hAnsi="Times New Roman" w:cs="Times New Roman"/>
          <w:sz w:val="24"/>
          <w:szCs w:val="24"/>
        </w:rPr>
        <w:t xml:space="preserve"> </w:t>
      </w:r>
      <w:r w:rsidR="00386692">
        <w:rPr>
          <w:rFonts w:ascii="Times New Roman" w:hAnsi="Times New Roman" w:cs="Times New Roman"/>
          <w:sz w:val="24"/>
          <w:szCs w:val="24"/>
        </w:rPr>
        <w:t>3</w:t>
      </w:r>
      <w:r w:rsidR="00FE7921">
        <w:rPr>
          <w:rFonts w:ascii="Times New Roman" w:hAnsi="Times New Roman" w:cs="Times New Roman"/>
          <w:sz w:val="24"/>
          <w:szCs w:val="24"/>
        </w:rPr>
        <w:t xml:space="preserve"> </w:t>
      </w:r>
      <w:r w:rsidR="00863B23" w:rsidRPr="000C296D">
        <w:rPr>
          <w:rFonts w:ascii="Times New Roman" w:hAnsi="Times New Roman" w:cs="Times New Roman"/>
          <w:sz w:val="24"/>
          <w:szCs w:val="24"/>
        </w:rPr>
        <w:t>dali</w:t>
      </w:r>
      <w:r w:rsidR="00386692">
        <w:rPr>
          <w:rFonts w:ascii="Times New Roman" w:hAnsi="Times New Roman" w:cs="Times New Roman"/>
          <w:sz w:val="24"/>
          <w:szCs w:val="24"/>
        </w:rPr>
        <w:t>s</w:t>
      </w:r>
      <w:r w:rsidR="001B31E1">
        <w:rPr>
          <w:rFonts w:ascii="Times New Roman" w:hAnsi="Times New Roman" w:cs="Times New Roman"/>
          <w:sz w:val="24"/>
          <w:szCs w:val="24"/>
        </w:rPr>
        <w:t xml:space="preserve">. </w:t>
      </w:r>
      <w:r w:rsidR="00E554A6">
        <w:rPr>
          <w:rFonts w:ascii="Times New Roman" w:hAnsi="Times New Roman" w:cs="Times New Roman"/>
          <w:sz w:val="24"/>
          <w:szCs w:val="24"/>
        </w:rPr>
        <w:t xml:space="preserve">Tiekėjas </w:t>
      </w:r>
      <w:r w:rsidR="002D6FB1">
        <w:rPr>
          <w:rFonts w:ascii="Times New Roman" w:hAnsi="Times New Roman" w:cs="Times New Roman"/>
          <w:sz w:val="24"/>
          <w:szCs w:val="24"/>
        </w:rPr>
        <w:t xml:space="preserve">turi pateikti </w:t>
      </w:r>
      <w:r w:rsidR="00FE7921">
        <w:rPr>
          <w:rFonts w:ascii="Times New Roman" w:hAnsi="Times New Roman" w:cs="Times New Roman"/>
          <w:sz w:val="24"/>
          <w:szCs w:val="24"/>
        </w:rPr>
        <w:t>pasiūlymą vienai, kelioms ar visoms pirkimo dalims</w:t>
      </w:r>
      <w:r w:rsidR="002D6FB1">
        <w:rPr>
          <w:rFonts w:ascii="Times New Roman" w:hAnsi="Times New Roman" w:cs="Times New Roman"/>
          <w:sz w:val="24"/>
          <w:szCs w:val="24"/>
        </w:rPr>
        <w:t xml:space="preserve">. </w:t>
      </w:r>
      <w:r w:rsidR="001B31E1">
        <w:rPr>
          <w:rFonts w:ascii="Times New Roman" w:hAnsi="Times New Roman" w:cs="Times New Roman"/>
          <w:sz w:val="24"/>
          <w:szCs w:val="24"/>
        </w:rPr>
        <w:t>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2F8EAA91"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ED4D50">
        <w:rPr>
          <w:rFonts w:ascii="Times New Roman" w:hAnsi="Times New Roman" w:cs="Times New Roman"/>
          <w:sz w:val="24"/>
          <w:szCs w:val="24"/>
          <w:shd w:val="clear" w:color="auto" w:fill="FFFFFF"/>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w:t>
      </w:r>
      <w:r w:rsidR="0035349C">
        <w:rPr>
          <w:rFonts w:ascii="Times New Roman" w:hAnsi="Times New Roman" w:cs="Times New Roman"/>
          <w:color w:val="FF0000"/>
          <w:sz w:val="24"/>
          <w:szCs w:val="24"/>
        </w:rPr>
        <w:t>C</w:t>
      </w:r>
      <w:r w:rsidR="00EA5DF5" w:rsidRPr="00CC57B0">
        <w:rPr>
          <w:rFonts w:ascii="Times New Roman" w:hAnsi="Times New Roman" w:cs="Times New Roman"/>
          <w:color w:val="FF0000"/>
          <w:sz w:val="24"/>
          <w:szCs w:val="24"/>
        </w:rPr>
        <w:t>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lastRenderedPageBreak/>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8BB178"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D314F0">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03D9" w14:textId="77777777" w:rsidR="009B36DD" w:rsidRDefault="009B36DD" w:rsidP="00D05666">
      <w:r>
        <w:separator/>
      </w:r>
    </w:p>
  </w:endnote>
  <w:endnote w:type="continuationSeparator" w:id="0">
    <w:p w14:paraId="230B0054" w14:textId="77777777" w:rsidR="009B36DD" w:rsidRDefault="009B36DD" w:rsidP="00D05666">
      <w:r>
        <w:continuationSeparator/>
      </w:r>
    </w:p>
  </w:endnote>
  <w:endnote w:type="continuationNotice" w:id="1">
    <w:p w14:paraId="58F20EE4" w14:textId="77777777" w:rsidR="009B36DD" w:rsidRDefault="009B3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1C34" w14:textId="77777777" w:rsidR="009B36DD" w:rsidRDefault="009B36DD" w:rsidP="00D05666">
      <w:r>
        <w:separator/>
      </w:r>
    </w:p>
  </w:footnote>
  <w:footnote w:type="continuationSeparator" w:id="0">
    <w:p w14:paraId="0913A38F" w14:textId="77777777" w:rsidR="009B36DD" w:rsidRDefault="009B36DD" w:rsidP="00D05666">
      <w:r>
        <w:continuationSeparator/>
      </w:r>
    </w:p>
  </w:footnote>
  <w:footnote w:type="continuationNotice" w:id="1">
    <w:p w14:paraId="464786F5" w14:textId="77777777" w:rsidR="009B36DD" w:rsidRDefault="009B36DD">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D99A82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AE8"/>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3EE3"/>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9C"/>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D0"/>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6FB1"/>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49C"/>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92"/>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2FE"/>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7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9CD"/>
    <w:rsid w:val="004E7D39"/>
    <w:rsid w:val="004F0107"/>
    <w:rsid w:val="004F0A4F"/>
    <w:rsid w:val="004F0C1D"/>
    <w:rsid w:val="004F1077"/>
    <w:rsid w:val="004F1635"/>
    <w:rsid w:val="004F1855"/>
    <w:rsid w:val="004F1982"/>
    <w:rsid w:val="004F1E4F"/>
    <w:rsid w:val="004F30E1"/>
    <w:rsid w:val="004F33F0"/>
    <w:rsid w:val="004F4BF2"/>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76F"/>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87"/>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B5F"/>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0FA"/>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08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CD2"/>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4A2"/>
    <w:rsid w:val="007B6219"/>
    <w:rsid w:val="007B6B1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86"/>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880"/>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526"/>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6DD"/>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010"/>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C48"/>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4F0"/>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94D"/>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4C30"/>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4A6"/>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C51"/>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2881"/>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4D50"/>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2F0E"/>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E7921"/>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22</Pages>
  <Words>25859</Words>
  <Characters>14741</Characters>
  <Application>Microsoft Office Word</Application>
  <DocSecurity>0</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70</cp:revision>
  <cp:lastPrinted>2024-05-31T08:19:00Z</cp:lastPrinted>
  <dcterms:created xsi:type="dcterms:W3CDTF">2024-05-30T07:50:00Z</dcterms:created>
  <dcterms:modified xsi:type="dcterms:W3CDTF">2026-05-14T12:36:00Z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